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charts/chart2.xml" ContentType="application/vnd.openxmlformats-officedocument.drawingml.chart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theme/themeOverride1.xml" ContentType="application/vnd.openxmlformats-officedocument.themeOverrid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/>
        <w:jc w:val="both"/>
        <w:rPr>
          <w:sz w:val="28"/>
          <w:szCs w:val="28"/>
        </w:rPr>
      </w:pPr>
      <w:r/>
      <w:bookmarkStart w:id="0" w:name="_Toc175215953"/>
      <w:r/>
      <w:bookmarkStart w:id="1" w:name="_Toc119947429"/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left="65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left="65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left="6521"/>
        <w:jc w:val="both"/>
        <w:tabs>
          <w:tab w:val="left" w:pos="634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ПРОЕКТ</w:t>
      </w:r>
      <w:r>
        <w:rPr>
          <w:rFonts w:eastAsia="Calibri"/>
          <w:b/>
          <w:sz w:val="28"/>
          <w:szCs w:val="28"/>
          <w:lang w:eastAsia="en-US"/>
        </w:rPr>
      </w:r>
    </w:p>
    <w:p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Программа комплексного развития систем коммунальной инфраструктуры города Перми на период до 2034 года</w:t>
      </w:r>
      <w:r>
        <w:rPr>
          <w:rFonts w:eastAsia="Calibri"/>
          <w:b/>
          <w:sz w:val="28"/>
          <w:szCs w:val="28"/>
          <w:lang w:eastAsia="en-US"/>
        </w:rPr>
      </w:r>
    </w:p>
    <w:p>
      <w:r/>
      <w:r/>
    </w:p>
    <w:p>
      <w:r/>
      <w:r/>
    </w:p>
    <w:p>
      <w:pPr>
        <w:jc w:val="center"/>
        <w:rPr>
          <w:b/>
          <w:bCs/>
          <w:sz w:val="28"/>
          <w:szCs w:val="28"/>
        </w:rPr>
      </w:pPr>
      <w:r/>
      <w:bookmarkStart w:id="2" w:name="_Toc119947430"/>
      <w:r/>
      <w:bookmarkStart w:id="3" w:name="_Toc175215955"/>
      <w:r/>
      <w:bookmarkStart w:id="4" w:name="_Hlk176260960"/>
      <w:r/>
      <w:bookmarkEnd w:id="0"/>
      <w:r/>
      <w:bookmarkEnd w:id="1"/>
      <w:r>
        <w:rPr>
          <w:b/>
          <w:bCs/>
          <w:sz w:val="28"/>
          <w:szCs w:val="28"/>
          <w:lang w:val="en-US"/>
        </w:rPr>
        <w:t xml:space="preserve">I. </w:t>
      </w:r>
      <w:r>
        <w:rPr>
          <w:b/>
          <w:bCs/>
          <w:sz w:val="28"/>
          <w:szCs w:val="28"/>
        </w:rPr>
        <w:t xml:space="preserve">Паспорт программы</w:t>
      </w:r>
      <w:bookmarkEnd w:id="2"/>
      <w:r/>
      <w:bookmarkEnd w:id="3"/>
      <w:r/>
      <w:bookmarkEnd w:id="4"/>
      <w:r/>
      <w:r>
        <w:rPr>
          <w:b/>
          <w:bCs/>
          <w:sz w:val="28"/>
          <w:szCs w:val="28"/>
        </w:rPr>
      </w:r>
    </w:p>
    <w:p>
      <w:pPr>
        <w:jc w:val="center"/>
        <w:rPr>
          <w:rFonts w:asciiTheme="minorHAnsi" w:hAnsiTheme="minorHAnsi" w:eastAsiaTheme="minorHAnsi" w:cstheme="minorHAnsi"/>
          <w:b/>
          <w:bCs/>
          <w:caps/>
          <w:sz w:val="28"/>
          <w:szCs w:val="28"/>
        </w:rPr>
      </w:pPr>
      <w:r>
        <w:rPr>
          <w:rFonts w:asciiTheme="minorHAnsi" w:hAnsiTheme="minorHAnsi" w:eastAsiaTheme="minorHAnsi" w:cstheme="minorHAnsi"/>
          <w:b/>
          <w:bCs/>
          <w:caps/>
          <w:sz w:val="28"/>
          <w:szCs w:val="28"/>
        </w:rPr>
      </w:r>
      <w:r>
        <w:rPr>
          <w:rFonts w:asciiTheme="minorHAnsi" w:hAnsiTheme="minorHAnsi" w:eastAsiaTheme="minorHAnsi" w:cstheme="minorHAnsi"/>
          <w:b/>
          <w:bCs/>
          <w:caps/>
          <w:sz w:val="28"/>
          <w:szCs w:val="28"/>
        </w:rPr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31"/>
        <w:gridCol w:w="8006"/>
      </w:tblGrid>
      <w:tr>
        <w:tblPrEx/>
        <w:trPr>
          <w:jc w:val="center"/>
          <w:trHeight w:val="20"/>
        </w:trPr>
        <w:tc>
          <w:tcPr>
            <w:shd w:val="clear" w:color="auto" w:fill="auto"/>
            <w:tcW w:w="1051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  <w:r/>
            <w:bookmarkStart w:id="5" w:name="_Hlk166838530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Наименование Программы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</w:tc>
        <w:tc>
          <w:tcPr>
            <w:shd w:val="clear" w:color="auto" w:fill="auto"/>
            <w:tcW w:w="3949" w:type="pct"/>
            <w:vAlign w:val="center"/>
            <w:textDirection w:val="lrTb"/>
            <w:noWrap w:val="false"/>
          </w:tcPr>
          <w:p>
            <w:pPr>
              <w:pStyle w:val="157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комплексного развития систем коммунальной инфраструктуры города Перми на период до 2034 года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1051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Основания для разработки Программы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</w:tc>
        <w:tc>
          <w:tcPr>
            <w:shd w:val="clear" w:color="auto" w:fill="auto"/>
            <w:tcW w:w="3949" w:type="pct"/>
            <w:vAlign w:val="center"/>
            <w:textDirection w:val="lrTb"/>
            <w:noWrap w:val="false"/>
          </w:tcPr>
          <w:p>
            <w:pPr>
              <w:pStyle w:val="157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Градостроительный кодекс Российской Федерации;</w:t>
            </w:r>
            <w:r>
              <w:rPr>
                <w:sz w:val="28"/>
                <w:szCs w:val="28"/>
              </w:rPr>
            </w:r>
          </w:p>
          <w:p>
            <w:pPr>
              <w:pStyle w:val="157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Федеральный закон от 24.06.1998 № 89-ФЗ «Об отходах производства и потребления»;</w:t>
            </w:r>
            <w:r>
              <w:rPr>
                <w:sz w:val="28"/>
                <w:szCs w:val="28"/>
              </w:rPr>
            </w:r>
          </w:p>
          <w:p>
            <w:pPr>
              <w:pStyle w:val="157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Федеральный закон от 31.03.1999 № 69-ФЗ «О газоснабжении в Российской Федерации»;</w:t>
            </w:r>
            <w:r>
              <w:rPr>
                <w:sz w:val="28"/>
                <w:szCs w:val="28"/>
              </w:rPr>
            </w:r>
          </w:p>
          <w:p>
            <w:pPr>
              <w:pStyle w:val="157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Федеральный закон от 10.01.2002 № 7-ФЗ «Об охране окружающей среды»;</w:t>
            </w:r>
            <w:r>
              <w:rPr>
                <w:sz w:val="28"/>
                <w:szCs w:val="28"/>
              </w:rPr>
            </w:r>
          </w:p>
          <w:p>
            <w:pPr>
              <w:pStyle w:val="157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Федеральный закон от 26.03.2003 № 35-ФЗ «Об электроэнергетике»;</w:t>
            </w:r>
            <w:r>
              <w:rPr>
                <w:sz w:val="28"/>
                <w:szCs w:val="28"/>
              </w:rPr>
            </w:r>
          </w:p>
          <w:p>
            <w:pPr>
              <w:pStyle w:val="157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Федеральный закон от 23.11.2009 № 261-ФЗ «Об энергосбережении и о повышении </w:t>
            </w:r>
            <w:r>
              <w:rPr>
                <w:sz w:val="28"/>
                <w:szCs w:val="28"/>
              </w:rPr>
              <w:t xml:space="preserve">энергетической эффективности</w:t>
            </w:r>
            <w:r>
              <w:rPr>
                <w:sz w:val="28"/>
                <w:szCs w:val="28"/>
              </w:rPr>
              <w:t xml:space="preserve"> и о внесении изменений в отдельные законодательные акты Российской Федерации»;</w:t>
            </w:r>
            <w:r>
              <w:rPr>
                <w:sz w:val="28"/>
                <w:szCs w:val="28"/>
              </w:rPr>
            </w:r>
          </w:p>
          <w:p>
            <w:pPr>
              <w:pStyle w:val="157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Федеральный закон от 27.07.2010 № 190-ФЗ «О теплоснабжении»;</w:t>
            </w:r>
            <w:r>
              <w:rPr>
                <w:sz w:val="28"/>
                <w:szCs w:val="28"/>
              </w:rPr>
            </w:r>
          </w:p>
          <w:p>
            <w:pPr>
              <w:pStyle w:val="157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Федеральный закон от 07.12.2011 № 416-ФЗ «О водоснабжении и водоотведении»;</w:t>
            </w:r>
            <w:r>
              <w:rPr>
                <w:sz w:val="28"/>
                <w:szCs w:val="28"/>
              </w:rPr>
            </w:r>
          </w:p>
          <w:p>
            <w:pPr>
              <w:pStyle w:val="157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Постановление Правительства Российской Федерации от 14.06.2013 № 502 «Об утверждении требований к программам комплексного развития систем коммунальной инфраструктуры поселений, муниципальных округов, городских округов»;</w:t>
            </w:r>
            <w:r>
              <w:rPr>
                <w:sz w:val="28"/>
                <w:szCs w:val="28"/>
              </w:rPr>
            </w:r>
          </w:p>
          <w:p>
            <w:pPr>
              <w:pStyle w:val="157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Приказ Министерства регионального развития Российской Федерации от 06.05.2011 № 204 «О разработке программ комплексного развития систем коммунальной инфраструктуры муниципальных образований»;</w:t>
            </w:r>
            <w:r>
              <w:rPr>
                <w:sz w:val="28"/>
                <w:szCs w:val="28"/>
              </w:rPr>
            </w:r>
          </w:p>
          <w:p>
            <w:pPr>
              <w:pStyle w:val="157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Приказ </w:t>
            </w:r>
            <w:r>
              <w:rPr>
                <w:bCs/>
                <w:sz w:val="28"/>
                <w:szCs w:val="28"/>
              </w:rPr>
              <w:t xml:space="preserve">Федерального агентства по строительству и жилищно-коммунальному хозяйству</w:t>
            </w:r>
            <w:r>
              <w:rPr>
                <w:sz w:val="28"/>
                <w:szCs w:val="28"/>
              </w:rPr>
              <w:t xml:space="preserve"> от 01.10.2013 № 359/ГС «Об утверждении методических рекомендаций по разработке программ комплексного развития систем коммунальной инфраструктуры поселений, городских округов»;</w:t>
            </w:r>
            <w:r>
              <w:rPr>
                <w:sz w:val="28"/>
                <w:szCs w:val="28"/>
              </w:rPr>
            </w:r>
          </w:p>
          <w:p>
            <w:pPr>
              <w:pStyle w:val="157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Приказ </w:t>
            </w:r>
            <w:r>
              <w:rPr>
                <w:bCs/>
                <w:sz w:val="28"/>
                <w:szCs w:val="28"/>
              </w:rPr>
              <w:t xml:space="preserve">Федерального агентства по строительству и жилищно-коммунальному хозяйству</w:t>
            </w:r>
            <w:r>
              <w:rPr>
                <w:sz w:val="28"/>
                <w:szCs w:val="28"/>
              </w:rPr>
              <w:t xml:space="preserve"> от 28.10.2013 № 397/ГС «О порядке осуществления мониторинга разработки и утверждения программ комплексного развития систем коммунальной инфраструктуры поселений, городских округов»;</w:t>
            </w:r>
            <w:r>
              <w:rPr>
                <w:sz w:val="28"/>
                <w:szCs w:val="28"/>
              </w:rPr>
            </w:r>
          </w:p>
          <w:p>
            <w:pPr>
              <w:pStyle w:val="157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ГОСТ 7.32-2017 «Межгосударственный стандарт. Система стандартов по информации, библиотечному и издательскому делу. Отчет о научно-исследовательской работе. Структура и правила оформления», введенный в действие приказом </w:t>
            </w:r>
            <w:r>
              <w:rPr>
                <w:sz w:val="28"/>
                <w:szCs w:val="28"/>
              </w:rPr>
              <w:t xml:space="preserve">Росстандарта</w:t>
            </w:r>
            <w:r>
              <w:rPr>
                <w:sz w:val="28"/>
                <w:szCs w:val="28"/>
              </w:rPr>
              <w:t xml:space="preserve"> от 24.10.2017 № 1494-ст «О введении в действие межгосударственного стандарта»;</w:t>
            </w:r>
            <w:r>
              <w:rPr>
                <w:sz w:val="28"/>
                <w:szCs w:val="28"/>
              </w:rPr>
            </w:r>
          </w:p>
          <w:p>
            <w:pPr>
              <w:pStyle w:val="157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Генеральный план города Перми, утвержденный решением Пермской городской Думы от 17.12.2010 № 205 (далее – ГП города Перми);</w:t>
            </w:r>
            <w:r>
              <w:rPr>
                <w:sz w:val="28"/>
                <w:szCs w:val="28"/>
              </w:rPr>
            </w:r>
          </w:p>
          <w:p>
            <w:pPr>
              <w:pStyle w:val="157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 Правила землепользования и застройки города Перми, утвержденные решением Пермской городской Думы от 26.06.2007 № 143.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1051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Заказчик Программы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</w:tc>
        <w:tc>
          <w:tcPr>
            <w:shd w:val="clear" w:color="auto" w:fill="auto"/>
            <w:tcW w:w="3949" w:type="pct"/>
            <w:vAlign w:val="center"/>
            <w:textDirection w:val="lrTb"/>
            <w:noWrap w:val="false"/>
          </w:tcPr>
          <w:p>
            <w:pPr>
              <w:pStyle w:val="157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города Перми</w:t>
            </w:r>
            <w:r>
              <w:rPr>
                <w:sz w:val="28"/>
                <w:szCs w:val="28"/>
              </w:rPr>
            </w:r>
          </w:p>
          <w:p>
            <w:pPr>
              <w:pStyle w:val="157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заказчика – департамент жилищно-коммунального хозяйства администрации города Перми </w:t>
            </w:r>
            <w:r>
              <w:rPr>
                <w:sz w:val="28"/>
                <w:szCs w:val="28"/>
              </w:rPr>
            </w:r>
          </w:p>
          <w:p>
            <w:pPr>
              <w:pStyle w:val="157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614015, г. Пермь, ул. Ленина, 34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1051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Разработчик Программы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</w:tc>
        <w:tc>
          <w:tcPr>
            <w:shd w:val="clear" w:color="auto" w:fill="auto"/>
            <w:tcW w:w="3949" w:type="pct"/>
            <w:vAlign w:val="center"/>
            <w:textDirection w:val="lrTb"/>
            <w:noWrap w:val="false"/>
          </w:tcPr>
          <w:p>
            <w:pPr>
              <w:pStyle w:val="157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Компания «Интегратор»</w:t>
            </w:r>
            <w:r>
              <w:rPr>
                <w:sz w:val="28"/>
                <w:szCs w:val="28"/>
              </w:rPr>
            </w:r>
          </w:p>
          <w:p>
            <w:pPr>
              <w:pStyle w:val="157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адрес:</w:t>
            </w:r>
            <w:r>
              <w:rPr>
                <w:sz w:val="28"/>
                <w:szCs w:val="28"/>
              </w:rPr>
            </w:r>
          </w:p>
          <w:p>
            <w:pPr>
              <w:pStyle w:val="157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105082, г. Москва, </w:t>
            </w:r>
            <w:r>
              <w:rPr>
                <w:sz w:val="28"/>
                <w:szCs w:val="28"/>
              </w:rPr>
              <w:t xml:space="preserve">вн.тер.г.муницип.округ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Басманный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</w:r>
          </w:p>
          <w:p>
            <w:pPr>
              <w:pStyle w:val="157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</w:t>
            </w:r>
            <w:r>
              <w:rPr>
                <w:sz w:val="28"/>
                <w:szCs w:val="28"/>
              </w:rPr>
              <w:t xml:space="preserve">Переведеновский</w:t>
            </w:r>
            <w:r>
              <w:rPr>
                <w:sz w:val="28"/>
                <w:szCs w:val="28"/>
              </w:rPr>
              <w:t xml:space="preserve">, д. 13, стр. 18, пом. 21Н/3.</w:t>
            </w:r>
            <w:r>
              <w:rPr>
                <w:sz w:val="28"/>
                <w:szCs w:val="28"/>
              </w:rPr>
            </w:r>
          </w:p>
          <w:p>
            <w:pPr>
              <w:pStyle w:val="157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Почтовый адрес, </w:t>
            </w:r>
            <w:r>
              <w:rPr>
                <w:sz w:val="28"/>
                <w:szCs w:val="28"/>
              </w:rPr>
              <w:t xml:space="preserve">режимно</w:t>
            </w:r>
            <w:r>
              <w:rPr>
                <w:sz w:val="28"/>
                <w:szCs w:val="28"/>
              </w:rPr>
              <w:t xml:space="preserve">-секретное подразделение: </w:t>
            </w:r>
            <w:r>
              <w:rPr>
                <w:sz w:val="28"/>
                <w:szCs w:val="28"/>
              </w:rPr>
            </w:r>
          </w:p>
          <w:p>
            <w:pPr>
              <w:pStyle w:val="157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150001, г. Ярославль, пр-т Московский, д. 1а, пом. 27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1051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Ответственный исполнитель Программы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</w:tc>
        <w:tc>
          <w:tcPr>
            <w:shd w:val="clear" w:color="auto" w:fill="auto"/>
            <w:tcW w:w="3949" w:type="pct"/>
            <w:textDirection w:val="lrTb"/>
            <w:noWrap w:val="false"/>
          </w:tcPr>
          <w:p>
            <w:pPr>
              <w:pStyle w:val="157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жилищно-коммунального хозяйства администрации города Перми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1051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Соисполнители Программы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</w:tc>
        <w:tc>
          <w:tcPr>
            <w:shd w:val="clear" w:color="auto" w:fill="auto"/>
            <w:tcW w:w="3949" w:type="pct"/>
            <w:textDirection w:val="lrTb"/>
            <w:noWrap w:val="false"/>
          </w:tcPr>
          <w:p>
            <w:pPr>
              <w:tabs>
                <w:tab w:val="left" w:pos="284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-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1051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Цели Программы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</w:tc>
        <w:tc>
          <w:tcPr>
            <w:shd w:val="clear" w:color="auto" w:fill="auto"/>
            <w:tcW w:w="3949" w:type="pct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1. Обеспечение сбалансированного, перспе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ктивного развития систем коммунальной инфраструктуры в соответствии с потребностями в строительстве объектов капитального строительства и соответствующих установленным требованиям надежности, энергетической эффективности систем коммунальной инфраструктуры.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tabs>
                <w:tab w:val="left" w:pos="284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2. Снижение негативного воздействия на окружающую среду и здоровье человека.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tabs>
                <w:tab w:val="left" w:pos="284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3. Повышение качества оказываемых потребителям услуг в сферах электро-, газо-, тепло-, водоснабжения и водоотведения, а также услуг по утилизации, обезвреживанию и захоронению твердых </w:t>
            </w:r>
            <w:r>
              <w:rPr>
                <w:rFonts w:asciiTheme="minorHAnsi" w:hAnsiTheme="minorHAnsi" w:cstheme="minorHAnsi"/>
                <w:sz w:val="28"/>
                <w:szCs w:val="28"/>
                <w:highlight w:val="white"/>
              </w:rPr>
              <w:t xml:space="preserve">коммунальных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отходов.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tabs>
                <w:tab w:val="left" w:pos="284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4. Получение новых знаний о технических и экономических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решениях, позволяющих оптимальным путем снизить эксплуатационные затраты при обеспечении необходимой надежности и качества коммунальных услуг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1051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Задачи Программы 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</w:tc>
        <w:tc>
          <w:tcPr>
            <w:shd w:val="clear" w:color="auto" w:fill="auto"/>
            <w:tcW w:w="3949" w:type="pct"/>
            <w:vAlign w:val="center"/>
            <w:textDirection w:val="lrTb"/>
            <w:noWrap w:val="false"/>
          </w:tcPr>
          <w:p>
            <w:pPr>
              <w:jc w:val="both"/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1. </w:t>
            </w:r>
            <w:r>
              <w:rPr>
                <w:color w:val="000000"/>
                <w:sz w:val="28"/>
                <w:szCs w:val="28"/>
              </w:rPr>
              <w:t xml:space="preserve">Строительство, реконструкция и модернизация сетей и объектов централизованных систем электроснабжения на территории города Перми.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2. </w:t>
            </w:r>
            <w:r>
              <w:rPr>
                <w:color w:val="000000"/>
                <w:sz w:val="28"/>
                <w:szCs w:val="28"/>
              </w:rPr>
              <w:t xml:space="preserve">Строительство, реконструкция и модернизация сетей и объектов централизованных систем газоснабжения на территории города Перми.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both"/>
              <w:spacing w:line="288" w:lineRule="atLeast"/>
              <w:rPr>
                <w:rFonts w:asciiTheme="minorHAnsi" w:hAnsiTheme="minorHAnsi" w:cstheme="minorHAnsi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3. </w:t>
            </w:r>
            <w:r>
              <w:rPr>
                <w:color w:val="000000"/>
                <w:sz w:val="28"/>
                <w:szCs w:val="28"/>
              </w:rPr>
              <w:t xml:space="preserve">Строительство, реконструкция и модернизация сетей и объектов централизованных систем теплоснабжения на территории города Перми.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4. </w:t>
            </w:r>
            <w:r>
              <w:rPr>
                <w:color w:val="000000"/>
                <w:sz w:val="28"/>
                <w:szCs w:val="28"/>
              </w:rPr>
              <w:t xml:space="preserve">Строительство, реконструкция и модернизация сетей и объектов централизованных систем водоснабжения на территории города Перми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284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5. </w:t>
            </w:r>
            <w:r>
              <w:rPr>
                <w:color w:val="000000"/>
                <w:sz w:val="28"/>
                <w:szCs w:val="28"/>
              </w:rPr>
              <w:t xml:space="preserve">Строительство, реконструкция и модернизация сетей и объектов централизованных систем водоотведения на территории города Перми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.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tabs>
                <w:tab w:val="left" w:pos="284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6. </w:t>
            </w:r>
            <w:r>
              <w:rPr>
                <w:color w:val="000000"/>
                <w:sz w:val="28"/>
                <w:szCs w:val="28"/>
              </w:rPr>
              <w:t xml:space="preserve">Строительство, реконструкция и модернизация сетей и объектов централизованных систем ливневой канализации на территории города Перми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.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tabs>
                <w:tab w:val="left" w:pos="284" w:leader="none"/>
              </w:tabs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7.</w:t>
            </w:r>
            <w:r>
              <w:rPr>
                <w:color w:val="000000"/>
                <w:sz w:val="28"/>
                <w:szCs w:val="28"/>
              </w:rPr>
              <w:t xml:space="preserve"> Строительство, реконструкция и модернизация объектов, используемых для утилизации, обезвреживания и захоронения твердых коммунальных отходов на территории города Перми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1051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Важнейшие целевые показатели Программы 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</w:tc>
        <w:tc>
          <w:tcPr>
            <w:shd w:val="clear" w:color="auto" w:fill="auto"/>
            <w:tcW w:w="3949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К концу реализации Программы (2034 год) планируется достичь следующих значений основных целевых показателей: 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Система теплоснабжения: 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1. полезный отпуск тепловой энергии – 13 006,0 тыс. Гкал в год;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2. количество прекращений подачи тепловой энергии, теплоносителя в результате технологических нарушений на источниках тепловой энергии на 1 Гкал/час установленной мощности сверх предела разрешенных отклонений – 0,0 ед./Гкал/ч;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pStyle w:val="1239"/>
              <w:contextualSpacing w:val="0"/>
              <w:ind w:left="0"/>
              <w:jc w:val="both"/>
              <w:spacing w:line="240" w:lineRule="auto"/>
              <w:tabs>
                <w:tab w:val="left" w:pos="351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3. количество прекращений подачи тепловой энергии, теплоносителя в результате технологических нарушений на тепловых сетях на 1 км тепловых сетей в однотрубном исчислении сверх предела разрешенных отклонений в ценовой зоне теплоснабжения – 0,03 ед./км;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pStyle w:val="1239"/>
              <w:contextualSpacing w:val="0"/>
              <w:ind w:left="0"/>
              <w:jc w:val="both"/>
              <w:spacing w:line="240" w:lineRule="auto"/>
              <w:tabs>
                <w:tab w:val="left" w:pos="351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4. уровень потерь тепловой энергии за год – 11,2 %;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pStyle w:val="1239"/>
              <w:contextualSpacing w:val="0"/>
              <w:ind w:left="0"/>
              <w:jc w:val="both"/>
              <w:spacing w:line="240" w:lineRule="auto"/>
              <w:tabs>
                <w:tab w:val="left" w:pos="351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5. удельный годовой расход топлива на производство тепловой энергии – 170,2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кг.у.т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./Гкал.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Система холодного водоснабжения: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1. потребление питьевой воды абонентами на территории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города – 74 945,26 </w:t>
            </w:r>
            <w:bookmarkStart w:id="6" w:name="_Hlk176251822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тыс. куб. м в год;</w:t>
            </w:r>
            <w:bookmarkEnd w:id="6"/>
            <w:r/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2. количество перерывов в подаче воды, возникших в результате аварий, – 0,37 ед./км;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3. доля потерь воды в централизованных системах водоснабжения при транспортировке в общем объеме воды, поданной в водопроводную сеть, – 20,86 %;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pStyle w:val="1239"/>
              <w:contextualSpacing w:val="0"/>
              <w:ind w:left="0"/>
              <w:jc w:val="both"/>
              <w:spacing w:line="240" w:lineRule="auto"/>
              <w:tabs>
                <w:tab w:val="left" w:pos="351" w:leader="none"/>
                <w:tab w:val="left" w:pos="634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4. удельный расход электрической энергии, потребляемой в технологическом процессе подготовки питьевой воды, – 0,541 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кВт·ч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/куб. м;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pStyle w:val="1239"/>
              <w:contextualSpacing w:val="0"/>
              <w:ind w:left="0"/>
              <w:jc w:val="both"/>
              <w:spacing w:line="240" w:lineRule="auto"/>
              <w:tabs>
                <w:tab w:val="left" w:pos="351" w:leader="none"/>
                <w:tab w:val="left" w:pos="634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5. удельный расход электрической энергии, потребляемой в технологическом процессе транспортировки питьевой воды, – 0,170 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кВт·ч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/куб. м.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Система горячего водоснабжения: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pStyle w:val="1239"/>
              <w:contextualSpacing w:val="0"/>
              <w:ind w:left="0"/>
              <w:jc w:val="both"/>
              <w:spacing w:line="240" w:lineRule="auto"/>
              <w:tabs>
                <w:tab w:val="left" w:pos="351" w:leader="none"/>
                <w:tab w:val="left" w:pos="634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1. потребление горячей воды абонентами на территории города – 8 791,88 тыс. куб. м в год;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pStyle w:val="1239"/>
              <w:contextualSpacing w:val="0"/>
              <w:ind w:left="0"/>
              <w:jc w:val="both"/>
              <w:spacing w:line="240" w:lineRule="auto"/>
              <w:tabs>
                <w:tab w:val="left" w:pos="351" w:leader="none"/>
                <w:tab w:val="left" w:pos="634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2. доля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воды, – 0,00 %;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pStyle w:val="1239"/>
              <w:contextualSpacing w:val="0"/>
              <w:ind w:left="0"/>
              <w:jc w:val="both"/>
              <w:spacing w:line="240" w:lineRule="auto"/>
              <w:tabs>
                <w:tab w:val="left" w:pos="351" w:leader="none"/>
                <w:tab w:val="left" w:pos="634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3.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воды, – 0,00 %;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pStyle w:val="1239"/>
              <w:contextualSpacing w:val="0"/>
              <w:ind w:left="0"/>
              <w:jc w:val="both"/>
              <w:spacing w:line="240" w:lineRule="auto"/>
              <w:tabs>
                <w:tab w:val="left" w:pos="351" w:leader="none"/>
                <w:tab w:val="left" w:pos="634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4. удельное количество тепловой энергии, расходуемое на подогрев горячей воды (не более), – 0,06 Гкал/куб. м.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Система водоотведения: 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1. сброс сточных вод абонентами на территории города – 83 470,91 тыс. куб. м в год;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pStyle w:val="1239"/>
              <w:contextualSpacing w:val="0"/>
              <w:ind w:left="0"/>
              <w:jc w:val="both"/>
              <w:spacing w:line="240" w:lineRule="auto"/>
              <w:tabs>
                <w:tab w:val="left" w:pos="351" w:leader="none"/>
                <w:tab w:val="left" w:pos="634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2. доля сточных вод, не подвергшихся очистке, – 0,00 %;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pStyle w:val="1239"/>
              <w:contextualSpacing w:val="0"/>
              <w:ind w:left="0"/>
              <w:jc w:val="both"/>
              <w:spacing w:line="240" w:lineRule="auto"/>
              <w:tabs>
                <w:tab w:val="left" w:pos="351" w:leader="none"/>
                <w:tab w:val="left" w:pos="634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3. доля проб сточных вод, не соответствующих установленным нормативам допустимых сбросов, – 2,93 %;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pStyle w:val="1239"/>
              <w:contextualSpacing w:val="0"/>
              <w:ind w:left="0"/>
              <w:jc w:val="both"/>
              <w:spacing w:line="240" w:lineRule="auto"/>
              <w:tabs>
                <w:tab w:val="left" w:pos="351" w:leader="none"/>
                <w:tab w:val="left" w:pos="634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4. удельное количество аварий в расчете на протяженность канализационной сети – 0,10 ед./км;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pStyle w:val="1239"/>
              <w:contextualSpacing w:val="0"/>
              <w:ind w:left="0"/>
              <w:jc w:val="both"/>
              <w:spacing w:line="240" w:lineRule="auto"/>
              <w:tabs>
                <w:tab w:val="left" w:pos="351" w:leader="none"/>
                <w:tab w:val="left" w:pos="634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5. удельный расход электрической энергии, потребляемой в технологическом процессе очистки сточных вод, – 0,364 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кВт·ч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/куб. м;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pStyle w:val="1239"/>
              <w:contextualSpacing w:val="0"/>
              <w:ind w:left="0"/>
              <w:jc w:val="both"/>
              <w:spacing w:line="240" w:lineRule="auto"/>
              <w:tabs>
                <w:tab w:val="left" w:pos="351" w:leader="none"/>
                <w:tab w:val="left" w:pos="634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6. удельный расход электрической энергии, потребляемой в технологическом процессе транспортировки сточных вод, – 0,</w:t>
            </w:r>
            <w:bookmarkStart w:id="7" w:name="_Hlk176251253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458 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кВт·ч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/куб. м.</w:t>
            </w:r>
            <w:bookmarkEnd w:id="7"/>
            <w:r/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tabs>
                <w:tab w:val="left" w:pos="634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Система электроснабжения: 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tabs>
                <w:tab w:val="left" w:pos="351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1. годовой полезный отпуск электроэнергии – 9 400,6 млн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кВт·ч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tabs>
                <w:tab w:val="left" w:pos="351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2. показатель средней частоты прекращений передачи электрической энергии на точку поставки (SAIFI) – 0,8 ед.;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tabs>
                <w:tab w:val="left" w:pos="351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3. показатель средней продолжительности прекращений передачи электрической энергии на точку поставки (SAIDI) – 2,5 ч.;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tabs>
                <w:tab w:val="left" w:pos="351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4. уровень потерь электроэнергии за год – 11,0 %;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tabs>
                <w:tab w:val="left" w:pos="351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5. удельный годовой расход топлива на производство электрической энергии – 171,0 гут/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кВт·ч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.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Система газоснабжения: 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pStyle w:val="1239"/>
              <w:contextualSpacing w:val="0"/>
              <w:ind w:left="0"/>
              <w:jc w:val="both"/>
              <w:spacing w:line="240" w:lineRule="auto"/>
              <w:tabs>
                <w:tab w:val="left" w:pos="351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1. годовой отпуск природного газа в сеть – 15 355,3 млн куб. м;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pStyle w:val="1239"/>
              <w:contextualSpacing w:val="0"/>
              <w:ind w:left="0"/>
              <w:jc w:val="both"/>
              <w:spacing w:line="240" w:lineRule="auto"/>
              <w:tabs>
                <w:tab w:val="left" w:pos="351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2. аварийность газовых сетей за год – 0,0 ед./км;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pStyle w:val="1239"/>
              <w:contextualSpacing w:val="0"/>
              <w:ind w:left="0"/>
              <w:jc w:val="both"/>
              <w:spacing w:line="240" w:lineRule="auto"/>
              <w:tabs>
                <w:tab w:val="left" w:pos="351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3. количество абонентов за год, получивших услугу ненадлежащего качества, – 0,0 ед.;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pStyle w:val="1239"/>
              <w:contextualSpacing w:val="0"/>
              <w:ind w:left="0"/>
              <w:jc w:val="both"/>
              <w:spacing w:line="240" w:lineRule="auto"/>
              <w:tabs>
                <w:tab w:val="left" w:pos="351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4. уровень потерь природного газа в сетях за год – 0,4 %.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Сбор и утилизация твердых коммунальных отходов (далее – ТКО): 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pStyle w:val="1239"/>
              <w:contextualSpacing w:val="0"/>
              <w:ind w:left="0"/>
              <w:jc w:val="both"/>
              <w:spacing w:line="240" w:lineRule="auto"/>
              <w:tabs>
                <w:tab w:val="left" w:pos="351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1. объем образованных ТКО за год – 342,1 тыс. т;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pStyle w:val="1239"/>
              <w:contextualSpacing w:val="0"/>
              <w:ind w:left="0"/>
              <w:jc w:val="both"/>
              <w:spacing w:line="240" w:lineRule="auto"/>
              <w:tabs>
                <w:tab w:val="left" w:pos="351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2. доля вывозимых ТКО на объекты размещения, переработки и утилизации – 100,0 %;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pStyle w:val="1239"/>
              <w:contextualSpacing w:val="0"/>
              <w:ind w:left="0"/>
              <w:jc w:val="both"/>
              <w:spacing w:line="240" w:lineRule="auto"/>
              <w:tabs>
                <w:tab w:val="left" w:pos="351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3. количество мест накопления (площадок), соответствующих нормативным требованиям на конец года, – 3 480 ед.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pStyle w:val="1239"/>
              <w:contextualSpacing w:val="0"/>
              <w:ind w:left="0"/>
              <w:jc w:val="both"/>
              <w:spacing w:line="240" w:lineRule="auto"/>
              <w:tabs>
                <w:tab w:val="left" w:pos="351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tabs>
                <w:tab w:val="left" w:pos="634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Система ливневой канализации: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pStyle w:val="1239"/>
              <w:contextualSpacing w:val="0"/>
              <w:ind w:left="0"/>
              <w:jc w:val="both"/>
              <w:spacing w:line="240" w:lineRule="auto"/>
              <w:tabs>
                <w:tab w:val="left" w:pos="351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1. доля поверхностных сточных вод, не подвергающихся очистке, в общем объеме поверхностных сточных вод, поступивших в централизованную ливневую систему водоотведения, – 82,8 %;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pStyle w:val="1239"/>
              <w:contextualSpacing w:val="0"/>
              <w:ind w:left="0"/>
              <w:jc w:val="both"/>
              <w:spacing w:line="240" w:lineRule="auto"/>
              <w:tabs>
                <w:tab w:val="left" w:pos="351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2. доля проб поверхностных сточных вод, не соответствующих установленным нормативам допустимых сбросов, лимитам на сбросы для централизованной ливневой систем водоотведения, – 80,0 %;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pStyle w:val="1239"/>
              <w:contextualSpacing w:val="0"/>
              <w:ind w:left="0"/>
              <w:jc w:val="both"/>
              <w:spacing w:line="240" w:lineRule="auto"/>
              <w:tabs>
                <w:tab w:val="left" w:pos="351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3. удельное количество аварий и засоров в расчете на протяженность ливневой сети в год – 0,5 ед./км;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pStyle w:val="1239"/>
              <w:contextualSpacing w:val="0"/>
              <w:ind w:left="0"/>
              <w:jc w:val="both"/>
              <w:spacing w:line="240" w:lineRule="auto"/>
              <w:tabs>
                <w:tab w:val="left" w:pos="351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4. удельный расход электрической энергии, потребляемой в технологическом процессе очистки поверхностных сточных вод, на единицу объема очищаемых ливневых сточных вод – 0,140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кВт‧ч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/куб. м;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pStyle w:val="1239"/>
              <w:contextualSpacing w:val="0"/>
              <w:ind w:left="0"/>
              <w:jc w:val="both"/>
              <w:spacing w:line="240" w:lineRule="auto"/>
              <w:tabs>
                <w:tab w:val="left" w:pos="351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5. удельный расход электрической энергии, потребляемой в технологическом процессе транспортировки поверхностных сточных вод, на единицу объема транспортируемых ливневых сточных вод – 0,008 </w:t>
            </w:r>
            <w:bookmarkStart w:id="8" w:name="_Hlk176251644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кВт‧ч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/куб. м</w:t>
            </w:r>
            <w:bookmarkEnd w:id="8"/>
            <w:r/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1051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Срок и этапы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реализации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Программы 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</w:tc>
        <w:tc>
          <w:tcPr>
            <w:shd w:val="clear" w:color="auto" w:fill="auto"/>
            <w:tcW w:w="3949" w:type="pct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Программа разрабатывается на срок не менее 10 лет и не более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чем на срок действия ГП города Перми.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Программа реализуется в соответствии со сроком действия ГП города Перми: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pStyle w:val="1458"/>
              <w:numPr>
                <w:ilvl w:val="0"/>
                <w:numId w:val="0"/>
              </w:numPr>
              <w:tabs>
                <w:tab w:val="left" w:pos="638" w:leader="none"/>
                <w:tab w:val="clear" w:pos="1021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очередь – до конца 2028 года;</w:t>
            </w:r>
            <w:r>
              <w:rPr>
                <w:sz w:val="28"/>
                <w:szCs w:val="28"/>
              </w:rPr>
            </w:r>
          </w:p>
          <w:p>
            <w:pPr>
              <w:pStyle w:val="1458"/>
              <w:numPr>
                <w:ilvl w:val="0"/>
                <w:numId w:val="0"/>
              </w:numPr>
              <w:tabs>
                <w:tab w:val="left" w:pos="638" w:leader="none"/>
                <w:tab w:val="clear" w:pos="1021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вторая очередь – до конца 2034 года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1051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Объемы требуемых капитальных вложений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</w:tc>
        <w:tc>
          <w:tcPr>
            <w:shd w:val="clear" w:color="auto" w:fill="auto"/>
            <w:tcW w:w="3949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За время реализации инвестиционных проектов в общей сложности должно быть привлечено 169 057,0 млн руб. без налога на добавленную стоимость (далее – НДС)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 xml:space="preserve">1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в ценах соответствующих лет, в том числе: 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ind w:left="-7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1. по видам коммунальных услуг (системам), без НДС: 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tabs>
                <w:tab w:val="left" w:pos="351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система теплоснабжения – 31 880,3 млн руб.;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tabs>
                <w:tab w:val="left" w:pos="351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система водоснабжения – 58 921,6 млн руб.;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tabs>
                <w:tab w:val="left" w:pos="351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система водоотведения – 61 666,7 млн руб.;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tabs>
                <w:tab w:val="left" w:pos="351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система электроснабжения – 4 418,6 млн руб.;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tabs>
                <w:tab w:val="left" w:pos="351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система газоснабжения – 1 223,2 млн руб.;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tabs>
                <w:tab w:val="left" w:pos="351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сфера (система) обращения с ТКО – 10 946,7 млн руб.;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ind w:left="462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2. по источникам финансирования, без НДС: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tabs>
                <w:tab w:val="left" w:pos="351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собственные/кредитные средства – 42 188,0 млн руб.;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tabs>
                <w:tab w:val="left" w:pos="351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плата за подключение к инженерным сетям – 21 507,3 млн руб.;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tabs>
                <w:tab w:val="left" w:pos="351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бюджеты различных уровней – 7 300,2 млн руб.;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tabs>
                <w:tab w:val="left" w:pos="351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прочие источники – 7 009,7 млн руб.;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tabs>
                <w:tab w:val="left" w:pos="351" w:leader="none"/>
              </w:tabs>
              <w:rPr>
                <w:i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источник не определен – 91 051,8 млн руб.</w:t>
            </w:r>
            <w:r>
              <w:rPr>
                <w:i/>
                <w:iCs/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1051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Ожидаемые результаты 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реализации Программы 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</w:tc>
        <w:tc>
          <w:tcPr>
            <w:shd w:val="clear" w:color="auto" w:fill="auto"/>
            <w:tcW w:w="3949" w:type="pct"/>
            <w:textDirection w:val="lrTb"/>
            <w:noWrap w:val="false"/>
          </w:tcPr>
          <w:p>
            <w:pPr>
              <w:pStyle w:val="1570"/>
              <w:ind w:firstLine="0"/>
              <w:tabs>
                <w:tab w:val="left" w:pos="35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Повышение надежности и качества предоставляемых коммунальных услуг;</w:t>
            </w:r>
            <w:r>
              <w:rPr>
                <w:sz w:val="28"/>
                <w:szCs w:val="28"/>
              </w:rPr>
            </w:r>
          </w:p>
          <w:p>
            <w:pPr>
              <w:pStyle w:val="1570"/>
              <w:ind w:firstLine="0"/>
              <w:tabs>
                <w:tab w:val="left" w:pos="35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Повышение экономической и энергетической эффективности коммунального имущества;</w:t>
            </w:r>
            <w:r>
              <w:rPr>
                <w:sz w:val="28"/>
                <w:szCs w:val="28"/>
              </w:rPr>
            </w:r>
          </w:p>
          <w:p>
            <w:pPr>
              <w:pStyle w:val="1570"/>
              <w:ind w:firstLine="0"/>
              <w:tabs>
                <w:tab w:val="left" w:pos="35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Инженерно-техническая оптимизация систем коммунальной инфраструктуры;</w:t>
            </w:r>
            <w:r>
              <w:rPr>
                <w:sz w:val="28"/>
                <w:szCs w:val="28"/>
              </w:rPr>
            </w:r>
          </w:p>
          <w:p>
            <w:pPr>
              <w:pStyle w:val="1570"/>
              <w:ind w:firstLine="0"/>
              <w:tabs>
                <w:tab w:val="left" w:pos="35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Обеспечение более комфортных условий проживания населения города Перми;</w:t>
            </w:r>
            <w:r>
              <w:rPr>
                <w:sz w:val="28"/>
                <w:szCs w:val="28"/>
              </w:rPr>
            </w:r>
          </w:p>
          <w:p>
            <w:pPr>
              <w:pStyle w:val="1570"/>
              <w:ind w:firstLine="0"/>
              <w:tabs>
                <w:tab w:val="left" w:pos="35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Снижение потерь при поставке ресурсов потребителям;</w:t>
            </w:r>
            <w:r>
              <w:rPr>
                <w:sz w:val="28"/>
                <w:szCs w:val="28"/>
              </w:rPr>
            </w:r>
          </w:p>
          <w:p>
            <w:pPr>
              <w:pStyle w:val="1570"/>
              <w:ind w:firstLine="0"/>
              <w:tabs>
                <w:tab w:val="left" w:pos="35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Улучшение экологической обстановки в городе Перми;</w:t>
            </w:r>
            <w:r>
              <w:rPr>
                <w:sz w:val="28"/>
                <w:szCs w:val="28"/>
              </w:rPr>
            </w:r>
          </w:p>
          <w:p>
            <w:pPr>
              <w:pStyle w:val="1570"/>
              <w:ind w:firstLine="0"/>
              <w:tabs>
                <w:tab w:val="left" w:pos="4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Повышение инвестиционной привлекательности коммунальной инфраструктуры;</w:t>
            </w:r>
            <w:r>
              <w:rPr>
                <w:sz w:val="28"/>
                <w:szCs w:val="28"/>
              </w:rPr>
            </w:r>
          </w:p>
          <w:p>
            <w:pPr>
              <w:pStyle w:val="1570"/>
              <w:ind w:firstLine="0"/>
              <w:tabs>
                <w:tab w:val="left" w:pos="35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Обеспечение сбалансированности интересов </w:t>
            </w:r>
            <w:r>
              <w:rPr>
                <w:sz w:val="28"/>
                <w:szCs w:val="28"/>
              </w:rPr>
              <w:t xml:space="preserve">ресурсоснабжающих</w:t>
            </w:r>
            <w:r>
              <w:rPr>
                <w:sz w:val="28"/>
                <w:szCs w:val="28"/>
              </w:rPr>
              <w:t xml:space="preserve"> организаций и потребителей;</w:t>
            </w:r>
            <w:r>
              <w:rPr>
                <w:sz w:val="28"/>
                <w:szCs w:val="28"/>
              </w:rPr>
            </w:r>
          </w:p>
          <w:p>
            <w:pPr>
              <w:pStyle w:val="1570"/>
              <w:ind w:firstLine="0"/>
              <w:tabs>
                <w:tab w:val="left" w:pos="35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Обеспечение технической и экономической доступности коммунальных ресурсов для устойчивого экономического развития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1570"/>
        <w:jc w:val="left"/>
        <w:rPr>
          <w:rFonts w:asciiTheme="minorHAnsi" w:hAnsiTheme="minorHAnsi" w:cstheme="minorHAnsi"/>
          <w:i/>
          <w:iCs w:val="0"/>
          <w:sz w:val="28"/>
          <w:szCs w:val="28"/>
        </w:rPr>
      </w:pPr>
      <w:r/>
      <w:bookmarkStart w:id="9" w:name="_Toc119947431"/>
      <w:r/>
      <w:bookmarkStart w:id="10" w:name="_Toc175215956"/>
      <w:r/>
      <w:bookmarkEnd w:id="5"/>
      <w:r/>
      <w:r>
        <w:rPr>
          <w:rFonts w:asciiTheme="minorHAnsi" w:hAnsiTheme="minorHAnsi" w:cstheme="minorHAnsi"/>
          <w:i/>
          <w:iCs w:val="0"/>
          <w:sz w:val="28"/>
          <w:szCs w:val="28"/>
        </w:rPr>
      </w:r>
    </w:p>
    <w:p>
      <w:pPr>
        <w:pStyle w:val="1570"/>
        <w:jc w:val="left"/>
        <w:rPr>
          <w:rFonts w:asciiTheme="minorHAnsi" w:hAnsiTheme="minorHAnsi" w:cstheme="minorHAnsi"/>
          <w:i/>
          <w:iCs w:val="0"/>
          <w:sz w:val="28"/>
          <w:szCs w:val="28"/>
        </w:rPr>
      </w:pPr>
      <w:r>
        <w:rPr>
          <w:rFonts w:asciiTheme="minorHAnsi" w:hAnsiTheme="minorHAnsi" w:cstheme="minorHAnsi"/>
          <w:i/>
          <w:iCs w:val="0"/>
          <w:sz w:val="28"/>
          <w:szCs w:val="28"/>
        </w:rPr>
        <w:t xml:space="preserve">---------------------------</w:t>
      </w:r>
      <w:r>
        <w:rPr>
          <w:rFonts w:asciiTheme="minorHAnsi" w:hAnsiTheme="minorHAnsi" w:cstheme="minorHAnsi"/>
          <w:i/>
          <w:iCs w:val="0"/>
          <w:sz w:val="28"/>
          <w:szCs w:val="28"/>
        </w:rPr>
      </w:r>
    </w:p>
    <w:p>
      <w:pPr>
        <w:pStyle w:val="1544"/>
        <w:ind w:right="-14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Без учета финансовых потребностей по прочим инвестиционным проектам: система ливневой канализации, система наружного освещения, многоквартирные дома, общественно-деловые здания.</w:t>
      </w:r>
      <w:r>
        <w:rPr>
          <w:sz w:val="24"/>
          <w:szCs w:val="24"/>
        </w:rPr>
      </w:r>
    </w:p>
    <w:p>
      <w:pPr>
        <w:pStyle w:val="1544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II</w:t>
      </w:r>
      <w:r>
        <w:rPr>
          <w:b/>
          <w:bCs/>
          <w:sz w:val="28"/>
          <w:szCs w:val="28"/>
        </w:rPr>
        <w:t xml:space="preserve">. Характеристика существующего состояния систем коммунальной инфраструктуры</w:t>
      </w:r>
      <w:bookmarkEnd w:id="9"/>
      <w:r/>
      <w:bookmarkEnd w:id="10"/>
      <w:r/>
      <w:r>
        <w:rPr>
          <w:b/>
          <w:bCs/>
          <w:sz w:val="28"/>
          <w:szCs w:val="28"/>
        </w:rPr>
      </w:r>
    </w:p>
    <w:p>
      <w:pPr>
        <w:pStyle w:val="154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4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Подробная характеристика существующего состояния систем коммунальной инфраструктуры города Перми приведена в обосновывающих материалах Программы.</w:t>
      </w:r>
      <w:r>
        <w:rPr>
          <w:sz w:val="28"/>
          <w:szCs w:val="28"/>
        </w:rPr>
      </w:r>
    </w:p>
    <w:p>
      <w:pPr>
        <w:pStyle w:val="154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/>
      <w:bookmarkStart w:id="11" w:name="_Toc119947432"/>
      <w:r/>
      <w:bookmarkStart w:id="12" w:name="_Toc175215957"/>
      <w:r/>
      <w:bookmarkStart w:id="13" w:name="_Hlk176261020"/>
      <w:r>
        <w:rPr>
          <w:b/>
          <w:bCs/>
          <w:sz w:val="28"/>
          <w:szCs w:val="28"/>
        </w:rPr>
        <w:t xml:space="preserve">2.1. Краткий анализ существующего состояния системы теплоснабжения</w:t>
      </w:r>
      <w:bookmarkStart w:id="14" w:name="_Toc119947433"/>
      <w:r/>
      <w:bookmarkStart w:id="15" w:name="_Toc175215958"/>
      <w:r/>
      <w:bookmarkEnd w:id="11"/>
      <w:r/>
      <w:bookmarkEnd w:id="12"/>
      <w:r/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2.1.1 Институциональная структура</w:t>
      </w:r>
      <w:bookmarkEnd w:id="14"/>
      <w:r/>
      <w:bookmarkEnd w:id="15"/>
      <w:r/>
      <w:bookmarkEnd w:id="13"/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Система централизованного теплоснабжения города Перми в общем виде состоит из источников тепловой энергии, тепловых сетей и объектов </w:t>
      </w:r>
      <w:r>
        <w:rPr>
          <w:rFonts w:asciiTheme="minorHAnsi" w:hAnsiTheme="minorHAnsi" w:cstheme="minorHAnsi"/>
          <w:sz w:val="28"/>
          <w:szCs w:val="28"/>
        </w:rPr>
        <w:t xml:space="preserve">теплосетевого</w:t>
      </w:r>
      <w:r>
        <w:rPr>
          <w:rFonts w:asciiTheme="minorHAnsi" w:hAnsiTheme="minorHAnsi" w:cstheme="minorHAnsi"/>
          <w:sz w:val="28"/>
          <w:szCs w:val="28"/>
        </w:rPr>
        <w:t xml:space="preserve"> хозяйства (центральные тепловые пункты и т.п.). 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Подачу тепловой энергии от источников (теплоэлектроцентрали (далее – ТЭЦ) и котельные) осуществляет большое количество теплоснабжающих организаций, владеющих объектами на праве собственности или другом законном основании, среди которых: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/>
      <w:bookmarkStart w:id="16" w:name="_Hlk164926940"/>
      <w:r>
        <w:rPr>
          <w:rFonts w:asciiTheme="minorHAnsi" w:hAnsiTheme="minorHAnsi" w:cstheme="minorHAnsi"/>
          <w:sz w:val="28"/>
          <w:szCs w:val="28"/>
        </w:rPr>
        <w:t xml:space="preserve">1. акционерное общество (далее – АО) «Газпром газораспределение Пермь»</w:t>
      </w:r>
      <w:bookmarkEnd w:id="16"/>
      <w:r>
        <w:rPr>
          <w:rFonts w:asciiTheme="minorHAnsi" w:hAnsiTheme="minorHAnsi" w:cstheme="minorHAnsi"/>
          <w:sz w:val="28"/>
          <w:szCs w:val="28"/>
        </w:rPr>
        <w:t xml:space="preserve">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/>
      <w:bookmarkStart w:id="17" w:name="_Hlk164926945"/>
      <w:r>
        <w:rPr>
          <w:rFonts w:asciiTheme="minorHAnsi" w:hAnsiTheme="minorHAnsi" w:cstheme="minorHAnsi"/>
          <w:sz w:val="28"/>
          <w:szCs w:val="28"/>
        </w:rPr>
        <w:t xml:space="preserve">2. АО «</w:t>
      </w:r>
      <w:r>
        <w:rPr>
          <w:rFonts w:asciiTheme="minorHAnsi" w:hAnsiTheme="minorHAnsi" w:cstheme="minorHAnsi"/>
          <w:sz w:val="28"/>
          <w:szCs w:val="28"/>
        </w:rPr>
        <w:t xml:space="preserve">ГалоПолимер</w:t>
      </w:r>
      <w:r>
        <w:rPr>
          <w:rFonts w:asciiTheme="minorHAnsi" w:hAnsiTheme="minorHAnsi" w:cstheme="minorHAnsi"/>
          <w:sz w:val="28"/>
          <w:szCs w:val="28"/>
        </w:rPr>
        <w:t xml:space="preserve">-Пермь»</w:t>
      </w:r>
      <w:bookmarkEnd w:id="17"/>
      <w:r>
        <w:rPr>
          <w:rFonts w:asciiTheme="minorHAnsi" w:hAnsiTheme="minorHAnsi" w:cstheme="minorHAnsi"/>
          <w:sz w:val="28"/>
          <w:szCs w:val="28"/>
        </w:rPr>
        <w:t xml:space="preserve">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/>
      <w:bookmarkStart w:id="18" w:name="_Hlk164926949"/>
      <w:r>
        <w:rPr>
          <w:rFonts w:asciiTheme="minorHAnsi" w:hAnsiTheme="minorHAnsi" w:cstheme="minorHAnsi"/>
          <w:sz w:val="28"/>
          <w:szCs w:val="28"/>
        </w:rPr>
        <w:t xml:space="preserve">3. АО «</w:t>
      </w:r>
      <w:r>
        <w:rPr>
          <w:rFonts w:asciiTheme="minorHAnsi" w:hAnsiTheme="minorHAnsi" w:cstheme="minorHAnsi"/>
          <w:sz w:val="28"/>
          <w:szCs w:val="28"/>
        </w:rPr>
        <w:t xml:space="preserve">Держава-М</w:t>
      </w:r>
      <w:r>
        <w:rPr>
          <w:rFonts w:asciiTheme="minorHAnsi" w:hAnsiTheme="minorHAnsi" w:cstheme="minorHAnsi"/>
          <w:sz w:val="28"/>
          <w:szCs w:val="28"/>
        </w:rPr>
        <w:t xml:space="preserve">»</w:t>
      </w:r>
      <w:bookmarkEnd w:id="18"/>
      <w:r>
        <w:rPr>
          <w:rFonts w:asciiTheme="minorHAnsi" w:hAnsiTheme="minorHAnsi" w:cstheme="minorHAnsi"/>
          <w:sz w:val="28"/>
          <w:szCs w:val="28"/>
        </w:rPr>
        <w:t xml:space="preserve">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4. АО «</w:t>
      </w:r>
      <w:r>
        <w:rPr>
          <w:rFonts w:asciiTheme="minorHAnsi" w:hAnsiTheme="minorHAnsi" w:cstheme="minorHAnsi"/>
          <w:sz w:val="28"/>
          <w:szCs w:val="28"/>
        </w:rPr>
        <w:t xml:space="preserve">Камтэкс</w:t>
      </w:r>
      <w:r>
        <w:rPr>
          <w:rFonts w:asciiTheme="minorHAnsi" w:hAnsiTheme="minorHAnsi" w:cstheme="minorHAnsi"/>
          <w:sz w:val="28"/>
          <w:szCs w:val="28"/>
        </w:rPr>
        <w:t xml:space="preserve">-Химпром»;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/>
      <w:bookmarkStart w:id="19" w:name="_Hlk164926958"/>
      <w:r>
        <w:rPr>
          <w:rFonts w:asciiTheme="minorHAnsi" w:hAnsiTheme="minorHAnsi" w:cstheme="minorHAnsi"/>
          <w:sz w:val="28"/>
          <w:szCs w:val="28"/>
        </w:rPr>
        <w:t xml:space="preserve">5. АО «</w:t>
      </w:r>
      <w:r>
        <w:rPr>
          <w:rFonts w:asciiTheme="minorHAnsi" w:hAnsiTheme="minorHAnsi" w:cstheme="minorHAnsi"/>
          <w:sz w:val="28"/>
          <w:szCs w:val="28"/>
        </w:rPr>
        <w:t xml:space="preserve">Новомет</w:t>
      </w:r>
      <w:r>
        <w:rPr>
          <w:rFonts w:asciiTheme="minorHAnsi" w:hAnsiTheme="minorHAnsi" w:cstheme="minorHAnsi"/>
          <w:sz w:val="28"/>
          <w:szCs w:val="28"/>
        </w:rPr>
        <w:t xml:space="preserve">-Пермь</w:t>
      </w:r>
      <w:r>
        <w:rPr>
          <w:rFonts w:asciiTheme="minorHAnsi" w:hAnsiTheme="minorHAnsi" w:cstheme="minorHAnsi"/>
          <w:sz w:val="28"/>
          <w:szCs w:val="28"/>
        </w:rPr>
        <w:t xml:space="preserve">» </w:t>
      </w:r>
      <w:bookmarkEnd w:id="19"/>
      <w:r>
        <w:rPr>
          <w:rFonts w:asciiTheme="minorHAnsi" w:hAnsiTheme="minorHAnsi" w:cstheme="minorHAnsi"/>
          <w:sz w:val="28"/>
          <w:szCs w:val="28"/>
        </w:rPr>
        <w:t xml:space="preserve">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/>
      <w:bookmarkStart w:id="20" w:name="_Hlk164926962"/>
      <w:r>
        <w:rPr>
          <w:rFonts w:asciiTheme="minorHAnsi" w:hAnsiTheme="minorHAnsi" w:cstheme="minorHAnsi"/>
          <w:sz w:val="28"/>
          <w:szCs w:val="28"/>
        </w:rPr>
        <w:t xml:space="preserve">6. АО «Пермский завод «Машиностроитель» (далее – АО «ПЗ «Машиностроитель»)</w:t>
      </w:r>
      <w:bookmarkEnd w:id="20"/>
      <w:r>
        <w:rPr>
          <w:rFonts w:asciiTheme="minorHAnsi" w:hAnsiTheme="minorHAnsi" w:cstheme="minorHAnsi"/>
          <w:sz w:val="28"/>
          <w:szCs w:val="28"/>
        </w:rPr>
        <w:t xml:space="preserve">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/>
      <w:bookmarkStart w:id="21" w:name="_Hlk164926975"/>
      <w:r>
        <w:rPr>
          <w:rFonts w:asciiTheme="minorHAnsi" w:hAnsiTheme="minorHAnsi" w:cstheme="minorHAnsi"/>
          <w:sz w:val="28"/>
          <w:szCs w:val="28"/>
        </w:rPr>
        <w:t xml:space="preserve">7. АО Пермский мотовозоремонтный завод «</w:t>
      </w:r>
      <w:r>
        <w:rPr>
          <w:rFonts w:asciiTheme="minorHAnsi" w:hAnsiTheme="minorHAnsi" w:cstheme="minorHAnsi"/>
          <w:sz w:val="28"/>
          <w:szCs w:val="28"/>
        </w:rPr>
        <w:t xml:space="preserve">Ремпутьмаш</w:t>
      </w:r>
      <w:r>
        <w:rPr>
          <w:rFonts w:asciiTheme="minorHAnsi" w:hAnsiTheme="minorHAnsi" w:cstheme="minorHAnsi"/>
          <w:sz w:val="28"/>
          <w:szCs w:val="28"/>
        </w:rPr>
        <w:t xml:space="preserve">» (далее – АО Пермский МРЗ «</w:t>
      </w:r>
      <w:r>
        <w:rPr>
          <w:rFonts w:asciiTheme="minorHAnsi" w:hAnsiTheme="minorHAnsi" w:cstheme="minorHAnsi"/>
          <w:sz w:val="28"/>
          <w:szCs w:val="28"/>
        </w:rPr>
        <w:t xml:space="preserve">Ремпутьмаш</w:t>
      </w:r>
      <w:r>
        <w:rPr>
          <w:rFonts w:asciiTheme="minorHAnsi" w:hAnsiTheme="minorHAnsi" w:cstheme="minorHAnsi"/>
          <w:sz w:val="28"/>
          <w:szCs w:val="28"/>
        </w:rPr>
        <w:t xml:space="preserve">»</w:t>
      </w:r>
      <w:r>
        <w:rPr>
          <w:rFonts w:asciiTheme="minorHAnsi" w:hAnsiTheme="minorHAnsi" w:cstheme="minorHAnsi"/>
          <w:sz w:val="28"/>
          <w:szCs w:val="28"/>
        </w:rPr>
        <w:t xml:space="preserve">) </w:t>
      </w:r>
      <w:bookmarkEnd w:id="21"/>
      <w:r>
        <w:rPr>
          <w:rFonts w:asciiTheme="minorHAnsi" w:hAnsiTheme="minorHAnsi" w:cstheme="minorHAnsi"/>
          <w:sz w:val="28"/>
          <w:szCs w:val="28"/>
        </w:rPr>
        <w:t xml:space="preserve">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/>
      <w:bookmarkStart w:id="22" w:name="_Hlk164926980"/>
      <w:r>
        <w:rPr>
          <w:rFonts w:asciiTheme="minorHAnsi" w:hAnsiTheme="minorHAnsi" w:cstheme="minorHAnsi"/>
          <w:sz w:val="28"/>
          <w:szCs w:val="28"/>
        </w:rPr>
        <w:t xml:space="preserve">8. АО «Пермский мукомольный завод»</w:t>
      </w:r>
      <w:bookmarkEnd w:id="22"/>
      <w:r>
        <w:rPr>
          <w:rFonts w:asciiTheme="minorHAnsi" w:hAnsiTheme="minorHAnsi" w:cstheme="minorHAnsi"/>
          <w:sz w:val="28"/>
          <w:szCs w:val="28"/>
        </w:rPr>
        <w:t xml:space="preserve">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/>
      <w:bookmarkStart w:id="23" w:name="_Hlk164926989"/>
      <w:r>
        <w:rPr>
          <w:rFonts w:asciiTheme="minorHAnsi" w:hAnsiTheme="minorHAnsi" w:cstheme="minorHAnsi"/>
          <w:sz w:val="28"/>
          <w:szCs w:val="28"/>
        </w:rPr>
        <w:t xml:space="preserve">9. АО «Пермский завод силикатных панелей» (далее – АО «ПЗСП»);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10. АО «СИБУР-Химпром»;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11. АО «Сорбент»;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12. АО «</w:t>
      </w:r>
      <w:r>
        <w:rPr>
          <w:rFonts w:asciiTheme="minorHAnsi" w:hAnsiTheme="minorHAnsi" w:cstheme="minorHAnsi"/>
          <w:sz w:val="28"/>
          <w:szCs w:val="28"/>
        </w:rPr>
        <w:t xml:space="preserve">СтройПанельКомплект</w:t>
      </w:r>
      <w:r>
        <w:rPr>
          <w:rFonts w:asciiTheme="minorHAnsi" w:hAnsiTheme="minorHAnsi" w:cstheme="minorHAnsi"/>
          <w:sz w:val="28"/>
          <w:szCs w:val="28"/>
        </w:rPr>
        <w:t xml:space="preserve">» (далее – АО «СПК»);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13. АО «Федеральная пассажирская компания» Уральский филиал «Пассажирское вагонное депо» (далее – АО «ФПК» Уральский филиал «Пассажирское вагонное депо»);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14. АО «Энергетик-Пермские моторы» (далее – АО «Энергетик-ПМ»);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15. Жилищно-строительный кооператив № 43;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16. открытое акционерное общество (далее – ОАО) «Центральный </w:t>
      </w:r>
      <w:r>
        <w:rPr>
          <w:rFonts w:asciiTheme="minorHAnsi" w:hAnsiTheme="minorHAnsi" w:cstheme="minorHAnsi"/>
          <w:sz w:val="28"/>
          <w:szCs w:val="28"/>
        </w:rPr>
        <w:t xml:space="preserve">агроснаб</w:t>
      </w:r>
      <w:r>
        <w:rPr>
          <w:rFonts w:asciiTheme="minorHAnsi" w:hAnsiTheme="minorHAnsi" w:cstheme="minorHAnsi"/>
          <w:sz w:val="28"/>
          <w:szCs w:val="28"/>
        </w:rPr>
        <w:t xml:space="preserve">»;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17. общество с ограниченной ответственностью (далее – ООО) «Армейский Обоз»;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18. ООО «</w:t>
      </w:r>
      <w:r>
        <w:rPr>
          <w:rFonts w:asciiTheme="minorHAnsi" w:hAnsiTheme="minorHAnsi" w:cstheme="minorHAnsi"/>
          <w:sz w:val="28"/>
          <w:szCs w:val="28"/>
        </w:rPr>
        <w:t xml:space="preserve">Головановская</w:t>
      </w:r>
      <w:r>
        <w:rPr>
          <w:rFonts w:asciiTheme="minorHAnsi" w:hAnsiTheme="minorHAnsi" w:cstheme="minorHAnsi"/>
          <w:sz w:val="28"/>
          <w:szCs w:val="28"/>
        </w:rPr>
        <w:t xml:space="preserve"> энергетическая компания» (далее – ООО «ГЭК»);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19. ООО «</w:t>
      </w:r>
      <w:r>
        <w:rPr>
          <w:rFonts w:asciiTheme="minorHAnsi" w:hAnsiTheme="minorHAnsi" w:cstheme="minorHAnsi"/>
          <w:sz w:val="28"/>
          <w:szCs w:val="28"/>
        </w:rPr>
        <w:t xml:space="preserve">Граунд</w:t>
      </w:r>
      <w:r>
        <w:rPr>
          <w:rFonts w:asciiTheme="minorHAnsi" w:hAnsiTheme="minorHAnsi" w:cstheme="minorHAnsi"/>
          <w:sz w:val="28"/>
          <w:szCs w:val="28"/>
        </w:rPr>
        <w:t xml:space="preserve">»;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20. ООО «Домен»;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21. ООО «Импульс Урала»;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22. ООО «Камский кабель»;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23. ООО «ЛУКОЙЛ-</w:t>
      </w:r>
      <w:r>
        <w:rPr>
          <w:rFonts w:asciiTheme="minorHAnsi" w:hAnsiTheme="minorHAnsi" w:cstheme="minorHAnsi"/>
          <w:sz w:val="28"/>
          <w:szCs w:val="28"/>
        </w:rPr>
        <w:t xml:space="preserve">Пермнефтеоргсинтез</w:t>
      </w:r>
      <w:r>
        <w:rPr>
          <w:rFonts w:asciiTheme="minorHAnsi" w:hAnsiTheme="minorHAnsi" w:cstheme="minorHAnsi"/>
          <w:sz w:val="28"/>
          <w:szCs w:val="28"/>
        </w:rPr>
        <w:t xml:space="preserve">»;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24. ООО «МЖК-Строй»;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25. ООО «Новая городская инфраструктура </w:t>
      </w:r>
      <w:r>
        <w:rPr>
          <w:rFonts w:asciiTheme="minorHAnsi" w:hAnsiTheme="minorHAnsi" w:cstheme="minorHAnsi"/>
          <w:sz w:val="28"/>
          <w:szCs w:val="28"/>
        </w:rPr>
        <w:t xml:space="preserve">Прикамья</w:t>
      </w:r>
      <w:r>
        <w:rPr>
          <w:rFonts w:asciiTheme="minorHAnsi" w:hAnsiTheme="minorHAnsi" w:cstheme="minorHAnsi"/>
          <w:sz w:val="28"/>
          <w:szCs w:val="28"/>
        </w:rPr>
        <w:t xml:space="preserve">» (далее – ООО «НОВОГОР-</w:t>
      </w:r>
      <w:r>
        <w:rPr>
          <w:rFonts w:asciiTheme="minorHAnsi" w:hAnsiTheme="minorHAnsi" w:cstheme="minorHAnsi"/>
          <w:sz w:val="28"/>
          <w:szCs w:val="28"/>
        </w:rPr>
        <w:t xml:space="preserve">Прикамье</w:t>
      </w:r>
      <w:r>
        <w:rPr>
          <w:rFonts w:asciiTheme="minorHAnsi" w:hAnsiTheme="minorHAnsi" w:cstheme="minorHAnsi"/>
          <w:sz w:val="28"/>
          <w:szCs w:val="28"/>
        </w:rPr>
        <w:t xml:space="preserve">»);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26. ООО «Пермский насосный завод»;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27. ООО «Пермская теплоэнергетическая компания» (далее – ООО «ПТЭК»);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28. ООО «Пермская электроремонтная компания» (далее – ООО «ПЭРК»);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29. АО «Протон-Пермские моторы» (далее – АО «Протон-ПМ»);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30. ООО «</w:t>
      </w:r>
      <w:r>
        <w:rPr>
          <w:rFonts w:asciiTheme="minorHAnsi" w:hAnsiTheme="minorHAnsi" w:cstheme="minorHAnsi"/>
          <w:sz w:val="28"/>
          <w:szCs w:val="28"/>
        </w:rPr>
        <w:t xml:space="preserve">РесурсЭнергоТранс</w:t>
      </w:r>
      <w:r>
        <w:rPr>
          <w:rFonts w:asciiTheme="minorHAnsi" w:hAnsiTheme="minorHAnsi" w:cstheme="minorHAnsi"/>
          <w:sz w:val="28"/>
          <w:szCs w:val="28"/>
        </w:rPr>
        <w:t xml:space="preserve">»;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31. АО «РЭМОС-Пермские моторы»;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32. ООО «Сетевая компания Вышка-2» (далее – ООО «СК Вышка-2»);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33. ООО «Строительно-монтажное управление-11»;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34. ООО «</w:t>
      </w:r>
      <w:r>
        <w:rPr>
          <w:rFonts w:asciiTheme="minorHAnsi" w:hAnsiTheme="minorHAnsi" w:cstheme="minorHAnsi"/>
          <w:sz w:val="28"/>
          <w:szCs w:val="28"/>
        </w:rPr>
        <w:t xml:space="preserve">Строн</w:t>
      </w:r>
      <w:r>
        <w:rPr>
          <w:rFonts w:asciiTheme="minorHAnsi" w:hAnsiTheme="minorHAnsi" w:cstheme="minorHAnsi"/>
          <w:sz w:val="28"/>
          <w:szCs w:val="28"/>
        </w:rPr>
        <w:t xml:space="preserve">-М»;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35. ООО «</w:t>
      </w:r>
      <w:r>
        <w:rPr>
          <w:rFonts w:asciiTheme="minorHAnsi" w:hAnsiTheme="minorHAnsi" w:cstheme="minorHAnsi"/>
          <w:sz w:val="28"/>
          <w:szCs w:val="28"/>
        </w:rPr>
        <w:t xml:space="preserve">Тепло-М</w:t>
      </w:r>
      <w:r>
        <w:rPr>
          <w:rFonts w:asciiTheme="minorHAnsi" w:hAnsiTheme="minorHAnsi" w:cstheme="minorHAnsi"/>
          <w:sz w:val="28"/>
          <w:szCs w:val="28"/>
        </w:rPr>
        <w:t xml:space="preserve">»;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36. ООО «Теплосеть»;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37. ООО «Тепло-Терм»;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38. ООО «</w:t>
      </w:r>
      <w:r>
        <w:rPr>
          <w:rFonts w:asciiTheme="minorHAnsi" w:hAnsiTheme="minorHAnsi" w:cstheme="minorHAnsi"/>
          <w:sz w:val="28"/>
          <w:szCs w:val="28"/>
        </w:rPr>
        <w:t xml:space="preserve">Тимсервис</w:t>
      </w:r>
      <w:r>
        <w:rPr>
          <w:rFonts w:asciiTheme="minorHAnsi" w:hAnsiTheme="minorHAnsi" w:cstheme="minorHAnsi"/>
          <w:sz w:val="28"/>
          <w:szCs w:val="28"/>
        </w:rPr>
        <w:t xml:space="preserve">»;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39. ООО «Управляющая компания Кедр»;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40. ООО «Урал </w:t>
      </w:r>
      <w:r>
        <w:rPr>
          <w:rFonts w:asciiTheme="minorHAnsi" w:hAnsiTheme="minorHAnsi" w:cstheme="minorHAnsi"/>
          <w:sz w:val="28"/>
          <w:szCs w:val="28"/>
        </w:rPr>
        <w:t xml:space="preserve">Девелопмент</w:t>
      </w:r>
      <w:r>
        <w:rPr>
          <w:rFonts w:asciiTheme="minorHAnsi" w:hAnsiTheme="minorHAnsi" w:cstheme="minorHAnsi"/>
          <w:sz w:val="28"/>
          <w:szCs w:val="28"/>
        </w:rPr>
        <w:t xml:space="preserve">»;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41. ООО «</w:t>
      </w:r>
      <w:r>
        <w:rPr>
          <w:rFonts w:asciiTheme="minorHAnsi" w:hAnsiTheme="minorHAnsi" w:cstheme="minorHAnsi"/>
          <w:sz w:val="28"/>
          <w:szCs w:val="28"/>
        </w:rPr>
        <w:t xml:space="preserve">Энергия-М</w:t>
      </w:r>
      <w:r>
        <w:rPr>
          <w:rFonts w:asciiTheme="minorHAnsi" w:hAnsiTheme="minorHAnsi" w:cstheme="minorHAnsi"/>
          <w:sz w:val="28"/>
          <w:szCs w:val="28"/>
        </w:rPr>
        <w:t xml:space="preserve">»;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42. ООО «Энергия-С»;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43. публичное акционерное общество (далее – ПАО) «НПО «Искра»;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44. Пермское муниципальное унитарное предприятие «Городское коммунальное и тепловое хозяйство» (далее – П</w:t>
      </w:r>
      <w:bookmarkStart w:id="24" w:name="_Hlk164926739"/>
      <w:r>
        <w:rPr>
          <w:rFonts w:asciiTheme="minorHAnsi" w:hAnsiTheme="minorHAnsi" w:cstheme="minorHAnsi"/>
          <w:sz w:val="28"/>
          <w:szCs w:val="28"/>
        </w:rPr>
        <w:t xml:space="preserve">МУП</w:t>
      </w:r>
      <w:bookmarkEnd w:id="24"/>
      <w:r>
        <w:rPr>
          <w:rFonts w:asciiTheme="minorHAnsi" w:hAnsiTheme="minorHAnsi" w:cstheme="minorHAnsi"/>
          <w:sz w:val="28"/>
          <w:szCs w:val="28"/>
        </w:rPr>
        <w:t xml:space="preserve"> «ГКТХ»);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45. Филиал «Пермский» ПАО «Т Плюс»;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46. Федеральное государственное автономное образовательное учреждение высшего образования «Пермский национальный исследовательский политехнический университет» (далее – </w:t>
      </w:r>
      <w:bookmarkStart w:id="25" w:name="_Hlk164926793"/>
      <w:r>
        <w:rPr>
          <w:rFonts w:asciiTheme="minorHAnsi" w:hAnsiTheme="minorHAnsi" w:cstheme="minorHAnsi"/>
          <w:sz w:val="28"/>
          <w:szCs w:val="28"/>
        </w:rPr>
        <w:t xml:space="preserve">ФГАОУ ВО</w:t>
      </w:r>
      <w:bookmarkEnd w:id="25"/>
      <w:r>
        <w:rPr>
          <w:rFonts w:asciiTheme="minorHAnsi" w:hAnsiTheme="minorHAnsi" w:cstheme="minorHAnsi"/>
          <w:sz w:val="28"/>
          <w:szCs w:val="28"/>
        </w:rPr>
        <w:t xml:space="preserve"> «ПНИПУ»);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47. Филиал «</w:t>
      </w:r>
      <w:r>
        <w:rPr>
          <w:rFonts w:asciiTheme="minorHAnsi" w:hAnsiTheme="minorHAnsi" w:cstheme="minorHAnsi"/>
          <w:sz w:val="28"/>
          <w:szCs w:val="28"/>
        </w:rPr>
        <w:t xml:space="preserve">ЗиД</w:t>
      </w:r>
      <w:r>
        <w:rPr>
          <w:rFonts w:asciiTheme="minorHAnsi" w:hAnsiTheme="minorHAnsi" w:cstheme="minorHAnsi"/>
          <w:sz w:val="28"/>
          <w:szCs w:val="28"/>
        </w:rPr>
        <w:t xml:space="preserve">» АО «НПО «</w:t>
      </w:r>
      <w:r>
        <w:rPr>
          <w:rFonts w:asciiTheme="minorHAnsi" w:hAnsiTheme="minorHAnsi" w:cstheme="minorHAnsi"/>
          <w:sz w:val="28"/>
          <w:szCs w:val="28"/>
        </w:rPr>
        <w:t xml:space="preserve">Курганприбор</w:t>
      </w:r>
      <w:r>
        <w:rPr>
          <w:rFonts w:asciiTheme="minorHAnsi" w:hAnsiTheme="minorHAnsi" w:cstheme="minorHAnsi"/>
          <w:sz w:val="28"/>
          <w:szCs w:val="28"/>
        </w:rPr>
        <w:t xml:space="preserve">» г. Пермь;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48. Пермский территориальный участок Свердловской дирекции по </w:t>
      </w:r>
      <w:r>
        <w:rPr>
          <w:rFonts w:asciiTheme="minorHAnsi" w:hAnsiTheme="minorHAnsi" w:cstheme="minorHAnsi"/>
          <w:sz w:val="28"/>
          <w:szCs w:val="28"/>
        </w:rPr>
        <w:t xml:space="preserve">тепловодоснабжению</w:t>
      </w:r>
      <w:r>
        <w:rPr>
          <w:rFonts w:asciiTheme="minorHAnsi" w:hAnsiTheme="minorHAnsi" w:cstheme="minorHAnsi"/>
          <w:sz w:val="28"/>
          <w:szCs w:val="28"/>
        </w:rPr>
        <w:t xml:space="preserve"> Центральной дирекции по </w:t>
      </w:r>
      <w:r>
        <w:rPr>
          <w:rFonts w:asciiTheme="minorHAnsi" w:hAnsiTheme="minorHAnsi" w:cstheme="minorHAnsi"/>
          <w:sz w:val="28"/>
          <w:szCs w:val="28"/>
        </w:rPr>
        <w:t xml:space="preserve">тепловодоснабжению</w:t>
      </w:r>
      <w:r>
        <w:rPr>
          <w:rFonts w:asciiTheme="minorHAnsi" w:hAnsiTheme="minorHAnsi" w:cstheme="minorHAnsi"/>
          <w:sz w:val="28"/>
          <w:szCs w:val="28"/>
        </w:rPr>
        <w:t xml:space="preserve"> – филиала ОАО «Российские железные дороги» (далее – Пермский ТУ Свердловской дирекции по ТВ ЦДТВ – филиала ОАО «РЖД»);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/>
      <w:bookmarkStart w:id="26" w:name="_Hlk164926865"/>
      <w:r>
        <w:rPr>
          <w:rFonts w:asciiTheme="minorHAnsi" w:hAnsiTheme="minorHAnsi" w:cstheme="minorHAnsi"/>
          <w:sz w:val="28"/>
          <w:szCs w:val="28"/>
        </w:rPr>
        <w:t xml:space="preserve">49. Федеральное казенное предприятие (далее – ФКП</w:t>
      </w:r>
      <w:bookmarkEnd w:id="26"/>
      <w:r>
        <w:rPr>
          <w:rFonts w:asciiTheme="minorHAnsi" w:hAnsiTheme="minorHAnsi" w:cstheme="minorHAnsi"/>
          <w:sz w:val="28"/>
          <w:szCs w:val="28"/>
        </w:rPr>
        <w:t xml:space="preserve">) «Пермский пороховой завод»;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50. Федеральное казенное учреждение (далее – ФКУ) «Исправительная колония (далее – </w:t>
      </w:r>
      <w:r>
        <w:rPr>
          <w:rFonts w:asciiTheme="minorHAnsi" w:hAnsiTheme="minorHAnsi" w:cstheme="minorHAnsi"/>
          <w:sz w:val="28"/>
          <w:szCs w:val="28"/>
        </w:rPr>
        <w:t xml:space="preserve">ИК)-</w:t>
      </w:r>
      <w:r>
        <w:rPr>
          <w:rFonts w:asciiTheme="minorHAnsi" w:hAnsiTheme="minorHAnsi" w:cstheme="minorHAnsi"/>
          <w:sz w:val="28"/>
          <w:szCs w:val="28"/>
        </w:rPr>
        <w:t xml:space="preserve">29 Главного управления Федеральной службы исполнения наказаний (далее – ГУФСИН России) по Пермскому краю»;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51. ФКУ «ИК-32 ГУФСИН России по Пермскому краю».</w:t>
      </w:r>
      <w:bookmarkEnd w:id="23"/>
      <w:r/>
      <w:r>
        <w:rPr>
          <w:rFonts w:asciiTheme="minorHAnsi" w:hAnsiTheme="minorHAnsi" w:cstheme="minorHAnsi"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Согласно Схеме теплоснабжения в административных границах города Перми на период до 2043 года, утвержденной приказом Министерства энергетики </w:t>
      </w:r>
      <w:r>
        <w:rPr>
          <w:rFonts w:asciiTheme="minorHAnsi" w:hAnsiTheme="minorHAnsi" w:cstheme="minorHAnsi"/>
          <w:sz w:val="28"/>
          <w:szCs w:val="28"/>
        </w:rPr>
        <w:t xml:space="preserve">Российской Федерации от 17.11.2023 № 298тд (далее – Схема теплоснабжения), общее количество источников тепловой энергии составляет 79 единиц.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Транспортировка тепловой энергии от источников осуществляется по магистральным, распределительным и квартальным сетям организаций, владеющих объектами </w:t>
      </w:r>
      <w:r>
        <w:rPr>
          <w:rFonts w:asciiTheme="minorHAnsi" w:hAnsiTheme="minorHAnsi" w:cstheme="minorHAnsi"/>
          <w:sz w:val="28"/>
          <w:szCs w:val="28"/>
        </w:rPr>
        <w:t xml:space="preserve">теплосетевого</w:t>
      </w:r>
      <w:r>
        <w:rPr>
          <w:rFonts w:asciiTheme="minorHAnsi" w:hAnsiTheme="minorHAnsi" w:cstheme="minorHAnsi"/>
          <w:sz w:val="28"/>
          <w:szCs w:val="28"/>
        </w:rPr>
        <w:t xml:space="preserve"> хозяйства на праве собственности или другом законном основании. 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Реализацией тепловой энерги</w:t>
      </w:r>
      <w:r>
        <w:rPr>
          <w:rFonts w:asciiTheme="minorHAnsi" w:hAnsiTheme="minorHAnsi" w:cstheme="minorHAnsi"/>
          <w:sz w:val="28"/>
          <w:szCs w:val="28"/>
        </w:rPr>
        <w:t xml:space="preserve">и, выставлением счетов и сбором платежей теплоснабжающие организации либо занимаются самостоятельно, либо передают на аутсорсинг (например, расчетно-кассовым центрам). Наиболее крупная единая теплоснабжающая организация системы теплоснабжения города Перми </w:t>
      </w:r>
      <w:r>
        <w:rPr>
          <w:rFonts w:asciiTheme="minorHAnsi" w:hAnsiTheme="minorHAnsi" w:cstheme="minorHAnsi"/>
          <w:sz w:val="28"/>
          <w:szCs w:val="28"/>
        </w:rPr>
        <w:t xml:space="preserve">–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bookmarkStart w:id="27" w:name="_Hlk164927776"/>
      <w:r>
        <w:rPr>
          <w:rFonts w:asciiTheme="minorHAnsi" w:hAnsiTheme="minorHAnsi" w:cstheme="minorHAnsi"/>
          <w:sz w:val="28"/>
          <w:szCs w:val="28"/>
        </w:rPr>
        <w:t xml:space="preserve">Пермский филиал АО «</w:t>
      </w:r>
      <w:r>
        <w:rPr>
          <w:rFonts w:asciiTheme="minorHAnsi" w:hAnsiTheme="minorHAnsi" w:cstheme="minorHAnsi"/>
          <w:sz w:val="28"/>
          <w:szCs w:val="28"/>
        </w:rPr>
        <w:t xml:space="preserve">ЭнергосбыТ</w:t>
      </w:r>
      <w:r>
        <w:rPr>
          <w:rFonts w:asciiTheme="minorHAnsi" w:hAnsiTheme="minorHAnsi" w:cstheme="minorHAnsi"/>
          <w:sz w:val="28"/>
          <w:szCs w:val="28"/>
        </w:rPr>
        <w:t xml:space="preserve"> Плюс»</w:t>
      </w:r>
      <w:bookmarkEnd w:id="27"/>
      <w:r>
        <w:rPr>
          <w:rFonts w:asciiTheme="minorHAnsi" w:hAnsiTheme="minorHAnsi" w:cstheme="minorHAnsi"/>
          <w:sz w:val="28"/>
          <w:szCs w:val="28"/>
        </w:rPr>
        <w:t xml:space="preserve"> (форма собственности – частная). 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Услуги по снабжению потребителей тепловой энергией вышеперечисленные компании оказывают по прям</w:t>
      </w:r>
      <w:r>
        <w:rPr>
          <w:rFonts w:asciiTheme="minorHAnsi" w:hAnsiTheme="minorHAnsi" w:cstheme="minorHAnsi"/>
          <w:sz w:val="28"/>
          <w:szCs w:val="28"/>
        </w:rPr>
        <w:t xml:space="preserve">ым договорам с бюджетными и прочими организациями. С населением заключаются либо прямые договоры, либо услуга оказывается опосредованно (например, через управляющую компанию). Часть договоров на покупку и транспортировку тепловой энергии теплоснабжающие и </w:t>
      </w:r>
      <w:r>
        <w:rPr>
          <w:rFonts w:asciiTheme="minorHAnsi" w:hAnsiTheme="minorHAnsi" w:cstheme="minorHAnsi"/>
          <w:sz w:val="28"/>
          <w:szCs w:val="28"/>
        </w:rPr>
        <w:t xml:space="preserve">теплосетевые</w:t>
      </w:r>
      <w:r>
        <w:rPr>
          <w:rFonts w:asciiTheme="minorHAnsi" w:hAnsiTheme="minorHAnsi" w:cstheme="minorHAnsi"/>
          <w:sz w:val="28"/>
          <w:szCs w:val="28"/>
        </w:rPr>
        <w:t xml:space="preserve"> организации заключают между собой.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Помимо регулируемых теплоснабжающих и </w:t>
      </w:r>
      <w:r>
        <w:rPr>
          <w:rFonts w:asciiTheme="minorHAnsi" w:hAnsiTheme="minorHAnsi" w:cstheme="minorHAnsi"/>
          <w:sz w:val="28"/>
          <w:szCs w:val="28"/>
        </w:rPr>
        <w:t xml:space="preserve">теплосетевых</w:t>
      </w:r>
      <w:r>
        <w:rPr>
          <w:rFonts w:asciiTheme="minorHAnsi" w:hAnsiTheme="minorHAnsi" w:cstheme="minorHAnsi"/>
          <w:sz w:val="28"/>
          <w:szCs w:val="28"/>
        </w:rPr>
        <w:t xml:space="preserve"> организаций, на территории города име</w:t>
      </w:r>
      <w:r>
        <w:rPr>
          <w:rFonts w:asciiTheme="minorHAnsi" w:hAnsiTheme="minorHAnsi" w:cstheme="minorHAnsi"/>
          <w:sz w:val="28"/>
          <w:szCs w:val="28"/>
        </w:rPr>
        <w:t xml:space="preserve">ются организации, имеющие в собственности или на ином законном основании котельные производственно-отопительного назначения, которые производят отпуск тепловой энергии исключительно на собственные нужды и находятся преимущественно в производственных зонах.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7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64"/>
        <w:jc w:val="center"/>
        <w:spacing w:before="0" w:after="0" w:line="240" w:lineRule="auto"/>
        <w:rPr>
          <w:b/>
          <w:bCs/>
          <w:sz w:val="28"/>
          <w:szCs w:val="28"/>
        </w:rPr>
      </w:pPr>
      <w:r/>
      <w:bookmarkStart w:id="28" w:name="_Toc119947434"/>
      <w:r/>
      <w:bookmarkStart w:id="29" w:name="_Toc175215959"/>
      <w:r>
        <w:rPr>
          <w:b/>
          <w:bCs/>
          <w:sz w:val="28"/>
          <w:szCs w:val="28"/>
        </w:rPr>
        <w:t xml:space="preserve">2.1.2 Характеристика системы теплоснабжения</w:t>
      </w:r>
      <w:bookmarkEnd w:id="28"/>
      <w:r/>
      <w:bookmarkEnd w:id="29"/>
      <w:r/>
      <w:r>
        <w:rPr>
          <w:b/>
          <w:bCs/>
          <w:sz w:val="28"/>
          <w:szCs w:val="28"/>
        </w:rPr>
      </w:r>
    </w:p>
    <w:p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157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Пермская ТЭЦ-6.</w:t>
      </w:r>
      <w:r>
        <w:rPr>
          <w:rFonts w:asciiTheme="minorHAnsi" w:hAnsiTheme="minorHAnsi" w:cstheme="minorHAnsi"/>
          <w:b/>
          <w:bCs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sz w:val="28"/>
          <w:szCs w:val="28"/>
        </w:rPr>
      </w:pPr>
      <w:r/>
      <w:bookmarkStart w:id="30" w:name="_Hlk164929438"/>
      <w:r>
        <w:rPr>
          <w:rFonts w:asciiTheme="minorHAnsi" w:hAnsiTheme="minorHAnsi" w:cstheme="minorHAnsi"/>
          <w:sz w:val="28"/>
          <w:szCs w:val="28"/>
        </w:rPr>
        <w:t xml:space="preserve">Пермская ТЭЦ-6 (далее – ПТЭЦ-6) </w:t>
      </w:r>
      <w:bookmarkEnd w:id="30"/>
      <w:r>
        <w:rPr>
          <w:rFonts w:asciiTheme="minorHAnsi" w:hAnsiTheme="minorHAnsi" w:cstheme="minorHAnsi"/>
          <w:sz w:val="28"/>
          <w:szCs w:val="28"/>
        </w:rPr>
        <w:t xml:space="preserve">находится в собственности филиал</w:t>
      </w:r>
      <w:r>
        <w:rPr>
          <w:rFonts w:asciiTheme="minorHAnsi" w:hAnsiTheme="minorHAnsi" w:cstheme="minorHAnsi"/>
          <w:sz w:val="28"/>
          <w:szCs w:val="28"/>
        </w:rPr>
        <w:t xml:space="preserve">а «Пермский» ПАО «Т Плюс». Основным потребителем тепловой энергии в паре является Пермский моторостроительный комплекс; в горячей воде – жилые массивы Свердловского, Мотовилихинского и Ленинского районов города. Станция введена в эксплуатацию в 1942 году. 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Регулирование отпуска тепла на источнике качественное, путем </w:t>
      </w:r>
      <w:r>
        <w:rPr>
          <w:rFonts w:asciiTheme="minorHAnsi" w:hAnsiTheme="minorHAnsi" w:cstheme="minorHAnsi"/>
          <w:sz w:val="28"/>
          <w:szCs w:val="28"/>
        </w:rPr>
        <w:t xml:space="preserve">изменения температуры сетевой воды в подающем трубопроводе в соответствии с прогнозируемой температурой наружного воздуха. В переходный период – качественно-количественное. Отпуск тепла производится по температурному графику 150-70 ºС со срезкой на 125 ºС </w:t>
      </w:r>
      <w:r>
        <w:rPr>
          <w:rFonts w:asciiTheme="minorHAnsi" w:hAnsiTheme="minorHAnsi" w:cstheme="minorHAnsi"/>
          <w:sz w:val="28"/>
          <w:szCs w:val="28"/>
        </w:rPr>
        <w:t xml:space="preserve">с</w:t>
      </w:r>
      <w:r>
        <w:rPr>
          <w:rFonts w:asciiTheme="minorHAnsi" w:hAnsiTheme="minorHAnsi" w:cstheme="minorHAnsi"/>
          <w:sz w:val="28"/>
          <w:szCs w:val="28"/>
        </w:rPr>
        <w:t xml:space="preserve"> учетом увеличения располагаемого напора при температурах наружного воздуха ниже, чем в точке срезки (регулирование ре</w:t>
      </w:r>
      <w:r>
        <w:rPr>
          <w:rFonts w:asciiTheme="minorHAnsi" w:hAnsiTheme="minorHAnsi" w:cstheme="minorHAnsi"/>
          <w:sz w:val="28"/>
          <w:szCs w:val="28"/>
        </w:rPr>
        <w:t xml:space="preserve">жима в указанном диапазоне – количественно-качественное). Работа систем теплоснабжения при температурах наружного воздуха ниже точки срезки, определяемая температурой теплоносителя в подающем трубопроводе, равной 125 ºС, компенсируется отпущенным расходом.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Используемый вид топлива на электростанции – природный газ (потребление в 2022 году – 312,2 млн</w:t>
      </w:r>
      <w: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куб. м). Резервное проектное топливо – мазут. Электростанция обеспечена необходимыми инженерными и транспортными коммуникациями – на территории имеются железнодорожные </w:t>
      </w:r>
      <w:r>
        <w:rPr>
          <w:rFonts w:asciiTheme="minorHAnsi" w:hAnsiTheme="minorHAnsi" w:cstheme="minorHAnsi"/>
          <w:sz w:val="28"/>
          <w:szCs w:val="28"/>
        </w:rPr>
        <w:t xml:space="preserve">пути, связанные с магистральной трассой, а также соответствующей инфраструктурой, необходимой для производства тепла и </w:t>
      </w:r>
      <w:r>
        <w:rPr>
          <w:rFonts w:asciiTheme="minorHAnsi" w:hAnsiTheme="minorHAnsi" w:cstheme="minorHAnsi"/>
          <w:sz w:val="28"/>
          <w:szCs w:val="28"/>
        </w:rPr>
        <w:t xml:space="preserve">электроэнергии</w:t>
      </w:r>
      <w:r>
        <w:rPr>
          <w:rFonts w:asciiTheme="minorHAnsi" w:hAnsiTheme="minorHAnsi" w:cstheme="minorHAnsi"/>
          <w:sz w:val="28"/>
          <w:szCs w:val="28"/>
        </w:rPr>
        <w:t xml:space="preserve"> и выдачи их во внешние сети.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70"/>
        <w:keepLines/>
        <w:keepNext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Пермская ТЭЦ-9.</w:t>
      </w:r>
      <w:r>
        <w:rPr>
          <w:rFonts w:asciiTheme="minorHAnsi" w:hAnsiTheme="minorHAnsi" w:cstheme="minorHAnsi"/>
          <w:b/>
          <w:bCs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Пермская ТЭЦ-9 (далее – ПТЭЦ-9) находится в собственности</w:t>
      </w:r>
      <w:r>
        <w:rPr>
          <w:rFonts w:asciiTheme="minorHAnsi" w:hAnsiTheme="minorHAnsi" w:cstheme="minorHAnsi"/>
          <w:sz w:val="28"/>
          <w:szCs w:val="28"/>
        </w:rPr>
        <w:t xml:space="preserve"> филиала «Пермский» ПАО «Т Плюс». Основным потребителем тепловой энергии в паре является Пермский нефтеперерабатывающий комбинат; в горячей воде – жилые массивы Индустриального, Дзержинского и частично Ленинского и Свердловского районов города, а также д. </w:t>
      </w:r>
      <w:r>
        <w:rPr>
          <w:rFonts w:asciiTheme="minorHAnsi" w:hAnsiTheme="minorHAnsi" w:cstheme="minorHAnsi"/>
          <w:sz w:val="28"/>
          <w:szCs w:val="28"/>
        </w:rPr>
        <w:t xml:space="preserve">Кондратово</w:t>
      </w:r>
      <w:r>
        <w:rPr>
          <w:rFonts w:asciiTheme="minorHAnsi" w:hAnsiTheme="minorHAnsi" w:cstheme="minorHAnsi"/>
          <w:sz w:val="28"/>
          <w:szCs w:val="28"/>
        </w:rPr>
        <w:t xml:space="preserve"> Пермского муниципального района. Станция введена в эксплуатацию в 1957 году. 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Используемый вид топлива на электростанции – природный газ (потребление в 2022 году – 616 млн куб. м). Резервное проектное то</w:t>
      </w:r>
      <w:r>
        <w:rPr>
          <w:rFonts w:asciiTheme="minorHAnsi" w:hAnsiTheme="minorHAnsi" w:cstheme="minorHAnsi"/>
          <w:sz w:val="28"/>
          <w:szCs w:val="28"/>
        </w:rPr>
        <w:t xml:space="preserve">пливо – мазут. Электростанция обеспечена необходимыми инженерными и транспортными коммуникациями – на территории имеются железнодорожные пути, связанные с магистральной трассой, а также соответствующей инфраструктурой, необходимой для производства тепла и </w:t>
      </w:r>
      <w:r>
        <w:rPr>
          <w:rFonts w:asciiTheme="minorHAnsi" w:hAnsiTheme="minorHAnsi" w:cstheme="minorHAnsi"/>
          <w:sz w:val="28"/>
          <w:szCs w:val="28"/>
        </w:rPr>
        <w:t xml:space="preserve">электроэнергии</w:t>
      </w:r>
      <w:r>
        <w:rPr>
          <w:rFonts w:asciiTheme="minorHAnsi" w:hAnsiTheme="minorHAnsi" w:cstheme="minorHAnsi"/>
          <w:sz w:val="28"/>
          <w:szCs w:val="28"/>
        </w:rPr>
        <w:t xml:space="preserve"> и выдачи их во внешние сети.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Регулирование отпуска тепла на источнике качественное, путем </w:t>
      </w:r>
      <w:r>
        <w:rPr>
          <w:rFonts w:asciiTheme="minorHAnsi" w:hAnsiTheme="minorHAnsi" w:cstheme="minorHAnsi"/>
          <w:sz w:val="28"/>
          <w:szCs w:val="28"/>
        </w:rPr>
        <w:t xml:space="preserve">изменения температуры сетевой воды в подающем трубопроводе в соответствии с прогнозируемой температурой наружного воздуха. В переходный период – качественно-количественное. Отпуск тепла производится по температурному графику 150-70 ºС со срезкой на 125 ºС </w:t>
      </w:r>
      <w:r>
        <w:rPr>
          <w:rFonts w:asciiTheme="minorHAnsi" w:hAnsiTheme="minorHAnsi" w:cstheme="minorHAnsi"/>
          <w:sz w:val="28"/>
          <w:szCs w:val="28"/>
        </w:rPr>
        <w:t xml:space="preserve">с</w:t>
      </w:r>
      <w:r>
        <w:rPr>
          <w:rFonts w:asciiTheme="minorHAnsi" w:hAnsiTheme="minorHAnsi" w:cstheme="minorHAnsi"/>
          <w:sz w:val="28"/>
          <w:szCs w:val="28"/>
        </w:rPr>
        <w:t xml:space="preserve"> учетом увеличения располагаемого напора при температурах наружного воздуха ниже, чем в точке срезки (регулирование ре</w:t>
      </w:r>
      <w:r>
        <w:rPr>
          <w:rFonts w:asciiTheme="minorHAnsi" w:hAnsiTheme="minorHAnsi" w:cstheme="minorHAnsi"/>
          <w:sz w:val="28"/>
          <w:szCs w:val="28"/>
        </w:rPr>
        <w:t xml:space="preserve">жима в указанном диапазоне – количественно-качественное). Работа систем теплоснабжения при температурах наружного воздуха ниже точки срезки, определяемая температурой теплоносителя в подающем трубопроводе, равной 125 ºС, компенсируется отпущенным расходом.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Пермская ТЭЦ-13.</w:t>
      </w:r>
      <w:r>
        <w:rPr>
          <w:rFonts w:asciiTheme="minorHAnsi" w:hAnsiTheme="minorHAnsi" w:cstheme="minorHAnsi"/>
          <w:b/>
          <w:bCs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Пермская ТЭЦ-13 (далее – ПТЭЦ-13) находится в собственности филиала «Пермский» ПАО «Т Плюс». Основным потребителем тепловой энергии в паре является кабельный завод; в горячей воде – жилой массив микрорайона </w:t>
      </w:r>
      <w:r>
        <w:rPr>
          <w:rFonts w:asciiTheme="minorHAnsi" w:hAnsiTheme="minorHAnsi" w:cstheme="minorHAnsi"/>
          <w:sz w:val="28"/>
          <w:szCs w:val="28"/>
        </w:rPr>
        <w:t xml:space="preserve">Гайва</w:t>
      </w:r>
      <w:r>
        <w:rPr>
          <w:rFonts w:asciiTheme="minorHAnsi" w:hAnsiTheme="minorHAnsi" w:cstheme="minorHAnsi"/>
          <w:sz w:val="28"/>
          <w:szCs w:val="28"/>
        </w:rPr>
        <w:t xml:space="preserve">. Станция введена в эксплуатацию в 1962 году. 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Используемый вид топлива на электростанции – природный газ (потребление в 2022 году – 91,4 млн куб. м). Резервное проектное то</w:t>
      </w:r>
      <w:r>
        <w:rPr>
          <w:rFonts w:asciiTheme="minorHAnsi" w:hAnsiTheme="minorHAnsi" w:cstheme="minorHAnsi"/>
          <w:sz w:val="28"/>
          <w:szCs w:val="28"/>
        </w:rPr>
        <w:t xml:space="preserve">пливо – мазут. Электростанция обеспечена необходимыми инженерными и транспортными коммуникациями – на территории имеются железнодорожные пути, связанные с магистральной трассой, а также соответствующей инфраструктурой, необходимой для производства тепла и </w:t>
      </w:r>
      <w:r>
        <w:rPr>
          <w:rFonts w:asciiTheme="minorHAnsi" w:hAnsiTheme="minorHAnsi" w:cstheme="minorHAnsi"/>
          <w:sz w:val="28"/>
          <w:szCs w:val="28"/>
        </w:rPr>
        <w:t xml:space="preserve">электроэнергии</w:t>
      </w:r>
      <w:r>
        <w:rPr>
          <w:rFonts w:asciiTheme="minorHAnsi" w:hAnsiTheme="minorHAnsi" w:cstheme="minorHAnsi"/>
          <w:sz w:val="28"/>
          <w:szCs w:val="28"/>
        </w:rPr>
        <w:t xml:space="preserve"> и выдачи их во внешние сети.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Регулирование отпуска тепла на источнике качественное, путем </w:t>
      </w:r>
      <w:r>
        <w:rPr>
          <w:rFonts w:asciiTheme="minorHAnsi" w:hAnsiTheme="minorHAnsi" w:cstheme="minorHAnsi"/>
          <w:sz w:val="28"/>
          <w:szCs w:val="28"/>
        </w:rPr>
        <w:t xml:space="preserve">изменения температуры сетевой воды в подающем трубопроводе в соответствии с прогнозируемой температурой наружного воздуха. В переходный период – качественно-количественное. Отпуск тепла производится по температурному графику 150-70 ºС со срезкой на 125 ºС </w:t>
      </w:r>
      <w:r>
        <w:rPr>
          <w:rFonts w:asciiTheme="minorHAnsi" w:hAnsiTheme="minorHAnsi" w:cstheme="minorHAnsi"/>
          <w:sz w:val="28"/>
          <w:szCs w:val="28"/>
        </w:rPr>
        <w:t xml:space="preserve">с</w:t>
      </w:r>
      <w:r>
        <w:rPr>
          <w:rFonts w:asciiTheme="minorHAnsi" w:hAnsiTheme="minorHAnsi" w:cstheme="minorHAnsi"/>
          <w:sz w:val="28"/>
          <w:szCs w:val="28"/>
        </w:rPr>
        <w:t xml:space="preserve"> учетом увеличения располагаемого напора при температурах наружного воздуха ниже, чем в точке срезки </w:t>
      </w:r>
      <w:r>
        <w:rPr>
          <w:rFonts w:asciiTheme="minorHAnsi" w:hAnsiTheme="minorHAnsi" w:cstheme="minorHAnsi"/>
          <w:sz w:val="28"/>
          <w:szCs w:val="28"/>
        </w:rPr>
        <w:t xml:space="preserve">(регулирование ре</w:t>
      </w:r>
      <w:r>
        <w:rPr>
          <w:rFonts w:asciiTheme="minorHAnsi" w:hAnsiTheme="minorHAnsi" w:cstheme="minorHAnsi"/>
          <w:sz w:val="28"/>
          <w:szCs w:val="28"/>
        </w:rPr>
        <w:t xml:space="preserve">жима в указанном диапазоне – количественно-качественное). Работа систем теплоснабжения при температурах наружного воздуха ниже точки срезки, определяемая температурой теплоносителя в подающем трубопроводе, равной 125 ºС, компенсируется отпущенным расходом.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Пермская ТЭЦ-14.</w:t>
      </w:r>
      <w:r>
        <w:rPr>
          <w:rFonts w:asciiTheme="minorHAnsi" w:hAnsiTheme="minorHAnsi" w:cstheme="minorHAnsi"/>
          <w:b/>
          <w:bCs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Пермская ТЭЦ-14 (далее – ПТЭЦ-14) находится в собственности филиала «Пермский» ПАО «Т Плюс». Основным потребителем тепловой энергии в паре является завод АО «</w:t>
      </w:r>
      <w:r>
        <w:rPr>
          <w:rFonts w:asciiTheme="minorHAnsi" w:hAnsiTheme="minorHAnsi" w:cstheme="minorHAnsi"/>
          <w:sz w:val="28"/>
          <w:szCs w:val="28"/>
        </w:rPr>
        <w:t xml:space="preserve">ГалоПолимер</w:t>
      </w:r>
      <w:r>
        <w:rPr>
          <w:rFonts w:asciiTheme="minorHAnsi" w:hAnsiTheme="minorHAnsi" w:cstheme="minorHAnsi"/>
          <w:sz w:val="28"/>
          <w:szCs w:val="28"/>
        </w:rPr>
        <w:t xml:space="preserve">-Пермь»; в горячей воде – жилые массивы Кировского района. Станция введена в эксплуатацию в 1966 году. 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Используемый вид топлива на электростанции – природный газ (потребление в 2022 году – 437 млн куб. м). Резервное проектное то</w:t>
      </w:r>
      <w:r>
        <w:rPr>
          <w:rFonts w:asciiTheme="minorHAnsi" w:hAnsiTheme="minorHAnsi" w:cstheme="minorHAnsi"/>
          <w:sz w:val="28"/>
          <w:szCs w:val="28"/>
        </w:rPr>
        <w:t xml:space="preserve">пливо – мазут. Электростанция обеспечена необходимыми инженерными и транспортными коммуникациями – на территории имеются железнодорожные пути, связанные с магистральной трассой, а также соответствующей инфраструктурой, необходимой для производства тепла и </w:t>
      </w:r>
      <w:r>
        <w:rPr>
          <w:rFonts w:asciiTheme="minorHAnsi" w:hAnsiTheme="minorHAnsi" w:cstheme="minorHAnsi"/>
          <w:sz w:val="28"/>
          <w:szCs w:val="28"/>
        </w:rPr>
        <w:t xml:space="preserve">электроэнергии</w:t>
      </w:r>
      <w:r>
        <w:rPr>
          <w:rFonts w:asciiTheme="minorHAnsi" w:hAnsiTheme="minorHAnsi" w:cstheme="minorHAnsi"/>
          <w:sz w:val="28"/>
          <w:szCs w:val="28"/>
        </w:rPr>
        <w:t xml:space="preserve"> и выдачи их во внешние сети.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Регулирование отпуска тепла на источнике качественное, путем </w:t>
      </w:r>
      <w:r>
        <w:rPr>
          <w:rFonts w:asciiTheme="minorHAnsi" w:hAnsiTheme="minorHAnsi" w:cstheme="minorHAnsi"/>
          <w:sz w:val="28"/>
          <w:szCs w:val="28"/>
        </w:rPr>
        <w:t xml:space="preserve">изменения температуры сетевой воды в подающем трубопроводе в соответствии с прогнозируемой температурой наружного воздуха. В переходный период – качественно-количественное. Отпуск тепла производится по температурному графику 150-70 ºС со срезкой на 125 ºС </w:t>
      </w:r>
      <w:r>
        <w:rPr>
          <w:rFonts w:asciiTheme="minorHAnsi" w:hAnsiTheme="minorHAnsi" w:cstheme="minorHAnsi"/>
          <w:sz w:val="28"/>
          <w:szCs w:val="28"/>
        </w:rPr>
        <w:t xml:space="preserve">с</w:t>
      </w:r>
      <w:r>
        <w:rPr>
          <w:rFonts w:asciiTheme="minorHAnsi" w:hAnsiTheme="minorHAnsi" w:cstheme="minorHAnsi"/>
          <w:sz w:val="28"/>
          <w:szCs w:val="28"/>
        </w:rPr>
        <w:t xml:space="preserve"> учетом увеличения располагаемого напора при температурах наружного воздуха ниже, чем в точке срезки (регулирование реж</w:t>
      </w:r>
      <w:r>
        <w:rPr>
          <w:rFonts w:asciiTheme="minorHAnsi" w:hAnsiTheme="minorHAnsi" w:cstheme="minorHAnsi"/>
          <w:sz w:val="28"/>
          <w:szCs w:val="28"/>
        </w:rPr>
        <w:t xml:space="preserve">има в указанном диапазоне – количественно-качественное). Работа систем теплоснабжения при температурах наружного воздуха ниже точки срезки, определяемая температурой теплоносителя в подающем трубопроводе, равной 125 ºС, компенсируется отпущенным расходом. 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70"/>
        <w:keepLines/>
        <w:keepNext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Котельные.</w:t>
      </w:r>
      <w:r>
        <w:rPr>
          <w:rFonts w:asciiTheme="minorHAnsi" w:hAnsiTheme="minorHAnsi" w:cstheme="minorHAnsi"/>
          <w:b/>
          <w:bCs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На территории города функционируют 30 котельных филиала «П</w:t>
      </w:r>
      <w:r>
        <w:rPr>
          <w:rFonts w:asciiTheme="minorHAnsi" w:hAnsiTheme="minorHAnsi" w:cstheme="minorHAnsi"/>
          <w:sz w:val="28"/>
          <w:szCs w:val="28"/>
        </w:rPr>
        <w:t xml:space="preserve">ермский» ПАО «Т Плюс», 5 котельных ПМУП «ГКТХ», 5 котельных АО «ПЗСП», 2 ведомственных котельных Пермского ТУ Свердловской дирекции по ТВ ЦДТВ – филиала ОАО «РЖД» и 33 котельных прочих теплоснабжающих организаций (далее – ТСО) (в том числе ведомственных). 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Котельные ООО «ЛУКОЙЛ-</w:t>
      </w:r>
      <w:r>
        <w:rPr>
          <w:rFonts w:asciiTheme="minorHAnsi" w:hAnsiTheme="minorHAnsi" w:cstheme="minorHAnsi"/>
          <w:sz w:val="28"/>
          <w:szCs w:val="28"/>
        </w:rPr>
        <w:t xml:space="preserve">Пермнефтеоргсинтез</w:t>
      </w:r>
      <w:r>
        <w:rPr>
          <w:rFonts w:asciiTheme="minorHAnsi" w:hAnsiTheme="minorHAnsi" w:cstheme="minorHAnsi"/>
          <w:sz w:val="28"/>
          <w:szCs w:val="28"/>
        </w:rPr>
        <w:t xml:space="preserve">», АО «СИБУР-Химпром», ООО «ГЭК», АО «Протон-ПМ» обеспечивают тепловой энергией в паре и горячей воде собственные промышленные площадки и в теплоснабжении населения и бюджетных организаций не участвуют. 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Источники тепловой энергии филиала «Пермский» ПАО «Т Плюс», ПМУП «ГКТХ», АО «ПЗСП», Пермского ТУ Свердловской дирекции по ТВ ЦДТВ – филиала ОАО «РЖД» и прочих ТСО обеспечивают: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нагрузки отопления и горячего водоснабжения жилищно-коммунального сектора города;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технологические нагрузки и нагрузки отопления, вентиляции, горячего водоснабжения промышленных предприятий, расположенных в зонах действия указанных котельных.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Ведомственные (промышленные) котельные обеспечивают нагрузки отопления, вентиляции, горячего водоснабжения и технологические нагрузки в паре и горячей воде промышленных предприятий, на балансе которых они находятся.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Часть котельных технологически связана тепловыми сетями с источниками комбинированной выработки тепловой и электрической энергии. К котельным, имеющим связи с ТЭЦ, относятся: водогрейная котельная (далее – </w:t>
      </w:r>
      <w:r>
        <w:rPr>
          <w:rFonts w:asciiTheme="minorHAnsi" w:hAnsiTheme="minorHAnsi" w:cstheme="minorHAnsi"/>
          <w:sz w:val="28"/>
          <w:szCs w:val="28"/>
        </w:rPr>
        <w:t xml:space="preserve">ВК)-</w:t>
      </w:r>
      <w:r>
        <w:rPr>
          <w:rFonts w:asciiTheme="minorHAnsi" w:hAnsiTheme="minorHAnsi" w:cstheme="minorHAnsi"/>
          <w:sz w:val="28"/>
          <w:szCs w:val="28"/>
        </w:rPr>
        <w:t xml:space="preserve">3 Филиал «Пермский» ПАО «Т Плюс» и ВК-2 ООО «Тепло-М».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В основном на котельных установлены котлы различной производительности, как водогрейные, так и паровые: «ПТВМ», «КВГМ», «ДКВР», «ДЕ», «</w:t>
      </w:r>
      <w:r>
        <w:rPr>
          <w:rFonts w:asciiTheme="minorHAnsi" w:hAnsiTheme="minorHAnsi" w:cstheme="minorHAnsi"/>
          <w:sz w:val="28"/>
          <w:szCs w:val="28"/>
        </w:rPr>
        <w:t xml:space="preserve">КСВа</w:t>
      </w:r>
      <w:r>
        <w:rPr>
          <w:rFonts w:asciiTheme="minorHAnsi" w:hAnsiTheme="minorHAnsi" w:cstheme="minorHAnsi"/>
          <w:sz w:val="28"/>
          <w:szCs w:val="28"/>
        </w:rPr>
        <w:t xml:space="preserve">», «Универсал», «КВГ», «Братск», «</w:t>
      </w:r>
      <w:r>
        <w:rPr>
          <w:rFonts w:asciiTheme="minorHAnsi" w:hAnsiTheme="minorHAnsi" w:cstheme="minorHAnsi"/>
          <w:sz w:val="28"/>
          <w:szCs w:val="28"/>
        </w:rPr>
        <w:t xml:space="preserve">Термотехник</w:t>
      </w:r>
      <w:r>
        <w:rPr>
          <w:rFonts w:asciiTheme="minorHAnsi" w:hAnsiTheme="minorHAnsi" w:cstheme="minorHAnsi"/>
          <w:sz w:val="28"/>
          <w:szCs w:val="28"/>
        </w:rPr>
        <w:t xml:space="preserve">», «</w:t>
      </w:r>
      <w:r>
        <w:rPr>
          <w:rFonts w:asciiTheme="minorHAnsi" w:hAnsiTheme="minorHAnsi" w:cstheme="minorHAnsi"/>
          <w:sz w:val="28"/>
          <w:szCs w:val="28"/>
        </w:rPr>
        <w:t xml:space="preserve">Logano</w:t>
      </w:r>
      <w:r>
        <w:rPr>
          <w:rFonts w:asciiTheme="minorHAnsi" w:hAnsiTheme="minorHAnsi" w:cstheme="minorHAnsi"/>
          <w:sz w:val="28"/>
          <w:szCs w:val="28"/>
        </w:rPr>
        <w:t xml:space="preserve">», «SLIM», «</w:t>
      </w:r>
      <w:r>
        <w:rPr>
          <w:rFonts w:asciiTheme="minorHAnsi" w:hAnsiTheme="minorHAnsi" w:cstheme="minorHAnsi"/>
          <w:sz w:val="28"/>
          <w:szCs w:val="28"/>
        </w:rPr>
        <w:t xml:space="preserve">Turbomat</w:t>
      </w:r>
      <w:r>
        <w:rPr>
          <w:rFonts w:asciiTheme="minorHAnsi" w:hAnsiTheme="minorHAnsi" w:cstheme="minorHAnsi"/>
          <w:sz w:val="28"/>
          <w:szCs w:val="28"/>
        </w:rPr>
        <w:t xml:space="preserve">», «ICI REX», «</w:t>
      </w:r>
      <w:r>
        <w:rPr>
          <w:rFonts w:asciiTheme="minorHAnsi" w:hAnsiTheme="minorHAnsi" w:cstheme="minorHAnsi"/>
          <w:sz w:val="28"/>
          <w:szCs w:val="28"/>
        </w:rPr>
        <w:t xml:space="preserve">Riman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Stark</w:t>
      </w:r>
      <w:r>
        <w:rPr>
          <w:rFonts w:asciiTheme="minorHAnsi" w:hAnsiTheme="minorHAnsi" w:cstheme="minorHAnsi"/>
          <w:sz w:val="28"/>
          <w:szCs w:val="28"/>
        </w:rPr>
        <w:t xml:space="preserve">», «UNIMAT» и прочие котлы малой мощности.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Большинство котельных используют в качестве основного топлива природный газ, за исключением следующих источников: ВК ПДК (мазут), ВК Подснежник (мазут), ВК Б. Революции (уголь), ВК Бахаревская (мазут), ВК Блочная (мазут), Котельная (</w:t>
      </w:r>
      <w:r>
        <w:rPr>
          <w:rFonts w:asciiTheme="minorHAnsi" w:hAnsiTheme="minorHAnsi" w:cstheme="minorHAnsi"/>
          <w:sz w:val="28"/>
          <w:szCs w:val="28"/>
        </w:rPr>
        <w:t xml:space="preserve">отбензиненный</w:t>
      </w:r>
      <w:r>
        <w:rPr>
          <w:rFonts w:asciiTheme="minorHAnsi" w:hAnsiTheme="minorHAnsi" w:cstheme="minorHAnsi"/>
          <w:sz w:val="28"/>
          <w:szCs w:val="28"/>
        </w:rPr>
        <w:t xml:space="preserve"> газ).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На котельных осуществляется центральное качественно</w:t>
      </w:r>
      <w:r>
        <w:rPr>
          <w:rFonts w:asciiTheme="minorHAnsi" w:hAnsiTheme="minorHAnsi" w:cstheme="minorHAnsi"/>
          <w:sz w:val="28"/>
          <w:szCs w:val="28"/>
        </w:rPr>
        <w:t xml:space="preserve">е регулирование отпуска тепла. Графики изменения температур теплоносителя определены при проектировании и строительстве систем теплоснабжения. Изменение температуры теплоносителя производится посредством изменения количества подаваемого на горение топлива.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В целом производительность водоподготовительных устройств на источниках тепловой энергии дос</w:t>
      </w:r>
      <w:r>
        <w:rPr>
          <w:rFonts w:asciiTheme="minorHAnsi" w:hAnsiTheme="minorHAnsi" w:cstheme="minorHAnsi"/>
          <w:sz w:val="28"/>
          <w:szCs w:val="28"/>
        </w:rPr>
        <w:t xml:space="preserve">таточная для компенсации потерь теплоносителя. Однако по некоторым из них выявлена сверхнормативная подпитка. В то же время по другим подпитка отсутствует, что является следствием либо отсутствия тепловых сетей, либо их крайне незначительной протяженности.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Общая характеристика магистральных тепловых сетей представлена в таблице 2.1, распределительных тепловых сетей – в таблице 2.2, распределительных сетей горячего водоснабжения (далее – ГВС) – в таблице 2.3. 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szCs w:val="24"/>
        </w:rPr>
      </w:pPr>
      <w:r/>
      <w:bookmarkStart w:id="31" w:name="_Toc164855523"/>
      <w:r/>
      <w:bookmarkStart w:id="32" w:name="_Toc175216077"/>
      <w:r/>
      <w:r>
        <w:rPr>
          <w:rFonts w:asciiTheme="minorHAnsi" w:hAnsiTheme="minorHAnsi" w:cstheme="minorHAnsi"/>
          <w:szCs w:val="24"/>
        </w:rPr>
      </w:r>
    </w:p>
    <w:p>
      <w:pPr>
        <w:pStyle w:val="1217"/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Таблица 2.1</w:t>
      </w:r>
      <w:r>
        <w:rPr>
          <w:rFonts w:asciiTheme="minorHAnsi" w:hAnsiTheme="minorHAnsi" w:cstheme="minorHAnsi"/>
          <w:b/>
          <w:bCs/>
          <w:sz w:val="28"/>
          <w:szCs w:val="28"/>
        </w:rPr>
      </w:r>
    </w:p>
    <w:p>
      <w:pPr>
        <w:pStyle w:val="1217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Общая характеристика магистральных тепловых сетей</w:t>
      </w:r>
      <w:bookmarkEnd w:id="31"/>
      <w:r/>
      <w:bookmarkEnd w:id="32"/>
      <w:r/>
      <w:r>
        <w:rPr>
          <w:rFonts w:asciiTheme="minorHAnsi" w:hAnsiTheme="minorHAnsi" w:cstheme="minorHAnsi"/>
          <w:b/>
          <w:bCs/>
          <w:sz w:val="28"/>
          <w:szCs w:val="28"/>
        </w:rPr>
      </w:r>
    </w:p>
    <w:p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735"/>
        <w:gridCol w:w="3661"/>
        <w:gridCol w:w="1472"/>
        <w:gridCol w:w="2269"/>
      </w:tblGrid>
      <w:tr>
        <w:tblPrEx/>
        <w:trPr>
          <w:trHeight w:val="20"/>
        </w:trPr>
        <w:tc>
          <w:tcPr>
            <w:shd w:val="clear" w:color="auto" w:fill="auto"/>
            <w:tcW w:w="134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Наименование единой теплоснабжающей организации (далее – ЕТО)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80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Наименование организации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7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Условный диаметр, мм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19" w:type="pct"/>
            <w:textDirection w:val="lrTb"/>
            <w:noWrap w:val="false"/>
          </w:tcPr>
          <w:p>
            <w:pPr>
              <w:ind w:left="-101" w:right="-11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Протяженность трубопроводов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ind w:left="-101" w:right="-11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 1-трубном исчислении, м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</w:tbl>
    <w:p>
      <w:pPr>
        <w:spacing w:line="24" w:lineRule="auto"/>
      </w:pPr>
      <w:r/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2735"/>
        <w:gridCol w:w="3661"/>
        <w:gridCol w:w="1472"/>
        <w:gridCol w:w="2269"/>
      </w:tblGrid>
      <w:tr>
        <w:tblPrEx/>
        <w:trPr>
          <w:trHeight w:val="20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0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9" w:type="pct"/>
            <w:textDirection w:val="lrTb"/>
            <w:noWrap w:val="false"/>
          </w:tcPr>
          <w:p>
            <w:pPr>
              <w:ind w:left="-101" w:right="-11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349" w:type="pct"/>
            <w:vMerge w:val="restart"/>
            <w:textDirection w:val="lrTb"/>
            <w:noWrap w:val="false"/>
          </w:tcPr>
          <w:p>
            <w:pPr>
              <w:ind w:left="-112" w:right="-10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ЕТО № 01 –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ind w:left="-112" w:right="-10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Филиал «Пермский»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ind w:left="-112" w:right="-10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ПАО «Т Плюс»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0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Филиал «Пермский»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ПАО «Т Плюс»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350-1 000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324 695,80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349" w:type="pct"/>
            <w:vMerge w:val="continue"/>
            <w:textDirection w:val="lrTb"/>
            <w:noWrap w:val="false"/>
          </w:tcPr>
          <w:p>
            <w:pPr>
              <w:ind w:left="-112" w:right="-10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0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Прочие организации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350-800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5 680,60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9" w:type="pct"/>
            <w:textDirection w:val="lrTb"/>
            <w:noWrap w:val="false"/>
          </w:tcPr>
          <w:p>
            <w:pPr>
              <w:ind w:left="-112" w:right="-10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ЕТО № 01-2 –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ind w:left="-112" w:right="-10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Филиал «Пермский»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ind w:left="-112" w:right="-10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ПАО «Т Плюс»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0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Филиал «Пермский»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ПАО «Т Плюс»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350-800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16 182,50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349" w:type="pct"/>
            <w:vMerge w:val="restart"/>
            <w:textDirection w:val="lrTb"/>
            <w:noWrap w:val="false"/>
          </w:tcPr>
          <w:p>
            <w:pPr>
              <w:ind w:left="-112" w:right="-10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ЕТО № 01-3 –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ind w:left="-112" w:right="-10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Филиал «Пермский»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ind w:left="-112" w:right="-10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ПАО «Т Плюс»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0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Филиал «Пермский»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ПАО «Т Плюс»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350-500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3 714,20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349" w:type="pct"/>
            <w:vMerge w:val="continue"/>
            <w:textDirection w:val="lrTb"/>
            <w:noWrap w:val="false"/>
          </w:tcPr>
          <w:p>
            <w:pPr>
              <w:ind w:left="-112" w:right="-10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0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Прочие организации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209,8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349" w:type="pct"/>
            <w:vMerge w:val="restart"/>
            <w:textDirection w:val="lrTb"/>
            <w:noWrap w:val="false"/>
          </w:tcPr>
          <w:p>
            <w:pPr>
              <w:ind w:left="-112" w:right="-10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ЕТО № 02 –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ind w:left="-112" w:right="-10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Филиал «Пермский»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ind w:left="-112" w:right="-10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ПАО «Т Плюс»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0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Филиал «Пермский»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ПАО «Т Плюс»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400-800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61 288,00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349" w:type="pct"/>
            <w:vMerge w:val="continue"/>
            <w:textDirection w:val="lrTb"/>
            <w:noWrap w:val="false"/>
          </w:tcPr>
          <w:p>
            <w:pPr>
              <w:ind w:left="-112" w:right="-10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0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Прочие организации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400-500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3 134,70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9" w:type="pct"/>
            <w:textDirection w:val="lrTb"/>
            <w:noWrap w:val="false"/>
          </w:tcPr>
          <w:p>
            <w:pPr>
              <w:ind w:left="-112" w:right="-10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ЕТО № 03 –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ind w:left="-112" w:right="-10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ПМУП «ГКТХ»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0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ПМУП «ГКТХ»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350-500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927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9" w:type="pct"/>
            <w:textDirection w:val="lrTb"/>
            <w:noWrap w:val="false"/>
          </w:tcPr>
          <w:p>
            <w:pPr>
              <w:ind w:left="-112" w:right="-10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ЕТО № 07 – ООО «ГЭК»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0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ООО «ГЭК»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350-500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3 455,40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9" w:type="pct"/>
            <w:textDirection w:val="lrTb"/>
            <w:noWrap w:val="false"/>
          </w:tcPr>
          <w:p>
            <w:pPr>
              <w:ind w:left="-112" w:right="-10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ЕТО № 08 –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ind w:left="-112" w:right="-10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ФГАОУ ВО «ПНИПУ»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0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ФГАОУ ВО «ПНИПУ»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2 296,00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9" w:type="pct"/>
            <w:textDirection w:val="lrTb"/>
            <w:noWrap w:val="false"/>
          </w:tcPr>
          <w:p>
            <w:pPr>
              <w:ind w:left="-112" w:right="-10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ЕТО № 40 –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ind w:left="-112" w:right="-10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АО «</w:t>
            </w:r>
            <w:r>
              <w:rPr>
                <w:rFonts w:asciiTheme="minorHAnsi" w:hAnsiTheme="minorHAnsi" w:cstheme="minorHAnsi"/>
                <w:color w:val="000000"/>
              </w:rPr>
              <w:t xml:space="preserve">Галополимер</w:t>
            </w:r>
            <w:r>
              <w:rPr>
                <w:rFonts w:asciiTheme="minorHAnsi" w:hAnsiTheme="minorHAnsi" w:cstheme="minorHAnsi"/>
                <w:color w:val="000000"/>
              </w:rPr>
              <w:t xml:space="preserve"> Пермь»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0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АО «</w:t>
            </w:r>
            <w:r>
              <w:rPr>
                <w:rFonts w:asciiTheme="minorHAnsi" w:hAnsiTheme="minorHAnsi" w:cstheme="minorHAnsi"/>
                <w:color w:val="000000"/>
              </w:rPr>
              <w:t xml:space="preserve">Галополимер</w:t>
            </w:r>
            <w:r>
              <w:rPr>
                <w:rFonts w:asciiTheme="minorHAnsi" w:hAnsiTheme="minorHAnsi" w:cstheme="minorHAnsi"/>
                <w:color w:val="000000"/>
              </w:rPr>
              <w:t xml:space="preserve"> Пермь»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350-500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15 360,00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55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Итого, система теплоснабжения города Перми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350-1 000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436 944,20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</w:tbl>
    <w:p>
      <w:pPr>
        <w:ind w:firstLine="709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</w:r>
      <w:r>
        <w:rPr>
          <w:rFonts w:asciiTheme="minorHAnsi" w:hAnsiTheme="minorHAnsi" w:cstheme="minorHAnsi"/>
          <w:i/>
          <w:iCs/>
          <w:sz w:val="28"/>
          <w:szCs w:val="28"/>
        </w:rPr>
      </w:r>
    </w:p>
    <w:p>
      <w:pPr>
        <w:ind w:firstLine="709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 xml:space="preserve">---------------------------</w:t>
      </w:r>
      <w:r>
        <w:rPr>
          <w:rFonts w:asciiTheme="minorHAnsi" w:hAnsiTheme="minorHAnsi" w:cstheme="minorHAnsi"/>
          <w:i/>
          <w:iCs/>
          <w:sz w:val="28"/>
          <w:szCs w:val="28"/>
        </w:rPr>
      </w:r>
    </w:p>
    <w:p>
      <w:pPr>
        <w:ind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Примечание. Источник информации – Схема теплоснабжения.</w:t>
      </w:r>
      <w:r>
        <w:rPr>
          <w:rFonts w:asciiTheme="minorHAnsi" w:hAnsiTheme="minorHAnsi" w:cstheme="minorHAnsi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217"/>
        <w:jc w:val="right"/>
        <w:rPr>
          <w:b/>
          <w:bCs/>
          <w:sz w:val="28"/>
          <w:szCs w:val="28"/>
        </w:rPr>
      </w:pPr>
      <w:r/>
      <w:bookmarkStart w:id="33" w:name="_Ref163036866"/>
      <w:r/>
      <w:bookmarkStart w:id="34" w:name="_Toc164855524"/>
      <w:r/>
      <w:bookmarkStart w:id="35" w:name="_Toc175216078"/>
      <w:r>
        <w:rPr>
          <w:b/>
          <w:bCs/>
          <w:sz w:val="28"/>
          <w:szCs w:val="28"/>
        </w:rPr>
        <w:t xml:space="preserve">Таблица </w:t>
      </w:r>
      <w:bookmarkEnd w:id="33"/>
      <w:r>
        <w:rPr>
          <w:b/>
          <w:bCs/>
          <w:sz w:val="28"/>
          <w:szCs w:val="28"/>
        </w:rPr>
        <w:t xml:space="preserve">2.2</w:t>
      </w:r>
      <w:r>
        <w:rPr>
          <w:b/>
          <w:bCs/>
          <w:sz w:val="28"/>
          <w:szCs w:val="28"/>
        </w:rPr>
      </w:r>
    </w:p>
    <w:p>
      <w:pPr>
        <w:pStyle w:val="121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Общая характеристика распределительных тепловых сетей</w:t>
      </w:r>
      <w:bookmarkEnd w:id="34"/>
      <w:r/>
      <w:bookmarkEnd w:id="35"/>
      <w:r/>
      <w:r>
        <w:rPr>
          <w:b/>
          <w:bCs/>
          <w:sz w:val="28"/>
          <w:szCs w:val="28"/>
        </w:rPr>
      </w:r>
    </w:p>
    <w:p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735"/>
        <w:gridCol w:w="3661"/>
        <w:gridCol w:w="1472"/>
        <w:gridCol w:w="2269"/>
      </w:tblGrid>
      <w:tr>
        <w:tblPrEx/>
        <w:trPr>
          <w:trHeight w:val="20"/>
        </w:trPr>
        <w:tc>
          <w:tcPr>
            <w:shd w:val="clear" w:color="auto" w:fill="auto"/>
            <w:tcW w:w="134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ЕТО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80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организации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72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Условный диаметр, мм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19" w:type="pct"/>
            <w:textDirection w:val="lrTb"/>
            <w:noWrap w:val="false"/>
          </w:tcPr>
          <w:p>
            <w:pPr>
              <w:ind w:left="-101" w:right="-11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Протяженность трубопроводов </w:t>
            </w:r>
            <w:r>
              <w:rPr>
                <w:color w:val="000000"/>
              </w:rPr>
            </w:r>
          </w:p>
          <w:p>
            <w:pPr>
              <w:ind w:left="-101" w:right="-11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1-трубном исчислении, м</w:t>
            </w:r>
            <w:r>
              <w:rPr>
                <w:color w:val="000000"/>
              </w:rPr>
            </w:r>
          </w:p>
        </w:tc>
      </w:tr>
    </w:tbl>
    <w:p>
      <w:pPr>
        <w:spacing w:line="48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735"/>
        <w:gridCol w:w="3661"/>
        <w:gridCol w:w="1472"/>
        <w:gridCol w:w="2269"/>
      </w:tblGrid>
      <w:tr>
        <w:tblPrEx/>
        <w:trPr>
          <w:cantSplit/>
          <w:trHeight w:val="20"/>
          <w:tblHeader/>
        </w:trPr>
        <w:tc>
          <w:tcPr>
            <w:shd w:val="clear" w:color="auto" w:fill="auto"/>
            <w:tcW w:w="134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806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726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19" w:type="pct"/>
            <w:vAlign w:val="center"/>
            <w:textDirection w:val="lrTb"/>
            <w:noWrap w:val="false"/>
          </w:tcPr>
          <w:p>
            <w:pPr>
              <w:ind w:left="-101" w:right="-11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1349" w:type="pct"/>
            <w:vMerge w:val="restart"/>
            <w:textDirection w:val="lrTb"/>
            <w:noWrap w:val="false"/>
          </w:tcPr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ЕТО № 01 – </w:t>
            </w:r>
            <w:r>
              <w:rPr>
                <w:color w:val="000000"/>
              </w:rPr>
            </w:r>
          </w:p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Филиал «Пермский» </w:t>
            </w:r>
            <w:r>
              <w:rPr>
                <w:color w:val="000000"/>
              </w:rPr>
            </w:r>
          </w:p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ПАО «Т Плюс»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80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Филиал «Пермский» </w:t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ПАО «Т Плюс»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72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20-300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1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706 570,20</w:t>
            </w:r>
            <w:r>
              <w:rPr>
                <w:color w:val="000000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1349" w:type="pct"/>
            <w:vMerge w:val="continue"/>
            <w:textDirection w:val="lrTb"/>
            <w:noWrap w:val="false"/>
          </w:tcPr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80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ПМУП «ГКТХ»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72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50-150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1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1 527,80</w:t>
            </w:r>
            <w:r>
              <w:rPr>
                <w:color w:val="000000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1349" w:type="pct"/>
            <w:vMerge w:val="continue"/>
            <w:textDirection w:val="lrTb"/>
            <w:noWrap w:val="false"/>
          </w:tcPr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80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ООО «Урал </w:t>
            </w:r>
            <w:r>
              <w:rPr>
                <w:color w:val="000000"/>
              </w:rPr>
              <w:t xml:space="preserve">Девелопмент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72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50-200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1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6 449,80</w:t>
            </w:r>
            <w:r>
              <w:rPr>
                <w:color w:val="000000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1349" w:type="pct"/>
            <w:vMerge w:val="continue"/>
            <w:textDirection w:val="lrTb"/>
            <w:noWrap w:val="false"/>
          </w:tcPr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80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Прочие организации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72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25-300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1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432 640,50</w:t>
            </w:r>
            <w:r>
              <w:rPr>
                <w:color w:val="00000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1349" w:type="pct"/>
            <w:vMerge w:val="restart"/>
            <w:textDirection w:val="lrTb"/>
            <w:noWrap w:val="false"/>
          </w:tcPr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ЕТО № 01-2 – </w:t>
            </w:r>
            <w:r>
              <w:rPr>
                <w:color w:val="000000"/>
              </w:rPr>
            </w:r>
          </w:p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Филиал «Пермский» </w:t>
            </w:r>
            <w:r>
              <w:rPr>
                <w:color w:val="000000"/>
              </w:rPr>
            </w:r>
          </w:p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ПАО «Т Плюс»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80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Филиал «Пермский» </w:t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ПАО «Т Плюс»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72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40-300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1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64 480,60</w:t>
            </w:r>
            <w:r>
              <w:rPr>
                <w:color w:val="000000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1349" w:type="pct"/>
            <w:vMerge w:val="continue"/>
            <w:textDirection w:val="lrTb"/>
            <w:noWrap w:val="false"/>
          </w:tcPr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80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Прочие организации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72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40-300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1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19 833,80</w:t>
            </w:r>
            <w:r>
              <w:rPr>
                <w:color w:val="00000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1349" w:type="pct"/>
            <w:vMerge w:val="restart"/>
            <w:textDirection w:val="lrTb"/>
            <w:noWrap w:val="false"/>
          </w:tcPr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ЕТО № 01-3 – </w:t>
            </w:r>
            <w:r>
              <w:rPr>
                <w:color w:val="000000"/>
              </w:rPr>
            </w:r>
          </w:p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Филиал «Пермский» </w:t>
            </w:r>
            <w:r>
              <w:rPr>
                <w:color w:val="000000"/>
              </w:rPr>
            </w:r>
          </w:p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ПАО «Т Плюс»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80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Филиал «Пермский» </w:t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ПАО «Т Плюс»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72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15-300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1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180 653,60</w:t>
            </w:r>
            <w:r>
              <w:rPr>
                <w:color w:val="000000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1349" w:type="pct"/>
            <w:vMerge w:val="continue"/>
            <w:textDirection w:val="lrTb"/>
            <w:noWrap w:val="false"/>
          </w:tcPr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80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Прочие организации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72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25-300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1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39 302,80</w:t>
            </w:r>
            <w:r>
              <w:rPr>
                <w:color w:val="00000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1349" w:type="pct"/>
            <w:vMerge w:val="restart"/>
            <w:textDirection w:val="lrTb"/>
            <w:noWrap w:val="false"/>
          </w:tcPr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ЕТО № 02 – </w:t>
            </w:r>
            <w:r>
              <w:rPr>
                <w:color w:val="000000"/>
              </w:rPr>
            </w:r>
          </w:p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Филиал «Пермский»</w:t>
            </w:r>
            <w:r>
              <w:rPr>
                <w:color w:val="000000"/>
              </w:rPr>
            </w:r>
          </w:p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ПАО «Т Плюс»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80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Филиал «Пермский» </w:t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ПАО «Т Плюс»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72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25-300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1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204 893,70</w:t>
            </w:r>
            <w:r>
              <w:rPr>
                <w:color w:val="000000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1349" w:type="pct"/>
            <w:vMerge w:val="continue"/>
            <w:textDirection w:val="lrTb"/>
            <w:noWrap w:val="false"/>
          </w:tcPr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80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Прочие организации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72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25-300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1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80 241,50</w:t>
            </w:r>
            <w:r>
              <w:rPr>
                <w:color w:val="00000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1349" w:type="pct"/>
            <w:vMerge w:val="restart"/>
            <w:textDirection w:val="lrTb"/>
            <w:noWrap w:val="false"/>
          </w:tcPr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ЕТО № 03 – </w:t>
            </w:r>
            <w:r>
              <w:rPr>
                <w:color w:val="000000"/>
              </w:rPr>
            </w:r>
          </w:p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ПМУП «ГКТХ»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80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Филиал «Пермский» </w:t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ПАО «Т Плюс»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72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70-150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1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334,1</w:t>
            </w:r>
            <w:r>
              <w:rPr>
                <w:color w:val="000000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1349" w:type="pct"/>
            <w:vMerge w:val="continue"/>
            <w:textDirection w:val="lrTb"/>
            <w:noWrap w:val="false"/>
          </w:tcPr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80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ПМУП «ГКТХ»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72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32-300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1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33 926,60</w:t>
            </w:r>
            <w:r>
              <w:rPr>
                <w:color w:val="000000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1349" w:type="pct"/>
            <w:vMerge w:val="continue"/>
            <w:textDirection w:val="lrTb"/>
            <w:noWrap w:val="false"/>
          </w:tcPr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80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Прочие организации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72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70-150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1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237,8</w:t>
            </w:r>
            <w:r>
              <w:rPr>
                <w:color w:val="00000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1349" w:type="pct"/>
            <w:textDirection w:val="lrTb"/>
            <w:noWrap w:val="false"/>
          </w:tcPr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ЕТО № 04 – АО «ПЗСП»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80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АО «ПЗСП»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72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80-300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1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7 448,80</w:t>
            </w:r>
            <w:r>
              <w:rPr>
                <w:color w:val="00000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1349" w:type="pct"/>
            <w:textDirection w:val="lrTb"/>
            <w:noWrap w:val="false"/>
          </w:tcPr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ЕТО № 06 – </w:t>
            </w:r>
            <w:r>
              <w:rPr>
                <w:color w:val="000000"/>
              </w:rPr>
            </w:r>
          </w:p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ООО «СК Вышка-2»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80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ООО «СК Вышка-2»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72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125-250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1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3 361,40</w:t>
            </w:r>
            <w:r>
              <w:rPr>
                <w:color w:val="00000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1349" w:type="pct"/>
            <w:textDirection w:val="lrTb"/>
            <w:noWrap w:val="false"/>
          </w:tcPr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ЕТО № 07 – ООО «ГЭК»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80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ООО «ГЭК»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72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25-300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1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20 876,20</w:t>
            </w:r>
            <w:r>
              <w:rPr>
                <w:color w:val="00000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1349" w:type="pct"/>
            <w:textDirection w:val="lrTb"/>
            <w:noWrap w:val="false"/>
          </w:tcPr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ЕТО № 08 – </w:t>
            </w:r>
            <w:r>
              <w:rPr>
                <w:color w:val="000000"/>
              </w:rPr>
            </w:r>
          </w:p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ФГАОУ ВО «ПНИПУ»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80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ФГАОУ ВО «ПНИПУ»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72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50-300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1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10 148,20</w:t>
            </w:r>
            <w:r>
              <w:rPr>
                <w:color w:val="00000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1349" w:type="pct"/>
            <w:textDirection w:val="lrTb"/>
            <w:noWrap w:val="false"/>
          </w:tcPr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ЕТО № 09 – </w:t>
            </w:r>
            <w:r>
              <w:rPr>
                <w:color w:val="000000"/>
              </w:rPr>
            </w:r>
          </w:p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АО «</w:t>
            </w:r>
            <w:r>
              <w:rPr>
                <w:color w:val="000000"/>
              </w:rPr>
              <w:t xml:space="preserve">Новомет</w:t>
            </w:r>
            <w:r>
              <w:rPr>
                <w:color w:val="000000"/>
              </w:rPr>
              <w:t xml:space="preserve">-Пермь»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80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АО «</w:t>
            </w:r>
            <w:r>
              <w:rPr>
                <w:color w:val="000000"/>
              </w:rPr>
              <w:t xml:space="preserve">Новомет</w:t>
            </w:r>
            <w:r>
              <w:rPr>
                <w:color w:val="000000"/>
              </w:rPr>
              <w:t xml:space="preserve">-Пермь»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72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50-200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1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1 986,50</w:t>
            </w:r>
            <w:r>
              <w:rPr>
                <w:color w:val="00000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1349" w:type="pct"/>
            <w:textDirection w:val="lrTb"/>
            <w:noWrap w:val="false"/>
          </w:tcPr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ЕТО № 11 – </w:t>
            </w:r>
            <w:r>
              <w:rPr>
                <w:color w:val="000000"/>
              </w:rPr>
            </w:r>
          </w:p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ООО «</w:t>
            </w:r>
            <w:r>
              <w:rPr>
                <w:color w:val="000000"/>
              </w:rPr>
              <w:t xml:space="preserve">Тимсервис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80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ООО «</w:t>
            </w:r>
            <w:r>
              <w:rPr>
                <w:color w:val="000000"/>
              </w:rPr>
              <w:t xml:space="preserve">Тимсервис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72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50-250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1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3 127,90</w:t>
            </w:r>
            <w:r>
              <w:rPr>
                <w:color w:val="00000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1349" w:type="pct"/>
            <w:textDirection w:val="lrTb"/>
            <w:noWrap w:val="false"/>
          </w:tcPr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ЕТО № 13 – </w:t>
            </w:r>
            <w:r>
              <w:rPr>
                <w:color w:val="000000"/>
              </w:rPr>
            </w:r>
          </w:p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ООО «НОВОГОР-</w:t>
            </w:r>
            <w:r>
              <w:rPr>
                <w:color w:val="000000"/>
              </w:rPr>
              <w:t xml:space="preserve">Прикамье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80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ООО «НОВОГОР-</w:t>
            </w:r>
            <w:r>
              <w:rPr>
                <w:color w:val="000000"/>
              </w:rPr>
              <w:t xml:space="preserve">Прикамье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72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50-200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1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2 885,40</w:t>
            </w:r>
            <w:r>
              <w:rPr>
                <w:color w:val="00000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1349" w:type="pct"/>
            <w:textDirection w:val="lrTb"/>
            <w:noWrap w:val="false"/>
          </w:tcPr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ЕТО № 15 – </w:t>
            </w:r>
            <w:r>
              <w:rPr>
                <w:color w:val="000000"/>
              </w:rPr>
            </w:r>
          </w:p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ООО «Пермский насосный завод»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80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ООО «Пермский насосный завод»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72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80-150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1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2 261,50</w:t>
            </w:r>
            <w:r>
              <w:rPr>
                <w:color w:val="00000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1349" w:type="pct"/>
            <w:textDirection w:val="lrTb"/>
            <w:noWrap w:val="false"/>
          </w:tcPr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ЕТО № 20 – АО «ПЗ «Машиностроитель»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80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АО «ПЗ «Машиностроитель»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72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50-200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1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23 017,60</w:t>
            </w:r>
            <w:r>
              <w:rPr>
                <w:color w:val="00000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1349" w:type="pct"/>
            <w:textDirection w:val="lrTb"/>
            <w:noWrap w:val="false"/>
          </w:tcPr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ЕТО № 25 – ОАО «Центральный </w:t>
            </w:r>
            <w:r>
              <w:rPr>
                <w:color w:val="000000"/>
              </w:rPr>
              <w:t xml:space="preserve">Агроснаб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80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ОАО «Центральный </w:t>
            </w:r>
            <w:r>
              <w:rPr>
                <w:color w:val="000000"/>
              </w:rPr>
              <w:t xml:space="preserve">Агроснаб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72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150-200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1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551,7</w:t>
            </w:r>
            <w:r>
              <w:rPr>
                <w:color w:val="00000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1349" w:type="pct"/>
            <w:textDirection w:val="lrTb"/>
            <w:noWrap w:val="false"/>
          </w:tcPr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ЕТО № 33 – </w:t>
            </w:r>
            <w:r>
              <w:rPr>
                <w:color w:val="000000"/>
              </w:rPr>
            </w:r>
          </w:p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АО «Протон-ПМ»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80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АО «Протон-ПМ»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72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25-300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1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11 629,40</w:t>
            </w:r>
            <w:r>
              <w:rPr>
                <w:color w:val="00000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1349" w:type="pct"/>
            <w:textDirection w:val="lrTb"/>
            <w:noWrap w:val="false"/>
          </w:tcPr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ЕТО № 37 – ОАО «РЖД»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80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ОАО «РЖД»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72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50-100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1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978</w:t>
            </w:r>
            <w:r>
              <w:rPr>
                <w:color w:val="00000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1349" w:type="pct"/>
            <w:textDirection w:val="lrTb"/>
            <w:noWrap w:val="false"/>
          </w:tcPr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ЕТО № 40 – АО «</w:t>
            </w:r>
            <w:r>
              <w:rPr>
                <w:color w:val="000000"/>
              </w:rPr>
              <w:t xml:space="preserve">Галополимер</w:t>
            </w:r>
            <w:r>
              <w:rPr>
                <w:color w:val="000000"/>
              </w:rPr>
              <w:t xml:space="preserve"> Пермь»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80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АО «</w:t>
            </w:r>
            <w:r>
              <w:rPr>
                <w:color w:val="000000"/>
              </w:rPr>
              <w:t xml:space="preserve">Галополимер</w:t>
            </w:r>
            <w:r>
              <w:rPr>
                <w:color w:val="000000"/>
              </w:rPr>
              <w:t xml:space="preserve"> Пермь»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72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40-300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1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26 400,00</w:t>
            </w:r>
            <w:r>
              <w:rPr>
                <w:color w:val="000000"/>
              </w:rPr>
            </w:r>
          </w:p>
        </w:tc>
      </w:tr>
      <w:tr>
        <w:tblPrEx/>
        <w:trPr>
          <w:cantSplit/>
          <w:trHeight w:val="20"/>
        </w:trPr>
        <w:tc>
          <w:tcPr>
            <w:gridSpan w:val="2"/>
            <w:shd w:val="clear" w:color="auto" w:fill="auto"/>
            <w:tcW w:w="3155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Итого, система теплоснабжения города Перми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726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15-300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1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1 885 765,50</w:t>
            </w:r>
            <w:r>
              <w:rPr>
                <w:color w:val="000000"/>
              </w:rPr>
            </w:r>
          </w:p>
        </w:tc>
      </w:tr>
    </w:tbl>
    <w:p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  <w:r>
        <w:rPr>
          <w:i/>
          <w:iCs/>
          <w:sz w:val="28"/>
          <w:szCs w:val="28"/>
        </w:rPr>
      </w:r>
    </w:p>
    <w:p>
      <w:pPr>
        <w:ind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----------------------------</w:t>
      </w:r>
      <w:r>
        <w:rPr>
          <w:i/>
          <w:iCs/>
          <w:sz w:val="28"/>
          <w:szCs w:val="28"/>
        </w:rPr>
      </w:r>
    </w:p>
    <w:p>
      <w:pPr>
        <w:ind w:firstLine="709"/>
      </w:pPr>
      <w:r>
        <w:t xml:space="preserve">Примечание. Источник информации – Схема теплоснабжения.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217"/>
        <w:jc w:val="right"/>
        <w:rPr>
          <w:b/>
          <w:bCs/>
          <w:sz w:val="28"/>
          <w:szCs w:val="28"/>
        </w:rPr>
      </w:pPr>
      <w:r/>
      <w:bookmarkStart w:id="36" w:name="_Ref163036871"/>
      <w:r/>
      <w:bookmarkStart w:id="37" w:name="_Toc164855525"/>
      <w:r/>
      <w:bookmarkStart w:id="38" w:name="_Toc175216079"/>
      <w:r/>
      <w:bookmarkStart w:id="39" w:name="_Hlk176271806"/>
      <w:r>
        <w:rPr>
          <w:b/>
          <w:bCs/>
          <w:sz w:val="28"/>
          <w:szCs w:val="28"/>
        </w:rPr>
        <w:t xml:space="preserve">Таблица </w:t>
      </w:r>
      <w:bookmarkEnd w:id="36"/>
      <w:r>
        <w:rPr>
          <w:b/>
          <w:bCs/>
          <w:sz w:val="28"/>
          <w:szCs w:val="28"/>
        </w:rPr>
        <w:t xml:space="preserve">2.3</w:t>
      </w:r>
      <w:r>
        <w:rPr>
          <w:b/>
          <w:bCs/>
          <w:sz w:val="28"/>
          <w:szCs w:val="28"/>
        </w:rPr>
      </w:r>
    </w:p>
    <w:p>
      <w:pPr>
        <w:pStyle w:val="121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Общая характеристика распределительных сетей ГВС</w:t>
      </w:r>
      <w:bookmarkEnd w:id="37"/>
      <w:r/>
      <w:bookmarkEnd w:id="38"/>
      <w:r/>
      <w:r>
        <w:rPr>
          <w:b/>
          <w:bCs/>
          <w:sz w:val="28"/>
          <w:szCs w:val="28"/>
        </w:rPr>
      </w:r>
    </w:p>
    <w:p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802"/>
        <w:gridCol w:w="3402"/>
        <w:gridCol w:w="1752"/>
        <w:gridCol w:w="2181"/>
      </w:tblGrid>
      <w:tr>
        <w:tblPrEx/>
        <w:trPr>
          <w:trHeight w:val="20"/>
        </w:trPr>
        <w:tc>
          <w:tcPr>
            <w:shd w:val="clear" w:color="auto" w:fill="auto"/>
            <w:tcW w:w="1382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Наименование ЕТО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67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Наименование организации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86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Условный диаметр, мм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76" w:type="pct"/>
            <w:textDirection w:val="lrTb"/>
            <w:noWrap w:val="false"/>
          </w:tcPr>
          <w:p>
            <w:pPr>
              <w:ind w:left="-101" w:right="-11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Протяженность трубопроводов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ind w:left="-101" w:right="-11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 1-трубном исчислении, м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</w:tbl>
    <w:p>
      <w:pPr>
        <w:spacing w:line="48" w:lineRule="auto"/>
      </w:pPr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802"/>
        <w:gridCol w:w="3402"/>
        <w:gridCol w:w="1752"/>
        <w:gridCol w:w="2181"/>
      </w:tblGrid>
      <w:tr>
        <w:tblPrEx/>
        <w:trPr>
          <w:trHeight w:val="20"/>
          <w:tblHeader/>
        </w:trPr>
        <w:tc>
          <w:tcPr>
            <w:shd w:val="clear" w:color="auto" w:fill="auto"/>
            <w:tcW w:w="1382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67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86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76" w:type="pct"/>
            <w:textDirection w:val="lrTb"/>
            <w:noWrap w:val="false"/>
          </w:tcPr>
          <w:p>
            <w:pPr>
              <w:ind w:left="-101" w:right="-11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382" w:type="pct"/>
            <w:vMerge w:val="restart"/>
            <w:textDirection w:val="lrTb"/>
            <w:noWrap w:val="false"/>
          </w:tcPr>
          <w:p>
            <w:pPr>
              <w:ind w:left="-112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ЕТО № 01 –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ind w:left="-112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Филиал «Пермский»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ind w:left="-112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ПАО «Т Плюс»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67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Филиал «Пермский»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ПАО «Т Плюс»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86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15-250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7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181 655,80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1382" w:type="pct"/>
            <w:vMerge w:val="continue"/>
            <w:textDirection w:val="lrTb"/>
            <w:noWrap w:val="false"/>
          </w:tcPr>
          <w:p>
            <w:pPr>
              <w:ind w:left="-112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67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ПМУП «ГКТХ»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86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50-80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7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212,7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1382" w:type="pct"/>
            <w:vMerge w:val="continue"/>
            <w:textDirection w:val="lrTb"/>
            <w:noWrap w:val="false"/>
          </w:tcPr>
          <w:p>
            <w:pPr>
              <w:ind w:left="-112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67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ООО «Урал </w:t>
            </w:r>
            <w:r>
              <w:rPr>
                <w:rFonts w:asciiTheme="minorHAnsi" w:hAnsiTheme="minorHAnsi" w:cstheme="minorHAnsi"/>
                <w:color w:val="000000"/>
              </w:rPr>
              <w:t xml:space="preserve">Девелопмент</w:t>
            </w:r>
            <w:r>
              <w:rPr>
                <w:rFonts w:asciiTheme="minorHAnsi" w:hAnsiTheme="minorHAnsi" w:cstheme="minorHAnsi"/>
                <w:color w:val="000000"/>
              </w:rPr>
              <w:t xml:space="preserve">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86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50-100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7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958,6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1382" w:type="pct"/>
            <w:vMerge w:val="continue"/>
            <w:textDirection w:val="lrTb"/>
            <w:noWrap w:val="false"/>
          </w:tcPr>
          <w:p>
            <w:pPr>
              <w:ind w:left="-112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67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Прочие организации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86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15-200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7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70 977,00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382" w:type="pct"/>
            <w:vMerge w:val="restart"/>
            <w:textDirection w:val="lrTb"/>
            <w:noWrap w:val="false"/>
          </w:tcPr>
          <w:p>
            <w:pPr>
              <w:ind w:left="-112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ЕТО № 01-2 –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ind w:left="-112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Филиал «Пермский»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ind w:left="-112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ПАО «Т Плюс»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67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Филиал «Пермский»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ПАО «Т Плюс»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86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20-150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7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23 930,00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1382" w:type="pct"/>
            <w:vMerge w:val="continue"/>
            <w:textDirection w:val="lrTb"/>
            <w:noWrap w:val="false"/>
          </w:tcPr>
          <w:p>
            <w:pPr>
              <w:ind w:left="-112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67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Прочие организации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86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50-150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7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3 659,00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382" w:type="pct"/>
            <w:vMerge w:val="restart"/>
            <w:textDirection w:val="lrTb"/>
            <w:noWrap w:val="false"/>
          </w:tcPr>
          <w:p>
            <w:pPr>
              <w:ind w:left="-112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ЕТО № 01-3 –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ind w:left="-112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Филиал «Пермский»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ind w:left="-112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ПАО «Т Плюс»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67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Филиал «Пермский»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ПАО «Т Плюс»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86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20-200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7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29 982,30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1382" w:type="pct"/>
            <w:vMerge w:val="continue"/>
            <w:textDirection w:val="lrTb"/>
            <w:noWrap w:val="false"/>
          </w:tcPr>
          <w:p>
            <w:pPr>
              <w:ind w:left="-112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67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Прочие организации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86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15-150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7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12 490,60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382" w:type="pct"/>
            <w:vMerge w:val="restart"/>
            <w:textDirection w:val="lrTb"/>
            <w:noWrap w:val="false"/>
          </w:tcPr>
          <w:p>
            <w:pPr>
              <w:ind w:left="-112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ЕТО № 02 –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ind w:left="-112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Филиал «Пермский»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ind w:left="-112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ПАО «Т Плюс»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67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Филиал «Пермский»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ПАО «Т Плюс»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86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20-200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7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33 892,40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1382" w:type="pct"/>
            <w:vMerge w:val="continue"/>
            <w:textDirection w:val="lrTb"/>
            <w:noWrap w:val="false"/>
          </w:tcPr>
          <w:p>
            <w:pPr>
              <w:ind w:left="-112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67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Прочие организации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86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20-150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7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8 918,40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382" w:type="pct"/>
            <w:vMerge w:val="restart"/>
            <w:textDirection w:val="lrTb"/>
            <w:noWrap w:val="false"/>
          </w:tcPr>
          <w:p>
            <w:pPr>
              <w:ind w:left="-112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ЕТО № 03 –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ind w:left="-112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ПМУП «ГКТХ»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67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Филиал «Пермский»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ПАО «Т Плюс»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86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80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7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248,4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1382" w:type="pct"/>
            <w:vMerge w:val="continue"/>
            <w:textDirection w:val="lrTb"/>
            <w:noWrap w:val="false"/>
          </w:tcPr>
          <w:p>
            <w:pPr>
              <w:ind w:left="-112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67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ПМУП «ГКТХ»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86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32-200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7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10 994,30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1382" w:type="pct"/>
            <w:vMerge w:val="continue"/>
            <w:textDirection w:val="lrTb"/>
            <w:noWrap w:val="false"/>
          </w:tcPr>
          <w:p>
            <w:pPr>
              <w:ind w:left="-112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67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Прочие организации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86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15-80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7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352,7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382" w:type="pct"/>
            <w:textDirection w:val="lrTb"/>
            <w:noWrap w:val="false"/>
          </w:tcPr>
          <w:p>
            <w:pPr>
              <w:ind w:left="-112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ЕТО № 04 – АО «ПЗСП»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67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АО «ПЗСП»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86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100-300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7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3 708,20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382" w:type="pct"/>
            <w:textDirection w:val="lrTb"/>
            <w:noWrap w:val="false"/>
          </w:tcPr>
          <w:p>
            <w:pPr>
              <w:ind w:left="-112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ЕТО № 09 –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ind w:left="-112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АО «</w:t>
            </w:r>
            <w:r>
              <w:rPr>
                <w:rFonts w:asciiTheme="minorHAnsi" w:hAnsiTheme="minorHAnsi" w:cstheme="minorHAnsi"/>
                <w:color w:val="000000"/>
              </w:rPr>
              <w:t xml:space="preserve">Новомет</w:t>
            </w:r>
            <w:r>
              <w:rPr>
                <w:rFonts w:asciiTheme="minorHAnsi" w:hAnsiTheme="minorHAnsi" w:cstheme="minorHAnsi"/>
                <w:color w:val="000000"/>
              </w:rPr>
              <w:t xml:space="preserve">-Пермь»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67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АО «</w:t>
            </w:r>
            <w:r>
              <w:rPr>
                <w:rFonts w:asciiTheme="minorHAnsi" w:hAnsiTheme="minorHAnsi" w:cstheme="minorHAnsi"/>
                <w:color w:val="000000"/>
              </w:rPr>
              <w:t xml:space="preserve">Новомет</w:t>
            </w:r>
            <w:r>
              <w:rPr>
                <w:rFonts w:asciiTheme="minorHAnsi" w:hAnsiTheme="minorHAnsi" w:cstheme="minorHAnsi"/>
                <w:color w:val="000000"/>
              </w:rPr>
              <w:t xml:space="preserve">-Пермь»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86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50-100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7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413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382" w:type="pct"/>
            <w:textDirection w:val="lrTb"/>
            <w:noWrap w:val="false"/>
          </w:tcPr>
          <w:p>
            <w:pPr>
              <w:ind w:left="-112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ЕТО № 20 – АО «ПЗ «Машиностроитель»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67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АО «ПЗ «Машиностроитель»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86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7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270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W w:w="3060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Итого, система теплоснабжения города Перми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86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15-300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7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382 663,40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</w:tbl>
    <w:p>
      <w:pPr>
        <w:rPr>
          <w:rFonts w:asciiTheme="minorHAnsi" w:hAnsiTheme="minorHAnsi" w:cstheme="minorHAnsi"/>
          <w:i/>
          <w:iCs/>
        </w:rPr>
      </w:pPr>
      <w:r/>
      <w:bookmarkStart w:id="40" w:name="_Hlk176271553"/>
      <w:r/>
      <w:r>
        <w:rPr>
          <w:rFonts w:asciiTheme="minorHAnsi" w:hAnsiTheme="minorHAnsi" w:cstheme="minorHAnsi"/>
          <w:i/>
          <w:iCs/>
        </w:rPr>
      </w:r>
    </w:p>
    <w:p>
      <w:pPr>
        <w:ind w:firstLine="709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 xml:space="preserve">---------------------------</w:t>
      </w:r>
      <w:r>
        <w:rPr>
          <w:rFonts w:asciiTheme="minorHAnsi" w:hAnsiTheme="minorHAnsi" w:cstheme="minorHAnsi"/>
          <w:i/>
          <w:iCs/>
          <w:sz w:val="28"/>
          <w:szCs w:val="28"/>
        </w:rPr>
      </w:r>
    </w:p>
    <w:p>
      <w:pPr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</w:rPr>
        <w:t xml:space="preserve">Примечание. Источник информации – Схема теплоснабжения.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bookmarkEnd w:id="39"/>
      <w:r/>
      <w:bookmarkEnd w:id="40"/>
      <w:r/>
      <w:r>
        <w:rPr>
          <w:rFonts w:asciiTheme="minorHAnsi" w:hAnsiTheme="minorHAnsi" w:cstheme="minorHAnsi"/>
          <w:sz w:val="28"/>
          <w:szCs w:val="28"/>
        </w:rPr>
      </w:r>
    </w:p>
    <w:p>
      <w:pPr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</w:r>
      <w:r>
        <w:rPr>
          <w:rFonts w:asciiTheme="minorHAnsi" w:hAnsiTheme="minorHAnsi" w:cstheme="minorHAnsi"/>
          <w:i/>
          <w:iCs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Доля маги</w:t>
      </w:r>
      <w:r>
        <w:rPr>
          <w:rFonts w:asciiTheme="minorHAnsi" w:hAnsiTheme="minorHAnsi" w:cstheme="minorHAnsi"/>
          <w:sz w:val="28"/>
          <w:szCs w:val="28"/>
        </w:rPr>
        <w:t xml:space="preserve">стральных тепловых сетей в общей протяженности составляет 46 %, распределительных – 47,7 %, трубопроводов горячего водоснабжения – 6,3 %. Доля надземной прокладки тепловых сетей и трубопроводов горячего водоснабжения составляет 32,3 %, канальной – 63,0 %, </w:t>
      </w:r>
      <w:r>
        <w:rPr>
          <w:rFonts w:asciiTheme="minorHAnsi" w:hAnsiTheme="minorHAnsi" w:cstheme="minorHAnsi"/>
          <w:sz w:val="28"/>
          <w:szCs w:val="28"/>
        </w:rPr>
        <w:t xml:space="preserve">бесканальной</w:t>
      </w:r>
      <w:r>
        <w:rPr>
          <w:rFonts w:asciiTheme="minorHAnsi" w:hAnsiTheme="minorHAnsi" w:cstheme="minorHAnsi"/>
          <w:sz w:val="28"/>
          <w:szCs w:val="28"/>
        </w:rPr>
        <w:t xml:space="preserve"> – 4,8 %.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highlight w:val="white"/>
        </w:rPr>
        <w:t xml:space="preserve">На территории городского округа также имеются бесхозяйные сети. </w:t>
      </w:r>
      <w:r>
        <w:rPr>
          <w:sz w:val="28"/>
          <w:szCs w:val="28"/>
          <w:highlight w:val="white"/>
        </w:rPr>
        <w:t xml:space="preserve">М</w:t>
      </w:r>
      <w:r>
        <w:rPr>
          <w:sz w:val="28"/>
          <w:szCs w:val="28"/>
        </w:rPr>
        <w:t xml:space="preserve">ежду администрацией города Перми и ПАО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Т Плюс» заключено соглашение </w:t>
      </w:r>
      <w:r>
        <w:rPr>
          <w:sz w:val="28"/>
        </w:rPr>
        <w:t xml:space="preserve">о порядке взаимодействия по выявлению, содержанию и эксплуатации тепловых сетей, являющихся бесхозяйными объектами теплоснабжения и горячего водоснабжения, расположенных на террито</w:t>
      </w:r>
      <w:r>
        <w:rPr>
          <w:sz w:val="28"/>
        </w:rPr>
        <w:t xml:space="preserve">рии муниципального образования </w:t>
      </w:r>
      <w:r>
        <w:rPr>
          <w:sz w:val="28"/>
        </w:rPr>
        <w:t xml:space="preserve">город Пермь</w:t>
      </w:r>
      <w:r>
        <w:rPr>
          <w:sz w:val="28"/>
        </w:rPr>
        <w:t xml:space="preserve">,</w:t>
      </w:r>
      <w:r>
        <w:rPr>
          <w:sz w:val="28"/>
        </w:rPr>
        <w:t xml:space="preserve"> от 05.12.2023 № 059-01-35/5-216 (далее</w:t>
      </w:r>
      <w:r>
        <w:rPr>
          <w:sz w:val="28"/>
        </w:rPr>
        <w:t xml:space="preserve">– </w:t>
      </w:r>
      <w:r>
        <w:rPr>
          <w:sz w:val="28"/>
        </w:rPr>
        <w:t xml:space="preserve">Соглашение).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sz w:val="28"/>
          <w:szCs w:val="28"/>
          <w:highlight w:val="yellow"/>
        </w:rPr>
      </w:pPr>
      <w:r>
        <w:rPr>
          <w:sz w:val="28"/>
          <w:szCs w:val="28"/>
        </w:rPr>
        <w:t xml:space="preserve">В соответствии с Соглашением ПАО «Т Плюс» обеспечивает содержание, обслуживание бесхозяйного объекта, выполнение мероприятий по постановке на кадастровый учет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включая выполнение работ по подготовке технической документации и технического плана (далее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Работы), с последующей регистрацией права собственности. На основании вышеизложенного указанные Работы по бесхозяйному Объекту возложены на ПАО «Т Плюс».</w:t>
      </w:r>
      <w:bookmarkStart w:id="41" w:name="_Toc119947435"/>
      <w:r/>
      <w:bookmarkStart w:id="42" w:name="_Toc175215960"/>
      <w:r/>
      <w:r>
        <w:rPr>
          <w:rFonts w:asciiTheme="minorHAnsi" w:hAnsiTheme="minorHAnsi" w:cstheme="minorHAnsi"/>
          <w:sz w:val="28"/>
          <w:szCs w:val="28"/>
          <w:highlight w:val="yellow"/>
        </w:rPr>
      </w:r>
    </w:p>
    <w:p>
      <w:pPr>
        <w:pStyle w:val="15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70"/>
        <w:ind w:firstLine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2.1.3 Балансы мощности и ресурса</w:t>
      </w:r>
      <w:bookmarkEnd w:id="41"/>
      <w:r/>
      <w:bookmarkEnd w:id="42"/>
      <w:r/>
      <w:r>
        <w:rPr>
          <w:rFonts w:asciiTheme="minorHAnsi" w:hAnsiTheme="minorHAnsi" w:cstheme="minorHAnsi"/>
          <w:b/>
          <w:bCs/>
          <w:sz w:val="28"/>
          <w:szCs w:val="28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pStyle w:val="1570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Баланс тепловой энергии за 2019-2023 годы составлен на основании форм федерального статистического наблюдения 1-ТЕП «Сведения о снабжении </w:t>
      </w:r>
      <w:r>
        <w:rPr>
          <w:rFonts w:asciiTheme="minorHAnsi" w:hAnsiTheme="minorHAnsi" w:cstheme="minorHAnsi"/>
          <w:sz w:val="28"/>
          <w:szCs w:val="28"/>
        </w:rPr>
        <w:t xml:space="preserve">теплоэнергией</w:t>
      </w:r>
      <w:r>
        <w:rPr>
          <w:rFonts w:asciiTheme="minorHAnsi" w:hAnsiTheme="minorHAnsi" w:cstheme="minorHAnsi"/>
          <w:sz w:val="28"/>
          <w:szCs w:val="28"/>
        </w:rPr>
        <w:t xml:space="preserve">»</w:t>
      </w:r>
      <w:bookmarkStart w:id="43" w:name="_Hlk166591182"/>
      <w:r>
        <w:rPr>
          <w:rFonts w:asciiTheme="minorHAnsi" w:hAnsiTheme="minorHAnsi" w:cstheme="minorHAnsi"/>
          <w:sz w:val="28"/>
          <w:szCs w:val="28"/>
        </w:rPr>
        <w:t xml:space="preserve">, 4-ТЭР «Сведения об использовании топливно-энергетических ресурсов» </w:t>
      </w:r>
      <w:bookmarkEnd w:id="43"/>
      <w:r>
        <w:rPr>
          <w:rFonts w:asciiTheme="minorHAnsi" w:hAnsiTheme="minorHAnsi" w:cstheme="minorHAnsi"/>
          <w:sz w:val="28"/>
          <w:szCs w:val="28"/>
        </w:rPr>
        <w:t xml:space="preserve">и представлен в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таблице 2.4.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</w:r>
    </w:p>
    <w:p>
      <w:pPr>
        <w:pStyle w:val="1544"/>
        <w:rPr>
          <w:sz w:val="28"/>
          <w:szCs w:val="28"/>
        </w:rPr>
      </w:pPr>
      <w:r/>
      <w:bookmarkStart w:id="44" w:name="_Ref159681690"/>
      <w:r/>
      <w:bookmarkStart w:id="45" w:name="_Toc175216080"/>
      <w:r/>
      <w:r>
        <w:rPr>
          <w:sz w:val="28"/>
          <w:szCs w:val="28"/>
        </w:rPr>
      </w:r>
    </w:p>
    <w:p>
      <w:pPr>
        <w:pStyle w:val="1544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Таблица 2.4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Баланс тепловой энергии</w:t>
      </w:r>
      <w:bookmarkEnd w:id="44"/>
      <w:r/>
      <w:bookmarkEnd w:id="45"/>
      <w:r/>
      <w:r>
        <w:rPr>
          <w:b/>
          <w:bCs/>
          <w:sz w:val="28"/>
          <w:szCs w:val="28"/>
        </w:rPr>
      </w:r>
    </w:p>
    <w:p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tbl>
      <w:tblPr>
        <w:tblStyle w:val="988"/>
        <w:tblW w:w="5000" w:type="pct"/>
        <w:tblLook w:val="04A0" w:firstRow="1" w:lastRow="0" w:firstColumn="1" w:lastColumn="0" w:noHBand="0" w:noVBand="1"/>
      </w:tblPr>
      <w:tblGrid>
        <w:gridCol w:w="3087"/>
        <w:gridCol w:w="1277"/>
        <w:gridCol w:w="1135"/>
        <w:gridCol w:w="1277"/>
        <w:gridCol w:w="1133"/>
        <w:gridCol w:w="1135"/>
        <w:gridCol w:w="1093"/>
      </w:tblGrid>
      <w:tr>
        <w:tblPrEx/>
        <w:trPr/>
        <w:tc>
          <w:tcPr>
            <w:tcW w:w="1522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/>
            <w:bookmarkStart w:id="46" w:name="_Hlk63958897"/>
            <w:r>
              <w:rPr>
                <w:rFonts w:asciiTheme="minorHAnsi" w:hAnsiTheme="minorHAnsi" w:cstheme="minorHAnsi"/>
                <w:color w:val="000000"/>
              </w:rPr>
              <w:t xml:space="preserve">Показатели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6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Ед. изм.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56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2019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6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55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56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2023</w:t>
            </w:r>
            <w:r>
              <w:rPr>
                <w:rFonts w:asciiTheme="minorHAnsi" w:hAnsiTheme="minorHAnsi" w:cstheme="minorHAnsi"/>
                <w:color w:val="000000"/>
                <w:vertAlign w:val="superscript"/>
              </w:rPr>
              <w:t xml:space="preserve">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</w:tbl>
    <w:p>
      <w:pPr>
        <w:spacing w:line="48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Style w:val="988"/>
        <w:tblW w:w="5000" w:type="pct"/>
        <w:tblLook w:val="04A0" w:firstRow="1" w:lastRow="0" w:firstColumn="1" w:lastColumn="0" w:noHBand="0" w:noVBand="1"/>
      </w:tblPr>
      <w:tblGrid>
        <w:gridCol w:w="3087"/>
        <w:gridCol w:w="1277"/>
        <w:gridCol w:w="1135"/>
        <w:gridCol w:w="1277"/>
        <w:gridCol w:w="1133"/>
        <w:gridCol w:w="1135"/>
        <w:gridCol w:w="1093"/>
      </w:tblGrid>
      <w:tr>
        <w:tblPrEx/>
        <w:trPr>
          <w:cantSplit/>
          <w:tblHeader/>
        </w:trPr>
        <w:tc>
          <w:tcPr>
            <w:tcBorders>
              <w:bottom w:val="single" w:color="auto" w:sz="4" w:space="0"/>
            </w:tcBorders>
            <w:tcW w:w="15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63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63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cantSplit/>
        </w:trPr>
        <w:tc>
          <w:tcPr>
            <w:tcW w:w="1522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Выработано тепловой энергии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6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тыс. Гкал</w:t>
            </w:r>
            <w:r>
              <w:rPr>
                <w:rFonts w:asciiTheme="minorHAnsi" w:hAnsiTheme="minorHAnsi" w:cstheme="minorHAnsi"/>
                <w:bCs/>
                <w:color w:val="000000"/>
              </w:rPr>
            </w:r>
          </w:p>
        </w:tc>
        <w:tc>
          <w:tcPr>
            <w:tcW w:w="56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14 049,9</w:t>
            </w:r>
            <w:r>
              <w:rPr>
                <w:rFonts w:asciiTheme="minorHAnsi" w:hAnsiTheme="minorHAnsi" w:cstheme="minorHAnsi"/>
                <w:bCs/>
                <w:color w:val="000000"/>
              </w:rPr>
            </w:r>
          </w:p>
        </w:tc>
        <w:tc>
          <w:tcPr>
            <w:tcW w:w="6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13 162,5</w:t>
            </w:r>
            <w:r>
              <w:rPr>
                <w:rFonts w:asciiTheme="minorHAnsi" w:hAnsiTheme="minorHAnsi" w:cstheme="minorHAnsi"/>
                <w:bCs/>
                <w:color w:val="000000"/>
              </w:rPr>
            </w:r>
          </w:p>
        </w:tc>
        <w:tc>
          <w:tcPr>
            <w:tcW w:w="55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14 813,1</w:t>
            </w:r>
            <w:r>
              <w:rPr>
                <w:rFonts w:asciiTheme="minorHAnsi" w:hAnsiTheme="minorHAnsi" w:cstheme="minorHAnsi"/>
                <w:bCs/>
                <w:color w:val="000000"/>
              </w:rPr>
            </w:r>
          </w:p>
        </w:tc>
        <w:tc>
          <w:tcPr>
            <w:tcW w:w="56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14 204,6</w:t>
            </w:r>
            <w:r>
              <w:rPr>
                <w:rFonts w:asciiTheme="minorHAnsi" w:hAnsiTheme="minorHAnsi" w:cstheme="minorHAnsi"/>
                <w:bCs/>
                <w:color w:val="000000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13 783,3</w:t>
            </w:r>
            <w:r>
              <w:rPr>
                <w:rFonts w:asciiTheme="minorHAnsi" w:hAnsiTheme="minorHAnsi" w:cstheme="minorHAnsi"/>
                <w:bCs/>
                <w:color w:val="000000"/>
              </w:rPr>
            </w:r>
          </w:p>
        </w:tc>
      </w:tr>
      <w:tr>
        <w:tblPrEx/>
        <w:trPr>
          <w:cantSplit/>
        </w:trPr>
        <w:tc>
          <w:tcPr>
            <w:tcW w:w="1522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Собственные нужды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6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тыс. 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6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-285,2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6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-267,2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55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-300,7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56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-500,4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-466,1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cantSplit/>
        </w:trPr>
        <w:tc>
          <w:tcPr>
            <w:tcW w:w="1522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Отпуск в сеть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6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тыс. 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6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13 764,7</w:t>
            </w:r>
            <w:r>
              <w:rPr>
                <w:rFonts w:asciiTheme="minorHAnsi" w:hAnsiTheme="minorHAnsi" w:cstheme="minorHAnsi"/>
                <w:bCs/>
                <w:color w:val="000000"/>
              </w:rPr>
            </w:r>
          </w:p>
        </w:tc>
        <w:tc>
          <w:tcPr>
            <w:tcW w:w="6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12 895,3</w:t>
            </w:r>
            <w:r>
              <w:rPr>
                <w:rFonts w:asciiTheme="minorHAnsi" w:hAnsiTheme="minorHAnsi" w:cstheme="minorHAnsi"/>
                <w:bCs/>
                <w:color w:val="000000"/>
              </w:rPr>
            </w:r>
          </w:p>
        </w:tc>
        <w:tc>
          <w:tcPr>
            <w:tcW w:w="55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14 512,4</w:t>
            </w:r>
            <w:r>
              <w:rPr>
                <w:rFonts w:asciiTheme="minorHAnsi" w:hAnsiTheme="minorHAnsi" w:cstheme="minorHAnsi"/>
                <w:bCs/>
                <w:color w:val="000000"/>
              </w:rPr>
            </w:r>
          </w:p>
        </w:tc>
        <w:tc>
          <w:tcPr>
            <w:tcW w:w="56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13 704,2</w:t>
            </w:r>
            <w:r>
              <w:rPr>
                <w:rFonts w:asciiTheme="minorHAnsi" w:hAnsiTheme="minorHAnsi" w:cstheme="minorHAnsi"/>
                <w:bCs/>
                <w:color w:val="000000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13 317,2</w:t>
            </w:r>
            <w:r>
              <w:rPr>
                <w:rFonts w:asciiTheme="minorHAnsi" w:hAnsiTheme="minorHAnsi" w:cstheme="minorHAnsi"/>
                <w:bCs/>
                <w:color w:val="000000"/>
              </w:rPr>
            </w:r>
          </w:p>
        </w:tc>
      </w:tr>
      <w:tr>
        <w:tblPrEx/>
        <w:trPr>
          <w:cantSplit/>
        </w:trPr>
        <w:tc>
          <w:tcPr>
            <w:tcW w:w="1522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Потери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6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тыс. 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6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-1 718,9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6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-1 642,7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55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-1 848,7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56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-1 800,4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-1 800,3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cantSplit/>
        </w:trPr>
        <w:tc>
          <w:tcPr>
            <w:tcW w:w="1522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Полезный отпуск, в </w:t>
            </w:r>
            <w:r>
              <w:rPr>
                <w:rFonts w:asciiTheme="minorHAnsi" w:hAnsiTheme="minorHAnsi" w:cstheme="minorHAnsi"/>
                <w:bCs/>
              </w:rPr>
              <w:t xml:space="preserve">т.ч</w:t>
            </w:r>
            <w:r>
              <w:rPr>
                <w:rFonts w:asciiTheme="minorHAnsi" w:hAnsiTheme="minorHAnsi" w:cstheme="minorHAnsi"/>
                <w:bCs/>
              </w:rPr>
              <w:t xml:space="preserve">.: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6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тыс. 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6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12 045,8</w:t>
            </w:r>
            <w:r>
              <w:rPr>
                <w:rFonts w:asciiTheme="minorHAnsi" w:hAnsiTheme="minorHAnsi" w:cstheme="minorHAnsi"/>
                <w:bCs/>
                <w:color w:val="000000"/>
              </w:rPr>
            </w:r>
          </w:p>
        </w:tc>
        <w:tc>
          <w:tcPr>
            <w:tcW w:w="6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11 252,6</w:t>
            </w:r>
            <w:r>
              <w:rPr>
                <w:rFonts w:asciiTheme="minorHAnsi" w:hAnsiTheme="minorHAnsi" w:cstheme="minorHAnsi"/>
                <w:bCs/>
                <w:color w:val="000000"/>
              </w:rPr>
            </w:r>
          </w:p>
        </w:tc>
        <w:tc>
          <w:tcPr>
            <w:tcW w:w="55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12 663,7</w:t>
            </w:r>
            <w:r>
              <w:rPr>
                <w:rFonts w:asciiTheme="minorHAnsi" w:hAnsiTheme="minorHAnsi" w:cstheme="minorHAnsi"/>
                <w:bCs/>
                <w:color w:val="000000"/>
              </w:rPr>
            </w:r>
          </w:p>
        </w:tc>
        <w:tc>
          <w:tcPr>
            <w:tcW w:w="56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11 903,8</w:t>
            </w:r>
            <w:r>
              <w:rPr>
                <w:rFonts w:asciiTheme="minorHAnsi" w:hAnsiTheme="minorHAnsi" w:cstheme="minorHAnsi"/>
                <w:bCs/>
                <w:color w:val="000000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11 516,9</w:t>
            </w:r>
            <w:r>
              <w:rPr>
                <w:rFonts w:asciiTheme="minorHAnsi" w:hAnsiTheme="minorHAnsi" w:cstheme="minorHAnsi"/>
                <w:bCs/>
                <w:color w:val="000000"/>
              </w:rPr>
            </w:r>
          </w:p>
        </w:tc>
      </w:tr>
      <w:tr>
        <w:tblPrEx/>
        <w:trPr>
          <w:cantSplit/>
        </w:trPr>
        <w:tc>
          <w:tcPr>
            <w:tcW w:w="1522" w:type="pct"/>
            <w:textDirection w:val="lrTb"/>
            <w:noWrap w:val="false"/>
          </w:tcPr>
          <w:p>
            <w:pPr>
              <w:ind w:left="171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 xml:space="preserve">по целевому назначению:</w:t>
            </w:r>
            <w:r>
              <w:rPr>
                <w:rFonts w:asciiTheme="minorHAnsi" w:hAnsiTheme="minorHAnsi" w:cstheme="minorHAnsi"/>
                <w:bCs/>
                <w:i/>
              </w:rPr>
            </w:r>
          </w:p>
        </w:tc>
        <w:tc>
          <w:tcPr>
            <w:tcW w:w="6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6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>
              <w:rPr>
                <w:rFonts w:asciiTheme="minorHAnsi" w:hAnsiTheme="minorHAnsi" w:cstheme="minorHAnsi"/>
                <w:i/>
                <w:color w:val="000000"/>
              </w:rPr>
              <w:t xml:space="preserve">-</w:t>
            </w:r>
            <w:r>
              <w:rPr>
                <w:rFonts w:asciiTheme="minorHAnsi" w:hAnsiTheme="minorHAnsi" w:cstheme="minorHAnsi"/>
                <w:i/>
                <w:color w:val="000000"/>
              </w:rPr>
            </w:r>
          </w:p>
        </w:tc>
        <w:tc>
          <w:tcPr>
            <w:tcW w:w="6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>
              <w:rPr>
                <w:rFonts w:asciiTheme="minorHAnsi" w:hAnsiTheme="minorHAnsi" w:cstheme="minorHAnsi"/>
                <w:i/>
                <w:color w:val="000000"/>
              </w:rPr>
              <w:t xml:space="preserve">-</w:t>
            </w:r>
            <w:r>
              <w:rPr>
                <w:rFonts w:asciiTheme="minorHAnsi" w:hAnsiTheme="minorHAnsi" w:cstheme="minorHAnsi"/>
                <w:i/>
                <w:color w:val="000000"/>
              </w:rPr>
            </w:r>
          </w:p>
        </w:tc>
        <w:tc>
          <w:tcPr>
            <w:tcW w:w="55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>
              <w:rPr>
                <w:rFonts w:asciiTheme="minorHAnsi" w:hAnsiTheme="minorHAnsi" w:cstheme="minorHAnsi"/>
                <w:i/>
                <w:color w:val="000000"/>
              </w:rPr>
              <w:t xml:space="preserve">-</w:t>
            </w:r>
            <w:r>
              <w:rPr>
                <w:rFonts w:asciiTheme="minorHAnsi" w:hAnsiTheme="minorHAnsi" w:cstheme="minorHAnsi"/>
                <w:i/>
                <w:color w:val="000000"/>
              </w:rPr>
            </w:r>
          </w:p>
        </w:tc>
        <w:tc>
          <w:tcPr>
            <w:tcW w:w="56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>
              <w:rPr>
                <w:rFonts w:asciiTheme="minorHAnsi" w:hAnsiTheme="minorHAnsi" w:cstheme="minorHAnsi"/>
                <w:i/>
                <w:color w:val="000000"/>
              </w:rPr>
              <w:t xml:space="preserve">-</w:t>
            </w:r>
            <w:r>
              <w:rPr>
                <w:rFonts w:asciiTheme="minorHAnsi" w:hAnsiTheme="minorHAnsi" w:cstheme="minorHAnsi"/>
                <w:i/>
                <w:color w:val="000000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>
              <w:rPr>
                <w:rFonts w:asciiTheme="minorHAnsi" w:hAnsiTheme="minorHAnsi" w:cstheme="minorHAnsi"/>
                <w:i/>
                <w:color w:val="000000"/>
              </w:rPr>
              <w:t xml:space="preserve">-</w:t>
            </w:r>
            <w:r>
              <w:rPr>
                <w:rFonts w:asciiTheme="minorHAnsi" w:hAnsiTheme="minorHAnsi" w:cstheme="minorHAnsi"/>
                <w:i/>
                <w:color w:val="000000"/>
              </w:rPr>
            </w:r>
          </w:p>
        </w:tc>
      </w:tr>
      <w:tr>
        <w:tblPrEx/>
        <w:trPr>
          <w:cantSplit/>
        </w:trPr>
        <w:tc>
          <w:tcPr>
            <w:tcW w:w="1522" w:type="pct"/>
            <w:textDirection w:val="lrTb"/>
            <w:noWrap w:val="false"/>
          </w:tcPr>
          <w:p>
            <w:pPr>
              <w:ind w:left="3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отопление и вентиляция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6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тыс. 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6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5 758,4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6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5 358,5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55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5 679,9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56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5 159,4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4 976,6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cantSplit/>
        </w:trPr>
        <w:tc>
          <w:tcPr>
            <w:tcW w:w="1522" w:type="pct"/>
            <w:textDirection w:val="lrTb"/>
            <w:noWrap w:val="false"/>
          </w:tcPr>
          <w:p>
            <w:pPr>
              <w:ind w:left="3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горячая вода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6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тыс. 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6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664,2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6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588,3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55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557,4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56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599,7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541,3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cantSplit/>
        </w:trPr>
        <w:tc>
          <w:tcPr>
            <w:tcW w:w="1522" w:type="pct"/>
            <w:textDirection w:val="lrTb"/>
            <w:noWrap w:val="false"/>
          </w:tcPr>
          <w:p>
            <w:pPr>
              <w:ind w:left="3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производственные нужды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6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тыс. 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6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5 623,2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6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5 305,8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55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6 426,4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56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6 144,7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5 999,0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cantSplit/>
        </w:trPr>
        <w:tc>
          <w:tcPr>
            <w:tcW w:w="1522" w:type="pct"/>
            <w:textDirection w:val="lrTb"/>
            <w:noWrap w:val="false"/>
          </w:tcPr>
          <w:p>
            <w:pPr>
              <w:ind w:left="171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 xml:space="preserve">по группам потребителей:</w:t>
            </w:r>
            <w:r>
              <w:rPr>
                <w:rFonts w:asciiTheme="minorHAnsi" w:hAnsiTheme="minorHAnsi" w:cstheme="minorHAnsi"/>
                <w:bCs/>
                <w:i/>
              </w:rPr>
            </w:r>
          </w:p>
        </w:tc>
        <w:tc>
          <w:tcPr>
            <w:tcW w:w="6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6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>
              <w:rPr>
                <w:rFonts w:asciiTheme="minorHAnsi" w:hAnsiTheme="minorHAnsi" w:cstheme="minorHAnsi"/>
                <w:i/>
                <w:color w:val="000000"/>
              </w:rPr>
              <w:t xml:space="preserve">-</w:t>
            </w:r>
            <w:r>
              <w:rPr>
                <w:rFonts w:asciiTheme="minorHAnsi" w:hAnsiTheme="minorHAnsi" w:cstheme="minorHAnsi"/>
                <w:i/>
                <w:color w:val="000000"/>
              </w:rPr>
            </w:r>
          </w:p>
        </w:tc>
        <w:tc>
          <w:tcPr>
            <w:tcW w:w="6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>
              <w:rPr>
                <w:rFonts w:asciiTheme="minorHAnsi" w:hAnsiTheme="minorHAnsi" w:cstheme="minorHAnsi"/>
                <w:i/>
                <w:color w:val="000000"/>
              </w:rPr>
              <w:t xml:space="preserve">-</w:t>
            </w:r>
            <w:r>
              <w:rPr>
                <w:rFonts w:asciiTheme="minorHAnsi" w:hAnsiTheme="minorHAnsi" w:cstheme="minorHAnsi"/>
                <w:i/>
                <w:color w:val="000000"/>
              </w:rPr>
            </w:r>
          </w:p>
        </w:tc>
        <w:tc>
          <w:tcPr>
            <w:tcW w:w="55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>
              <w:rPr>
                <w:rFonts w:asciiTheme="minorHAnsi" w:hAnsiTheme="minorHAnsi" w:cstheme="minorHAnsi"/>
                <w:i/>
                <w:color w:val="000000"/>
              </w:rPr>
              <w:t xml:space="preserve">-</w:t>
            </w:r>
            <w:r>
              <w:rPr>
                <w:rFonts w:asciiTheme="minorHAnsi" w:hAnsiTheme="minorHAnsi" w:cstheme="minorHAnsi"/>
                <w:i/>
                <w:color w:val="000000"/>
              </w:rPr>
            </w:r>
          </w:p>
        </w:tc>
        <w:tc>
          <w:tcPr>
            <w:tcW w:w="56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>
              <w:rPr>
                <w:rFonts w:asciiTheme="minorHAnsi" w:hAnsiTheme="minorHAnsi" w:cstheme="minorHAnsi"/>
                <w:i/>
                <w:color w:val="000000"/>
              </w:rPr>
              <w:t xml:space="preserve">-</w:t>
            </w:r>
            <w:r>
              <w:rPr>
                <w:rFonts w:asciiTheme="minorHAnsi" w:hAnsiTheme="minorHAnsi" w:cstheme="minorHAnsi"/>
                <w:i/>
                <w:color w:val="000000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>
              <w:rPr>
                <w:rFonts w:asciiTheme="minorHAnsi" w:hAnsiTheme="minorHAnsi" w:cstheme="minorHAnsi"/>
                <w:i/>
                <w:color w:val="000000"/>
              </w:rPr>
              <w:t xml:space="preserve">-</w:t>
            </w:r>
            <w:r>
              <w:rPr>
                <w:rFonts w:asciiTheme="minorHAnsi" w:hAnsiTheme="minorHAnsi" w:cstheme="minorHAnsi"/>
                <w:i/>
                <w:color w:val="000000"/>
              </w:rPr>
            </w:r>
          </w:p>
        </w:tc>
      </w:tr>
      <w:tr>
        <w:tblPrEx/>
        <w:trPr>
          <w:cantSplit/>
        </w:trPr>
        <w:tc>
          <w:tcPr>
            <w:tcW w:w="1522" w:type="pct"/>
            <w:textDirection w:val="lrTb"/>
            <w:noWrap w:val="false"/>
          </w:tcPr>
          <w:p>
            <w:pPr>
              <w:ind w:left="17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население, в </w:t>
            </w:r>
            <w:r>
              <w:rPr>
                <w:rFonts w:asciiTheme="minorHAnsi" w:hAnsiTheme="minorHAnsi" w:cstheme="minorHAnsi"/>
                <w:bCs/>
              </w:rPr>
              <w:t xml:space="preserve">т.ч</w:t>
            </w:r>
            <w:r>
              <w:rPr>
                <w:rFonts w:asciiTheme="minorHAnsi" w:hAnsiTheme="minorHAnsi" w:cstheme="minorHAnsi"/>
                <w:bCs/>
              </w:rPr>
              <w:t xml:space="preserve">.: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6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тыс. 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6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4 586,5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6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4 363,3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55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4 761,1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56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4 753,0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4 473,3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cantSplit/>
        </w:trPr>
        <w:tc>
          <w:tcPr>
            <w:tcBorders>
              <w:bottom w:val="single" w:color="auto" w:sz="4" w:space="0"/>
            </w:tcBorders>
            <w:tcW w:w="1522" w:type="pct"/>
            <w:textDirection w:val="lrTb"/>
            <w:noWrap w:val="false"/>
          </w:tcPr>
          <w:p>
            <w:pPr>
              <w:ind w:left="3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отопление и вентиляция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Borders>
              <w:bottom w:val="single" w:color="auto" w:sz="4" w:space="0"/>
            </w:tcBorders>
            <w:tcW w:w="6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тыс. 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bottom w:val="single" w:color="auto" w:sz="4" w:space="0"/>
            </w:tcBorders>
            <w:tcW w:w="56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3 975,6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6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3 819,4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55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4 242,7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56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4 188,0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5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3 981,2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cantSplit/>
        </w:trPr>
        <w:tc>
          <w:tcPr>
            <w:tcBorders>
              <w:bottom w:val="single" w:color="auto" w:sz="4" w:space="0"/>
            </w:tcBorders>
            <w:tcW w:w="1522" w:type="pct"/>
            <w:textDirection w:val="lrTb"/>
            <w:noWrap w:val="false"/>
          </w:tcPr>
          <w:p>
            <w:pPr>
              <w:ind w:left="449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МКД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Borders>
              <w:bottom w:val="single" w:color="auto" w:sz="4" w:space="0"/>
            </w:tcBorders>
            <w:tcW w:w="6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тыс. 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bottom w:val="single" w:color="auto" w:sz="4" w:space="0"/>
            </w:tcBorders>
            <w:tcW w:w="56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3 537,8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6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3 373,0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55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3 744,3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56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3 621,6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5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3 488,6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cantSplit/>
        </w:trPr>
        <w:tc>
          <w:tcPr>
            <w:tcBorders>
              <w:bottom w:val="single" w:color="auto" w:sz="4" w:space="0"/>
            </w:tcBorders>
            <w:tcW w:w="1522" w:type="pct"/>
            <w:textDirection w:val="lrTb"/>
            <w:noWrap w:val="false"/>
          </w:tcPr>
          <w:p>
            <w:pPr>
              <w:ind w:left="449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индивидуально-определенные здания (далее – ИОЗ)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Borders>
              <w:bottom w:val="single" w:color="auto" w:sz="4" w:space="0"/>
            </w:tcBorders>
            <w:tcW w:w="6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тыс. 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bottom w:val="single" w:color="auto" w:sz="4" w:space="0"/>
            </w:tcBorders>
            <w:tcW w:w="56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437,8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6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446,4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55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498,4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56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566,4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5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492,6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cantSplit/>
        </w:trPr>
        <w:tc>
          <w:tcPr>
            <w:tcBorders>
              <w:bottom w:val="single" w:color="auto" w:sz="4" w:space="0"/>
            </w:tcBorders>
            <w:tcW w:w="1522" w:type="pct"/>
            <w:textDirection w:val="lrTb"/>
            <w:noWrap w:val="false"/>
          </w:tcPr>
          <w:p>
            <w:pPr>
              <w:ind w:left="3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горячая вода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Borders>
              <w:bottom w:val="single" w:color="auto" w:sz="4" w:space="0"/>
            </w:tcBorders>
            <w:tcW w:w="6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тыс. 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bottom w:val="single" w:color="auto" w:sz="4" w:space="0"/>
            </w:tcBorders>
            <w:tcW w:w="56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610,9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6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543,9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55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518,4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56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565,0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5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492,1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cantSplit/>
        </w:trPr>
        <w:tc>
          <w:tcPr>
            <w:tcBorders>
              <w:bottom w:val="single" w:color="auto" w:sz="4" w:space="0"/>
            </w:tcBorders>
            <w:tcW w:w="1522" w:type="pct"/>
            <w:textDirection w:val="lrTb"/>
            <w:noWrap w:val="false"/>
          </w:tcPr>
          <w:p>
            <w:pPr>
              <w:ind w:left="449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МКД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Borders>
              <w:bottom w:val="single" w:color="auto" w:sz="4" w:space="0"/>
            </w:tcBorders>
            <w:tcW w:w="6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тыс. 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bottom w:val="single" w:color="auto" w:sz="4" w:space="0"/>
            </w:tcBorders>
            <w:tcW w:w="56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585,0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6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518,4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55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471,5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56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499,5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5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461,9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cantSplit/>
        </w:trPr>
        <w:tc>
          <w:tcPr>
            <w:tcBorders>
              <w:bottom w:val="single" w:color="auto" w:sz="4" w:space="0"/>
            </w:tcBorders>
            <w:tcW w:w="1522" w:type="pct"/>
            <w:textDirection w:val="lrTb"/>
            <w:noWrap w:val="false"/>
          </w:tcPr>
          <w:p>
            <w:pPr>
              <w:ind w:left="449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ИОЗ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Borders>
              <w:bottom w:val="single" w:color="auto" w:sz="4" w:space="0"/>
            </w:tcBorders>
            <w:tcW w:w="6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тыс. 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bottom w:val="single" w:color="auto" w:sz="4" w:space="0"/>
            </w:tcBorders>
            <w:tcW w:w="56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25,9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6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25,5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55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46,9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56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65,5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5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30,2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cantSplit/>
        </w:trPr>
        <w:tc>
          <w:tcPr>
            <w:tcBorders>
              <w:bottom w:val="single" w:color="auto" w:sz="4" w:space="0"/>
            </w:tcBorders>
            <w:tcW w:w="1522" w:type="pct"/>
            <w:textDirection w:val="lrTb"/>
            <w:noWrap w:val="false"/>
          </w:tcPr>
          <w:p>
            <w:pPr>
              <w:ind w:left="17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бюджетные организации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Borders>
              <w:bottom w:val="single" w:color="auto" w:sz="4" w:space="0"/>
            </w:tcBorders>
            <w:tcW w:w="6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тыс. 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bottom w:val="single" w:color="auto" w:sz="4" w:space="0"/>
            </w:tcBorders>
            <w:tcW w:w="56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738,3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6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677,9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55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754,1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56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750,5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5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754,2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2" w:type="pct"/>
            <w:textDirection w:val="lrTb"/>
            <w:noWrap w:val="false"/>
          </w:tcPr>
          <w:p>
            <w:pPr>
              <w:ind w:left="17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прочие потребители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тыс. 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6 721,0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6 211,4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7 148,5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6 400,3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6 289,4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2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ГСОП</w:t>
            </w:r>
            <w:r>
              <w:rPr>
                <w:rFonts w:asciiTheme="minorHAnsi" w:hAnsiTheme="minorHAnsi" w:cstheme="minorHAnsi"/>
                <w:bCs/>
                <w:vertAlign w:val="superscript"/>
              </w:rPr>
              <w:t xml:space="preserve">2</w:t>
            </w:r>
            <w:r>
              <w:rPr>
                <w:rFonts w:asciiTheme="minorHAnsi" w:hAnsiTheme="minorHAnsi" w:cstheme="minorHAnsi"/>
                <w:bCs/>
              </w:rPr>
              <w:t xml:space="preserve"> – факт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°С-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сут</w:t>
            </w:r>
            <w:r>
              <w:rPr>
                <w:rFonts w:asciiTheme="minorHAnsi" w:hAnsiTheme="minorHAnsi" w:cstheme="minorHAnsi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5 580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5 130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5 028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5 630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5 352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2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ИПП</w:t>
            </w:r>
            <w:r>
              <w:rPr>
                <w:rFonts w:asciiTheme="minorHAnsi" w:hAnsiTheme="minorHAnsi" w:cstheme="minorHAnsi"/>
                <w:bCs/>
                <w:vertAlign w:val="superscript"/>
              </w:rPr>
              <w:t xml:space="preserve">3</w:t>
            </w:r>
            <w:r>
              <w:rPr>
                <w:rFonts w:asciiTheme="minorHAnsi" w:hAnsiTheme="minorHAnsi" w:cstheme="minorHAnsi"/>
                <w:bCs/>
              </w:rPr>
              <w:t xml:space="preserve"> по Пермскому краю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%</w:t>
            </w:r>
            <w:r>
              <w:rPr>
                <w:rFonts w:asciiTheme="minorHAnsi" w:hAnsiTheme="minorHAnsi" w:cstheme="minorHAnsi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98,9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97,5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104,3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98,4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н/д</w:t>
            </w:r>
            <w:r>
              <w:rPr>
                <w:rFonts w:asciiTheme="minorHAnsi" w:hAnsiTheme="minorHAnsi" w:cstheme="minorHAnsi"/>
              </w:rPr>
            </w:r>
          </w:p>
        </w:tc>
      </w:tr>
    </w:tbl>
    <w:p>
      <w:pPr>
        <w:pStyle w:val="1570"/>
        <w:jc w:val="left"/>
        <w:rPr>
          <w:rFonts w:asciiTheme="minorHAnsi" w:hAnsiTheme="minorHAnsi" w:cstheme="minorHAnsi"/>
          <w:i/>
          <w:iCs w:val="0"/>
          <w:sz w:val="28"/>
          <w:szCs w:val="28"/>
        </w:rPr>
      </w:pPr>
      <w:r/>
      <w:bookmarkStart w:id="47" w:name="_Hlk176273868"/>
      <w:r/>
      <w:bookmarkEnd w:id="46"/>
      <w:r/>
      <w:r>
        <w:rPr>
          <w:rFonts w:asciiTheme="minorHAnsi" w:hAnsiTheme="minorHAnsi" w:cstheme="minorHAnsi"/>
          <w:i/>
          <w:iCs w:val="0"/>
          <w:sz w:val="28"/>
          <w:szCs w:val="28"/>
        </w:rPr>
      </w:r>
    </w:p>
    <w:p>
      <w:pPr>
        <w:pStyle w:val="1570"/>
        <w:jc w:val="left"/>
        <w:rPr>
          <w:rFonts w:asciiTheme="minorHAnsi" w:hAnsiTheme="minorHAnsi" w:cstheme="minorHAnsi"/>
          <w:i/>
          <w:iCs w:val="0"/>
          <w:sz w:val="28"/>
          <w:szCs w:val="28"/>
        </w:rPr>
      </w:pPr>
      <w:r/>
      <w:bookmarkStart w:id="48" w:name="_Hlk176272421"/>
      <w:r>
        <w:rPr>
          <w:rFonts w:asciiTheme="minorHAnsi" w:hAnsiTheme="minorHAnsi" w:cstheme="minorHAnsi"/>
          <w:i/>
          <w:iCs w:val="0"/>
          <w:sz w:val="28"/>
          <w:szCs w:val="28"/>
        </w:rPr>
        <w:t xml:space="preserve">---------------------------</w:t>
      </w:r>
      <w:r>
        <w:rPr>
          <w:rFonts w:asciiTheme="minorHAnsi" w:hAnsiTheme="minorHAnsi" w:cstheme="minorHAnsi"/>
          <w:i/>
          <w:iCs w:val="0"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1. Указаны прогнозные данные.</w:t>
      </w:r>
      <w:r>
        <w:rPr>
          <w:rFonts w:asciiTheme="minorHAnsi" w:hAnsiTheme="minorHAnsi" w:cstheme="minorHAnsi"/>
          <w:szCs w:val="24"/>
        </w:rPr>
      </w:r>
    </w:p>
    <w:p>
      <w:pPr>
        <w:pStyle w:val="157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2. ГСОП – </w:t>
      </w:r>
      <w:r>
        <w:rPr>
          <w:rFonts w:asciiTheme="minorHAnsi" w:hAnsiTheme="minorHAnsi" w:cstheme="minorHAnsi"/>
          <w:szCs w:val="24"/>
        </w:rPr>
        <w:t xml:space="preserve">градусосутки</w:t>
      </w:r>
      <w:r>
        <w:rPr>
          <w:rFonts w:asciiTheme="minorHAnsi" w:hAnsiTheme="minorHAnsi" w:cstheme="minorHAnsi"/>
          <w:szCs w:val="24"/>
        </w:rPr>
        <w:t xml:space="preserve"> отопительного периода.</w:t>
      </w:r>
      <w:r>
        <w:rPr>
          <w:rFonts w:asciiTheme="minorHAnsi" w:hAnsiTheme="minorHAnsi" w:cstheme="minorHAnsi"/>
          <w:szCs w:val="24"/>
        </w:rPr>
      </w:r>
    </w:p>
    <w:p>
      <w:pPr>
        <w:pStyle w:val="157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3. ИПП – индекс промышленного производства.</w:t>
      </w:r>
      <w:r>
        <w:rPr>
          <w:rFonts w:asciiTheme="minorHAnsi" w:hAnsiTheme="minorHAnsi" w:cstheme="minorHAnsi"/>
          <w:szCs w:val="24"/>
        </w:rPr>
      </w:r>
    </w:p>
    <w:p>
      <w:pPr>
        <w:pStyle w:val="157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Примечание. Источники информации – форма федерального статистического наблюдения 1-ТЕП «Сведения о снабжении </w:t>
      </w:r>
      <w:r>
        <w:rPr>
          <w:rFonts w:asciiTheme="minorHAnsi" w:hAnsiTheme="minorHAnsi" w:cstheme="minorHAnsi"/>
          <w:szCs w:val="24"/>
        </w:rPr>
        <w:t xml:space="preserve">теплоэнергией</w:t>
      </w:r>
      <w:r>
        <w:rPr>
          <w:rFonts w:asciiTheme="minorHAnsi" w:hAnsiTheme="minorHAnsi" w:cstheme="minorHAnsi"/>
          <w:szCs w:val="24"/>
        </w:rPr>
        <w:t xml:space="preserve">», форма федерального статистического наблюдения 4-ТЭР «Сведения об использовании топливно-энергетических ресурсов» и оценки разработчика настоящей Программы.</w:t>
      </w:r>
      <w:bookmarkEnd w:id="47"/>
      <w:bookmarkEnd w:id="48"/>
      <w:r>
        <w:rPr>
          <w:rFonts w:asciiTheme="minorHAnsi" w:hAnsiTheme="minorHAnsi" w:cstheme="minorHAnsi"/>
          <w:szCs w:val="24"/>
        </w:rPr>
      </w:r>
    </w:p>
    <w:p>
      <w:pPr>
        <w:pStyle w:val="1570"/>
        <w:rPr>
          <w:rFonts w:asciiTheme="minorHAnsi" w:hAnsiTheme="minorHAnsi" w:cstheme="minorHAnsi"/>
          <w:i/>
          <w:iCs w:val="0"/>
          <w:szCs w:val="24"/>
        </w:rPr>
      </w:pPr>
      <w:r>
        <w:rPr>
          <w:rFonts w:asciiTheme="minorHAnsi" w:hAnsiTheme="minorHAnsi" w:cstheme="minorHAnsi"/>
          <w:i/>
          <w:iCs w:val="0"/>
          <w:szCs w:val="24"/>
        </w:rPr>
      </w:r>
      <w:r>
        <w:rPr>
          <w:rFonts w:asciiTheme="minorHAnsi" w:hAnsiTheme="minorHAnsi" w:cstheme="minorHAnsi"/>
          <w:i/>
          <w:iCs w:val="0"/>
          <w:szCs w:val="24"/>
        </w:rPr>
      </w:r>
    </w:p>
    <w:p>
      <w:pPr>
        <w:pStyle w:val="15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Тепловой баланс системы теп</w:t>
      </w:r>
      <w:r>
        <w:rPr>
          <w:rFonts w:asciiTheme="minorHAnsi" w:hAnsiTheme="minorHAnsi" w:cstheme="minorHAnsi"/>
          <w:sz w:val="28"/>
          <w:szCs w:val="28"/>
        </w:rPr>
        <w:t xml:space="preserve">лоснабжения на базе источников тепловой энергии, функционирующих в режиме комбинированной выработки электрической и тепловой энергии общего пользования, в зоне деятельности единой теплоснабжающей организации № 01, 02, 01-2, 01-3 представлен в таблице 2.5. 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В зоне действия ПТЭЦ-6 и ПТЭЦ-9 возникает локальный дефицит тепловой мощности, который нивелируется переключениями тепловой нагрузки и иными вариантами, представленными в Схеме теплоснабжения.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44"/>
        <w:jc w:val="right"/>
        <w:rPr>
          <w:b/>
          <w:bCs/>
          <w:sz w:val="28"/>
          <w:szCs w:val="28"/>
        </w:rPr>
      </w:pPr>
      <w:r/>
      <w:bookmarkStart w:id="49" w:name="_Toc175216081"/>
      <w:r>
        <w:rPr>
          <w:b/>
          <w:bCs/>
          <w:sz w:val="28"/>
          <w:szCs w:val="28"/>
        </w:rPr>
        <w:t xml:space="preserve">Таблица 2.5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Тепловой баланс ТЭЦ</w:t>
      </w:r>
      <w:bookmarkEnd w:id="49"/>
      <w:r/>
      <w:r>
        <w:rPr>
          <w:b/>
          <w:bCs/>
          <w:sz w:val="28"/>
          <w:szCs w:val="28"/>
        </w:rPr>
      </w:r>
    </w:p>
    <w:p>
      <w:pPr>
        <w:jc w:val="right"/>
        <w:rPr>
          <w:lang w:eastAsia="en-US"/>
        </w:rPr>
      </w:pPr>
      <w:r>
        <w:rPr>
          <w:sz w:val="28"/>
          <w:szCs w:val="28"/>
        </w:rPr>
        <w:t xml:space="preserve">Гкал/ч</w:t>
      </w:r>
      <w:r>
        <w:rPr>
          <w:lang w:eastAsia="en-US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0"/>
        <w:gridCol w:w="5541"/>
        <w:gridCol w:w="904"/>
        <w:gridCol w:w="904"/>
        <w:gridCol w:w="904"/>
        <w:gridCol w:w="904"/>
      </w:tblGrid>
      <w:tr>
        <w:tblPrEx/>
        <w:trPr>
          <w:trHeight w:val="20"/>
          <w:tblHeader/>
        </w:trPr>
        <w:tc>
          <w:tcPr>
            <w:shd w:val="clear" w:color="auto" w:fill="auto"/>
            <w:tcW w:w="483" w:type="pct"/>
            <w:textDirection w:val="lrTb"/>
            <w:noWrap/>
          </w:tcPr>
          <w:p>
            <w:pPr>
              <w:ind w:left="-113" w:right="-108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№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273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Наименование показателя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4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2019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4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2020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4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2021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4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2022</w:t>
            </w:r>
            <w:r>
              <w:rPr>
                <w:rFonts w:asciiTheme="minorHAnsi" w:hAnsiTheme="minorHAnsi" w:cstheme="minorHAnsi"/>
              </w:rPr>
            </w:r>
          </w:p>
        </w:tc>
      </w:tr>
    </w:tbl>
    <w:p>
      <w:pPr>
        <w:spacing w:line="48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80"/>
        <w:gridCol w:w="5541"/>
        <w:gridCol w:w="904"/>
        <w:gridCol w:w="904"/>
        <w:gridCol w:w="904"/>
        <w:gridCol w:w="904"/>
      </w:tblGrid>
      <w:tr>
        <w:tblPrEx/>
        <w:trPr>
          <w:cantSplit/>
          <w:trHeight w:val="20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pct"/>
            <w:textDirection w:val="lrTb"/>
            <w:noWrap/>
          </w:tcPr>
          <w:p>
            <w:pPr>
              <w:ind w:left="-113" w:right="-108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1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ПТЭЦ-6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1.1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33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Установленная тепловая мощность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815,5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815,5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815,5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815,5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1.2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33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Располагаемая тепловая мощность станции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801,9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801,9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801,9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801,9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1.3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33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Затраты тепла на собственные нужды станции в ГВС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7,9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7,9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7,9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8,7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1.4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33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Потери в тепловых сетях в ГВС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53,7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31,4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31,7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1.5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33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Присоединенная договорная тепловая нагрузка в ГВС и в паре 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513,6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401,4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582,3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588,1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1.6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33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Присоединенная расчетная тепловая нагрузка в ГВС (на коллекторах станции) и в паре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674,9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311,9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432,2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440,1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1.7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33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Резерв/дефицит тепловой мощности (по договорной нагрузке)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226,7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148,6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-151,6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-158,5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1.8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33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Резерв/дефицит тепловой мощности (по расчетной нагрузке)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119,1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280,1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29,9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21,2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1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ПТЭЦ-9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2.1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33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Установленная тепловая мощность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1 352,8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1 352,8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1 352,8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1 352,8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2.2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33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Располагаемая тепловая мощность станции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1 352,8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1 352,8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1 352,8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1 352,8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2.3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33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Затраты тепла на собственные нужды станции в ГВС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4,3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4,3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4,3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4,3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2.4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33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Потери в тепловых сетях в ГВС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86,8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92,3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74,8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71,9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2.5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33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Присоединенная договорная тепловая нагрузка в ГВС и в паре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1 310,2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1 393,6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1 153,4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1 109,3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2.6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33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Присоединенная расчетная тепловая нагрузка в ГВС (на коллекторах станции) и в паре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886,7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1 046,7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839,5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935,3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2.7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33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Резерв/дефицит тепловой мощности (по договорной нагрузке)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-48,4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-440,4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-182,7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-252,1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2.8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33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Резерв/дефицит тепловой мощности (по расчетной нагрузке)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461,8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-1,1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-6,1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1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ПТЭЦ-13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3.1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33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Установленная тепловая мощность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261,4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261,4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261,4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261,4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3.2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33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Располагаемая тепловая мощность станции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261,4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261,4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261,4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261,4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3.3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33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Затраты тепла на собственные нужды станции в ГВС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4,4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4,4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4,4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4,4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3.4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33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Потери в тепловых сетях в ГВС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12,5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12,5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12,7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13,6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3.5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33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Присоединенная договорная тепловая нагрузка в ГВС и в паре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199,5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199,5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202,2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217,2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3.6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33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Присоединенная расчетная тепловая нагрузка в ГВС (на коллекторах станции) и в паре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158,8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160,2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169,4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168,9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3.7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33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Резерв/дефицит тепловой мощности (по договорной нагрузке)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42,1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26,2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3.8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33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Резерв/дефицит тепловой мощности (по расчетной нагрузке)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98,2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96,8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87,6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88,1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1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ПТЭЦ-14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4.1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33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Установленная тепловая мощность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941,0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941,0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941,0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941,0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4.2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33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Располагаемая тепловая мощность станции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941,0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941,0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941,0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941,0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4.3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33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Затраты тепла на собственные нужды станции в ГВС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2,5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2,5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2,5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2,6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4.4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33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Потери в тепловых сетях в ГВС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44,6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44,6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45,4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43,2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4.5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33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Присоединенная договорная тепловая нагрузка в ГВС и в паре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389,3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389,3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396,3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377,3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4.6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33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Присоединенная расчетная тепловая нагрузка в ГВС (на коллекторах станции) и в паре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353,4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381,4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389,8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381,2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4.7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33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Резерв/дефицит тепловой мощности (по договорной нагрузке)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504,6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504,6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496,7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517,9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4.8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33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Резерв/дефицит тепловой мощности (по расчетной нагрузке)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585,1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557,1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548,7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6" w:type="pct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557,2</w:t>
            </w:r>
            <w:r>
              <w:rPr>
                <w:rFonts w:asciiTheme="minorHAnsi" w:hAnsiTheme="minorHAnsi" w:cstheme="minorHAnsi"/>
              </w:rPr>
            </w:r>
          </w:p>
        </w:tc>
      </w:tr>
    </w:tbl>
    <w:p>
      <w:pPr>
        <w:rPr>
          <w:rFonts w:asciiTheme="minorHAnsi" w:hAnsiTheme="minorHAnsi" w:cstheme="minorHAnsi"/>
          <w:i/>
          <w:iCs/>
          <w:sz w:val="28"/>
          <w:szCs w:val="28"/>
        </w:rPr>
      </w:pPr>
      <w:r/>
      <w:bookmarkStart w:id="50" w:name="_Hlk176271647"/>
      <w:r/>
      <w:r>
        <w:rPr>
          <w:rFonts w:asciiTheme="minorHAnsi" w:hAnsiTheme="minorHAnsi" w:cstheme="minorHAnsi"/>
          <w:i/>
          <w:iCs/>
          <w:sz w:val="28"/>
          <w:szCs w:val="28"/>
        </w:rPr>
      </w:r>
    </w:p>
    <w:p>
      <w:pPr>
        <w:ind w:firstLine="709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 xml:space="preserve">---------------------------</w:t>
      </w:r>
      <w:r>
        <w:rPr>
          <w:rFonts w:asciiTheme="minorHAnsi" w:hAnsiTheme="minorHAnsi" w:cstheme="minorHAnsi"/>
          <w:i/>
          <w:iCs/>
          <w:sz w:val="28"/>
          <w:szCs w:val="28"/>
        </w:rPr>
      </w:r>
    </w:p>
    <w:p>
      <w:pPr>
        <w:ind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Примечание. Источник информации – Схема теплоснабжения.</w:t>
      </w:r>
      <w:bookmarkEnd w:id="50"/>
      <w:r/>
      <w:r>
        <w:rPr>
          <w:rFonts w:asciiTheme="minorHAnsi" w:hAnsiTheme="minorHAnsi" w:cstheme="minorHAnsi"/>
        </w:rPr>
      </w:r>
    </w:p>
    <w:p>
      <w:pPr>
        <w:pStyle w:val="15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Общий тепловой баланс системы теплоснабжения на базе котельных в зоне деятельности ЕТО представлен в таблице 2.6. На котельных резерв тепловой мощности превышает 55 %.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44"/>
        <w:jc w:val="right"/>
        <w:rPr>
          <w:b/>
          <w:bCs/>
          <w:sz w:val="28"/>
          <w:szCs w:val="28"/>
        </w:rPr>
      </w:pPr>
      <w:r/>
      <w:bookmarkStart w:id="51" w:name="_Toc175216082"/>
      <w:r>
        <w:rPr>
          <w:b/>
          <w:bCs/>
          <w:sz w:val="28"/>
          <w:szCs w:val="28"/>
        </w:rPr>
        <w:t xml:space="preserve">Таблица 2.6</w:t>
      </w:r>
      <w:r>
        <w:rPr>
          <w:b/>
          <w:bCs/>
          <w:sz w:val="28"/>
          <w:szCs w:val="28"/>
        </w:rPr>
      </w:r>
    </w:p>
    <w:p>
      <w:pPr>
        <w:pStyle w:val="1544"/>
      </w:pPr>
      <w:r>
        <w:rPr>
          <w:b/>
          <w:bCs/>
          <w:sz w:val="28"/>
          <w:szCs w:val="28"/>
        </w:rPr>
        <w:t xml:space="preserve">Общий тепловой баланс котельных</w:t>
      </w:r>
      <w:bookmarkEnd w:id="51"/>
      <w:r/>
      <w:r/>
    </w:p>
    <w:p>
      <w:pPr>
        <w:jc w:val="right"/>
        <w:rPr>
          <w:lang w:eastAsia="en-US"/>
        </w:rPr>
      </w:pPr>
      <w:r>
        <w:rPr>
          <w:sz w:val="28"/>
          <w:szCs w:val="28"/>
        </w:rPr>
        <w:t xml:space="preserve">Гкал/ч</w:t>
      </w:r>
      <w:r>
        <w:rPr>
          <w:lang w:eastAsia="en-US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196"/>
        <w:gridCol w:w="1030"/>
        <w:gridCol w:w="1030"/>
        <w:gridCol w:w="1028"/>
        <w:gridCol w:w="1178"/>
      </w:tblGrid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" w:type="pct"/>
            <w:vAlign w:val="center"/>
            <w:textDirection w:val="lrTb"/>
            <w:noWrap/>
          </w:tcPr>
          <w:p>
            <w:pPr>
              <w:ind w:left="-120" w:right="-1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№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6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Наименование показателя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2019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2020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2021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2022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63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Установленная тепловая мощность котельных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8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3 395,0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8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3 410,3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7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3 415,0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1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3 449,9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63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Присоединенная тепловая нагрузка на коллекторах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8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1 303,4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8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1 301,3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7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1 490,8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1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1 534,6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63" w:type="pct"/>
            <w:textDirection w:val="lrTb"/>
            <w:noWrap w:val="false"/>
          </w:tcPr>
          <w:p>
            <w:pPr>
              <w:ind w:right="-16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Доля резерва тепловой мощности котельной (%)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8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61,6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8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61,8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7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56,3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1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55,5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63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Затраты тепла на собственные нужды станции в ГВС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8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34,0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8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34,0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7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37,8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1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72,0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63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Потери в тепловых сетях в ГВС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8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92,2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8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94,1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7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121,8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1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115,6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63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Присоединенная договорная тепловая нагрузка в ГВС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8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2 167,2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8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2 223,4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7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2 328,9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1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2 376,6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63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Присоединенная расчетная тепловая нагрузка в ГВС (на коллекторах станции)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8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1 702,4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8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1 782,3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7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1 984,2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1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2 000,0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63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Резерв/дефицит тепловой мощности (по договорной нагрузке)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8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1 366,8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8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1 322,3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7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1 489,4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1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1 480,4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63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Резерв/дефицит тепловой мощности (по расчетной нагрузке)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8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1 457,1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8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1 390,9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7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1 493,5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1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1 479,4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</w:tbl>
    <w:p>
      <w:pPr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</w:r>
      <w:r>
        <w:rPr>
          <w:rFonts w:asciiTheme="minorHAnsi" w:hAnsiTheme="minorHAnsi" w:cstheme="minorHAnsi"/>
          <w:i/>
          <w:iCs/>
          <w:sz w:val="28"/>
          <w:szCs w:val="28"/>
        </w:rPr>
      </w:r>
    </w:p>
    <w:p>
      <w:pPr>
        <w:ind w:firstLine="709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 xml:space="preserve">---------------------------</w:t>
      </w:r>
      <w:r>
        <w:rPr>
          <w:rFonts w:asciiTheme="minorHAnsi" w:hAnsiTheme="minorHAnsi" w:cstheme="minorHAnsi"/>
          <w:i/>
          <w:iCs/>
          <w:sz w:val="28"/>
          <w:szCs w:val="28"/>
        </w:rPr>
      </w:r>
    </w:p>
    <w:p>
      <w:pPr>
        <w:ind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Примечание. Источник информации – Схема теплоснабжения.</w:t>
      </w:r>
      <w:r>
        <w:rPr>
          <w:rFonts w:asciiTheme="minorHAnsi" w:hAnsiTheme="minorHAnsi" w:cstheme="minorHAnsi"/>
        </w:rPr>
      </w:r>
    </w:p>
    <w:p>
      <w:pPr>
        <w:pStyle w:val="1544"/>
      </w:pPr>
      <w:r/>
      <w:r/>
    </w:p>
    <w:p>
      <w:pPr>
        <w:pStyle w:val="1544"/>
        <w:rPr>
          <w:b/>
          <w:bCs/>
          <w:sz w:val="28"/>
          <w:szCs w:val="28"/>
        </w:rPr>
      </w:pPr>
      <w:r/>
      <w:bookmarkStart w:id="52" w:name="_Toc119947436"/>
      <w:r/>
      <w:bookmarkStart w:id="53" w:name="_Toc175215961"/>
      <w:r>
        <w:rPr>
          <w:b/>
          <w:bCs/>
          <w:sz w:val="28"/>
          <w:szCs w:val="28"/>
        </w:rPr>
        <w:t xml:space="preserve">2.1.4 Доля поставки ресурса по приборам учета</w:t>
      </w:r>
      <w:bookmarkEnd w:id="52"/>
      <w:r/>
      <w:bookmarkEnd w:id="53"/>
      <w:r/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15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Учет тепловой энергии, отпускаемой с ТЭЦ, ведется с помощью коммерческих приборов учета, оборудованных системами передачи сигналов по системам телеизмерений.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Коммерческий учет тепловой энергии, теплоносителя осуществляется с помощью приборов учета, которые устанавливаются в точке учета, расположенной н</w:t>
      </w:r>
      <w:r>
        <w:rPr>
          <w:rFonts w:asciiTheme="minorHAnsi" w:hAnsiTheme="minorHAnsi" w:cstheme="minorHAnsi"/>
          <w:sz w:val="28"/>
          <w:szCs w:val="28"/>
        </w:rPr>
        <w:t xml:space="preserve">а границе балансовой принадлежности, если договором теплоснабжения, договором поставки тепловой энергии (мощности), теплоносителя или договором оказания услуг по передаче тепловой энергии, теплоносителя не определена иная точка учета. Организуется в целях </w:t>
      </w:r>
      <w:r>
        <w:rPr>
          <w:rFonts w:asciiTheme="minorHAnsi" w:hAnsiTheme="minorHAnsi" w:cstheme="minorHAnsi"/>
          <w:sz w:val="28"/>
          <w:szCs w:val="28"/>
        </w:rPr>
        <w:t xml:space="preserve">осуществления расчетов между теплоснабжающими, </w:t>
      </w:r>
      <w:r>
        <w:rPr>
          <w:rFonts w:asciiTheme="minorHAnsi" w:hAnsiTheme="minorHAnsi" w:cstheme="minorHAnsi"/>
          <w:sz w:val="28"/>
          <w:szCs w:val="28"/>
        </w:rPr>
        <w:t xml:space="preserve">теплосетевыми</w:t>
      </w:r>
      <w:r>
        <w:rPr>
          <w:rFonts w:asciiTheme="minorHAnsi" w:hAnsiTheme="minorHAnsi" w:cstheme="minorHAnsi"/>
          <w:sz w:val="28"/>
          <w:szCs w:val="28"/>
        </w:rPr>
        <w:t xml:space="preserve"> организациями и потребителями тепловой энергии. Как правило, приборы учета тепловой энергии установлены на выводах от источника, на вводах в центральных тепловых пунктах (далее – ЦТП), а также непосредственно у потребителей.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sz w:val="28"/>
          <w:szCs w:val="28"/>
        </w:rPr>
      </w:pPr>
      <w:r/>
      <w:bookmarkStart w:id="54" w:name="_Toc119947437"/>
      <w:r>
        <w:rPr>
          <w:rFonts w:asciiTheme="minorHAnsi" w:hAnsiTheme="minorHAnsi" w:cstheme="minorHAnsi"/>
          <w:sz w:val="28"/>
          <w:szCs w:val="28"/>
        </w:rPr>
        <w:t xml:space="preserve">Согласно Схеме теплоснабжения п</w:t>
      </w:r>
      <w:r>
        <w:rPr>
          <w:rFonts w:asciiTheme="minorHAnsi" w:hAnsiTheme="minorHAnsi" w:cstheme="minorHAnsi"/>
          <w:sz w:val="28"/>
          <w:szCs w:val="28"/>
        </w:rPr>
        <w:t xml:space="preserve">одробные сведения об учете отпуска тепловой энергии на котельных отсутствуют, однако согласно отчетным целевым показателям ТСО в целом по муниципальному образованию по состоянию на 2023 год доля котельных, оборудованных приборами учета, составляет 61,9 %. 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/>
      <w:bookmarkStart w:id="55" w:name="_Toc175215962"/>
      <w:r>
        <w:rPr>
          <w:b/>
          <w:bCs/>
          <w:sz w:val="28"/>
          <w:szCs w:val="28"/>
        </w:rPr>
        <w:t xml:space="preserve">2.1.5 Зоны действия источников ресурсов</w:t>
      </w:r>
      <w:bookmarkEnd w:id="54"/>
      <w:r/>
      <w:bookmarkEnd w:id="55"/>
      <w:r/>
      <w:r>
        <w:rPr>
          <w:b/>
          <w:bCs/>
          <w:sz w:val="28"/>
          <w:szCs w:val="28"/>
        </w:rPr>
      </w:r>
    </w:p>
    <w:p>
      <w:pPr>
        <w:pStyle w:val="154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Описание существующих зон действия источников тепловой энергии города Перми представлено в таблице 2.7.</w:t>
      </w:r>
      <w:r>
        <w:rPr>
          <w:sz w:val="28"/>
          <w:szCs w:val="28"/>
        </w:rPr>
      </w:r>
    </w:p>
    <w:p>
      <w:pPr>
        <w:pStyle w:val="15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44"/>
        <w:jc w:val="right"/>
        <w:rPr>
          <w:b/>
          <w:bCs/>
          <w:sz w:val="28"/>
          <w:szCs w:val="28"/>
        </w:rPr>
      </w:pPr>
      <w:r/>
      <w:bookmarkStart w:id="56" w:name="_Toc175216083"/>
      <w:r>
        <w:rPr>
          <w:b/>
          <w:bCs/>
          <w:sz w:val="28"/>
          <w:szCs w:val="28"/>
        </w:rPr>
        <w:t xml:space="preserve">Таблица 2.7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Зоны действия источников тепловой энергии города Перми</w:t>
      </w:r>
      <w:bookmarkEnd w:id="56"/>
      <w:r/>
      <w:r>
        <w:rPr>
          <w:b/>
          <w:bCs/>
          <w:sz w:val="28"/>
          <w:szCs w:val="28"/>
        </w:rPr>
      </w:r>
    </w:p>
    <w:p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06"/>
        <w:gridCol w:w="2705"/>
        <w:gridCol w:w="6926"/>
      </w:tblGrid>
      <w:tr>
        <w:tblPrEx/>
        <w:trPr>
          <w:trHeight w:val="20"/>
          <w:tblHeader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ind w:left="-112" w:right="-119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№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Наименование теплоисточника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</w:tbl>
    <w:p>
      <w:pPr>
        <w:spacing w:line="48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06"/>
        <w:gridCol w:w="2705"/>
        <w:gridCol w:w="6926"/>
      </w:tblGrid>
      <w:tr>
        <w:tblPrEx/>
        <w:trPr>
          <w:trHeight w:val="20"/>
          <w:tblHeader/>
        </w:trPr>
        <w:tc>
          <w:tcPr>
            <w:shd w:val="clear" w:color="auto" w:fill="auto"/>
            <w:tcW w:w="250" w:type="pct"/>
            <w:vAlign w:val="center"/>
            <w:textDirection w:val="lrTb"/>
            <w:noWrap w:val="false"/>
          </w:tcPr>
          <w:p>
            <w:pPr>
              <w:ind w:left="-112" w:right="-119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ТЭЦ-6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vMerge w:val="restart"/>
            <w:textDirection w:val="lrTb"/>
            <w:noWrap w:val="false"/>
          </w:tcPr>
          <w:p>
            <w:pPr>
              <w:ind w:right="-115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ТЭЦ-6 и ВК-3 распространяется на центральную часть Свердловского, Ленинского и Мотовилихинского районов города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ВК-3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ТЭЦ-9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vMerge w:val="restart"/>
            <w:textDirection w:val="lrTb"/>
            <w:noWrap w:val="false"/>
          </w:tcPr>
          <w:p>
            <w:pPr>
              <w:ind w:right="-115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ТЭЦ-9 и ВК-5 распространяется на Индустриальный, левобережную часть Дзержинского и Ленинского районов города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ВК-5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ВК-2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ind w:right="-115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ВК-2 в настоящее время работает в пиковом режиме по отношению к объединенной системе теплоснабжения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ind w:right="-115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ТЭЦ-6+ВК-3. Зона действия ВК-2 распространяется на левобережную часть Мотовилихинского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ТЭЦ-14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ТЭЦ-14 распространяется на Кировский район города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ТЭЦ-13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ind w:right="-115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ТЭЦ-13 распространяется на правобережную часть Орджоникидзевского района города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ВК-20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ВК-20 распространяется на микрорайон </w:t>
            </w:r>
            <w:r>
              <w:rPr>
                <w:rFonts w:asciiTheme="minorHAnsi" w:hAnsiTheme="minorHAnsi" w:cstheme="minorHAnsi"/>
                <w:color w:val="000000"/>
              </w:rPr>
              <w:t xml:space="preserve">КамГЭС</w:t>
            </w:r>
            <w:r>
              <w:rPr>
                <w:rFonts w:asciiTheme="minorHAnsi" w:hAnsiTheme="minorHAnsi" w:cstheme="minorHAnsi"/>
                <w:color w:val="000000"/>
              </w:rPr>
              <w:t xml:space="preserve">, находящийся в левобережной части Орджоникидзевского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Кислотные Дачи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микрорайон Кислотные дачи, находящийся в левобережной части Орджоникидзевского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Новые </w:t>
            </w:r>
            <w:r>
              <w:rPr>
                <w:rFonts w:asciiTheme="minorHAnsi" w:hAnsiTheme="minorHAnsi" w:cstheme="minorHAnsi"/>
                <w:color w:val="000000"/>
              </w:rPr>
              <w:t xml:space="preserve">Ляды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микрорайон Новые </w:t>
            </w:r>
            <w:r>
              <w:rPr>
                <w:rFonts w:asciiTheme="minorHAnsi" w:hAnsiTheme="minorHAnsi" w:cstheme="minorHAnsi"/>
                <w:color w:val="000000"/>
              </w:rPr>
              <w:t xml:space="preserve">Ляды</w:t>
            </w:r>
            <w:r>
              <w:rPr>
                <w:rFonts w:asciiTheme="minorHAnsi" w:hAnsiTheme="minorHAnsi" w:cstheme="minorHAnsi"/>
                <w:color w:val="000000"/>
              </w:rPr>
              <w:t xml:space="preserve">, находящийся в восточной части Свердловского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Молодежная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микрорайон </w:t>
            </w:r>
            <w:r>
              <w:rPr>
                <w:rFonts w:asciiTheme="minorHAnsi" w:hAnsiTheme="minorHAnsi" w:cstheme="minorHAnsi"/>
                <w:color w:val="000000"/>
              </w:rPr>
              <w:t xml:space="preserve">Молодежный, находящийся в левобережной части Орджоникидзевского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</w:t>
            </w:r>
            <w:r>
              <w:rPr>
                <w:rFonts w:asciiTheme="minorHAnsi" w:hAnsiTheme="minorHAnsi" w:cstheme="minorHAnsi"/>
                <w:color w:val="000000"/>
              </w:rPr>
              <w:t xml:space="preserve">Левшино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микрорайон </w:t>
            </w:r>
            <w:r>
              <w:rPr>
                <w:rFonts w:asciiTheme="minorHAnsi" w:hAnsiTheme="minorHAnsi" w:cstheme="minorHAnsi"/>
                <w:color w:val="000000"/>
              </w:rPr>
              <w:t xml:space="preserve">Левшино</w:t>
            </w:r>
            <w:r>
              <w:rPr>
                <w:rFonts w:asciiTheme="minorHAnsi" w:hAnsiTheme="minorHAnsi" w:cstheme="minorHAnsi"/>
                <w:color w:val="000000"/>
              </w:rPr>
              <w:t xml:space="preserve">, находящийся в левобережной части Орджоникидзевского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ПДК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микрорайон </w:t>
            </w:r>
            <w:r>
              <w:rPr>
                <w:rFonts w:asciiTheme="minorHAnsi" w:hAnsiTheme="minorHAnsi" w:cstheme="minorHAnsi"/>
                <w:color w:val="000000"/>
              </w:rPr>
              <w:t xml:space="preserve">Левшино</w:t>
            </w:r>
            <w:r>
              <w:rPr>
                <w:rFonts w:asciiTheme="minorHAnsi" w:hAnsiTheme="minorHAnsi" w:cstheme="minorHAnsi"/>
                <w:color w:val="000000"/>
              </w:rPr>
              <w:t xml:space="preserve">, находящийся в левобережной части Орджоникидзевского района 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Заозерье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поселок Заозерье, находящийся в правобережной части Орджоникидзевского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Запруд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ind w:right="-115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поселок Запруд, находящийся в левобережной части Мотовилихинского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Банная гора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ind w:right="-115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Пермскую краевую клиническую психиатрическую больницу, расположенную в левобережной части Орджоникидзевского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</w:t>
            </w:r>
            <w:r>
              <w:rPr>
                <w:rFonts w:asciiTheme="minorHAnsi" w:hAnsiTheme="minorHAnsi" w:cstheme="minorHAnsi"/>
                <w:color w:val="000000"/>
              </w:rPr>
              <w:t xml:space="preserve">Окуловский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жилой квартал микрорайона </w:t>
            </w:r>
            <w:r>
              <w:rPr>
                <w:rFonts w:asciiTheme="minorHAnsi" w:hAnsiTheme="minorHAnsi" w:cstheme="minorHAnsi"/>
                <w:color w:val="000000"/>
              </w:rPr>
              <w:t xml:space="preserve">Акуловский</w:t>
            </w:r>
            <w:r>
              <w:rPr>
                <w:rFonts w:asciiTheme="minorHAnsi" w:hAnsiTheme="minorHAnsi" w:cstheme="minorHAnsi"/>
                <w:color w:val="000000"/>
              </w:rPr>
              <w:t xml:space="preserve">, находящегося в правобережной части Дзержинского района 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Подснежник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ind w:right="27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детский пульмонологический санаторий «Светлана», находящийся в Свердловском районе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ДИПИ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жилой квартал микрорайона Курья, находящегося в правобережной части Мотовилихинского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</w:t>
            </w:r>
            <w:r>
              <w:rPr>
                <w:rFonts w:asciiTheme="minorHAnsi" w:hAnsiTheme="minorHAnsi" w:cstheme="minorHAnsi"/>
                <w:color w:val="000000"/>
              </w:rPr>
              <w:t xml:space="preserve">Пышминская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жилой квартал микрорайона Курья, находящегося в правобережной части Мотовилихинского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Кавказская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два жилых дома по ул. Кавказской, находящихся в левобережной части Орджоникидзевского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Брикетная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квартал микрорайона Камская Долина, находящегося в правобережной части Ленинского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Чапаева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микрорайон Чапаевский, находящийся в левобережной части Орджоникидзевского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Западная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микрорайон </w:t>
            </w:r>
            <w:r>
              <w:rPr>
                <w:rFonts w:asciiTheme="minorHAnsi" w:hAnsiTheme="minorHAnsi" w:cstheme="minorHAnsi"/>
                <w:color w:val="000000"/>
              </w:rPr>
              <w:t xml:space="preserve">Акуловский</w:t>
            </w:r>
            <w:r>
              <w:rPr>
                <w:rFonts w:asciiTheme="minorHAnsi" w:hAnsiTheme="minorHAnsi" w:cstheme="minorHAnsi"/>
                <w:color w:val="000000"/>
              </w:rPr>
              <w:t xml:space="preserve">, находящийся в правобережной части Дзержинского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Березовая роща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комплекс зданий в районе в/г № 50, в/ч 63196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Б. Революции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ind w:right="-115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квартал микрорайона Курья, находящегося в правобережной части Мотовилихинского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Жукова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здание Пермского краевого перинатального центра по ул. Маршала Жукова, находящегося в правобережной части Ленинского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Лепешинской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ind w:right="-115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микрорайон </w:t>
            </w:r>
            <w:r>
              <w:rPr>
                <w:rFonts w:asciiTheme="minorHAnsi" w:hAnsiTheme="minorHAnsi" w:cstheme="minorHAnsi"/>
                <w:color w:val="000000"/>
              </w:rPr>
              <w:t xml:space="preserve">Акуловский</w:t>
            </w:r>
            <w:r>
              <w:rPr>
                <w:rFonts w:asciiTheme="minorHAnsi" w:hAnsiTheme="minorHAnsi" w:cstheme="minorHAnsi"/>
                <w:color w:val="000000"/>
              </w:rPr>
              <w:t xml:space="preserve">, находящийся в правобережной части Дзержинского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Наумова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микрорайон </w:t>
            </w:r>
            <w:r>
              <w:rPr>
                <w:rFonts w:asciiTheme="minorHAnsi" w:hAnsiTheme="minorHAnsi" w:cstheme="minorHAnsi"/>
                <w:color w:val="000000"/>
              </w:rPr>
              <w:t xml:space="preserve">Акуловский</w:t>
            </w:r>
            <w:r>
              <w:rPr>
                <w:rFonts w:asciiTheme="minorHAnsi" w:hAnsiTheme="minorHAnsi" w:cstheme="minorHAnsi"/>
                <w:color w:val="000000"/>
              </w:rPr>
              <w:t xml:space="preserve">, находящийся в правобережной части Дзержинского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Ленская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квартал микрорайона Курья, находящегося в правобережной части Мотовилихинского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Бахаревская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жилой квартал, находящийся в Свердловском районе города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Криворожская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микрорайон </w:t>
            </w:r>
            <w:r>
              <w:rPr>
                <w:rFonts w:asciiTheme="minorHAnsi" w:hAnsiTheme="minorHAnsi" w:cstheme="minorHAnsi"/>
                <w:color w:val="000000"/>
              </w:rPr>
              <w:t xml:space="preserve">Левшино</w:t>
            </w:r>
            <w:r>
              <w:rPr>
                <w:rFonts w:asciiTheme="minorHAnsi" w:hAnsiTheme="minorHAnsi" w:cstheme="minorHAnsi"/>
                <w:color w:val="000000"/>
              </w:rPr>
              <w:t xml:space="preserve">, находящийся в левобережной части Орджоникидзевского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Чусовская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жилой квартал микрорайона Новые </w:t>
            </w:r>
            <w:r>
              <w:rPr>
                <w:rFonts w:asciiTheme="minorHAnsi" w:hAnsiTheme="minorHAnsi" w:cstheme="minorHAnsi"/>
                <w:color w:val="000000"/>
              </w:rPr>
              <w:t xml:space="preserve">Ляды</w:t>
            </w:r>
            <w:r>
              <w:rPr>
                <w:rFonts w:asciiTheme="minorHAnsi" w:hAnsiTheme="minorHAnsi" w:cstheme="minorHAnsi"/>
                <w:color w:val="000000"/>
              </w:rPr>
              <w:t xml:space="preserve">, находящегося в Свердловском районе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Искра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промышленную зону и микрорайон Молодежный, находящийся в левобережной части Орджоникидзевского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ind w:left="-92" w:right="-115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ГКТХ Вышка-2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микрорайон Вышка-2, находящийся в левобережной части Мотовилихинского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Хабаровская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микрорайон </w:t>
            </w:r>
            <w:r>
              <w:rPr>
                <w:rFonts w:asciiTheme="minorHAnsi" w:hAnsiTheme="minorHAnsi" w:cstheme="minorHAnsi"/>
                <w:color w:val="000000"/>
              </w:rPr>
              <w:t xml:space="preserve">Акуловский</w:t>
            </w:r>
            <w:r>
              <w:rPr>
                <w:rFonts w:asciiTheme="minorHAnsi" w:hAnsiTheme="minorHAnsi" w:cstheme="minorHAnsi"/>
                <w:color w:val="000000"/>
              </w:rPr>
              <w:t xml:space="preserve">, находящийся в правобережной части Дзержинского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Белозерская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четыре жилых дома по ул. Александра Щербакова, ул. Белозерской, находящихся в левобережной части Орджоникидзевского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Дементьева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комплекс жилых домов, расположенных на вновь осваиваемой территории микрорайона Запруд по ул. Журналиста Дементьева, ул. </w:t>
            </w:r>
            <w:r>
              <w:rPr>
                <w:rFonts w:asciiTheme="minorHAnsi" w:hAnsiTheme="minorHAnsi" w:cstheme="minorHAnsi"/>
                <w:color w:val="000000"/>
              </w:rPr>
              <w:t xml:space="preserve">Исхакова</w:t>
            </w:r>
            <w:r>
              <w:rPr>
                <w:rFonts w:asciiTheme="minorHAnsi" w:hAnsiTheme="minorHAnsi" w:cstheme="minorHAnsi"/>
                <w:color w:val="000000"/>
              </w:rPr>
              <w:t xml:space="preserve">, находящихся в Мотовилихинском районе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Южная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южную часть квартала микрорайона Южный, находящегося в Свердловском районе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Докучаева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промышленную зону предприятия АО «ПЗСП» и микрорайон Пролетарский, находящийся в правобережной части Дзержинского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</w:t>
            </w:r>
            <w:r>
              <w:rPr>
                <w:rFonts w:asciiTheme="minorHAnsi" w:hAnsiTheme="minorHAnsi" w:cstheme="minorHAnsi"/>
                <w:color w:val="000000"/>
              </w:rPr>
              <w:t xml:space="preserve">Костычева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жилой квартал микрорайона Пролетарский, находящийся в правобережной части Дзержинского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Менжинского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жилой дом по ул. Менжинского, находящийся в левобережной части Орджоникидзевского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</w:t>
            </w:r>
            <w:r>
              <w:rPr>
                <w:rFonts w:asciiTheme="minorHAnsi" w:hAnsiTheme="minorHAnsi" w:cstheme="minorHAnsi"/>
                <w:color w:val="000000"/>
              </w:rPr>
              <w:t xml:space="preserve">Баранчинская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жилой дом по ул. </w:t>
            </w:r>
            <w:r>
              <w:rPr>
                <w:rFonts w:asciiTheme="minorHAnsi" w:hAnsiTheme="minorHAnsi" w:cstheme="minorHAnsi"/>
                <w:color w:val="000000"/>
              </w:rPr>
              <w:t xml:space="preserve">Баранчинской</w:t>
            </w:r>
            <w:r>
              <w:rPr>
                <w:rFonts w:asciiTheme="minorHAnsi" w:hAnsiTheme="minorHAnsi" w:cstheme="minorHAnsi"/>
                <w:color w:val="000000"/>
              </w:rPr>
              <w:t xml:space="preserve">, находящийся в левобережной части Орджоникидзевского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</w:t>
            </w:r>
            <w:r>
              <w:rPr>
                <w:rFonts w:asciiTheme="minorHAnsi" w:hAnsiTheme="minorHAnsi" w:cstheme="minorHAnsi"/>
                <w:color w:val="000000"/>
              </w:rPr>
              <w:t xml:space="preserve">Сигаева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жилой дом по ул. </w:t>
            </w:r>
            <w:r>
              <w:rPr>
                <w:rFonts w:asciiTheme="minorHAnsi" w:hAnsiTheme="minorHAnsi" w:cstheme="minorHAnsi"/>
                <w:color w:val="000000"/>
              </w:rPr>
              <w:t xml:space="preserve">Сигаева</w:t>
            </w:r>
            <w:r>
              <w:rPr>
                <w:rFonts w:asciiTheme="minorHAnsi" w:hAnsiTheme="minorHAnsi" w:cstheme="minorHAnsi"/>
                <w:color w:val="000000"/>
              </w:rPr>
              <w:t xml:space="preserve"> в Мотовилихинском районе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Восточная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распространяется на площадку ОАО «РЖД» и ряд сторонних потребителей у ж/д ст. Пермь-Сортировочная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Блочная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распространяется на площадку ОАО «РЖД» и ряд сторонних потребителей у ж/д ст. Блочная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Вышка-2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комплекс жилых домов, расположенных на вновь осваиваемой территории микрорайона Вышка-2 по ул. Целинной, находящихся в Мотовилихинском районе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Пермский картон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ООО «Пермский картон» распространяется на микрорайон Бумажник, находящийся в левобережной части Орджоникидзевского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ПНИПУ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«ПНИПУ» распространяется на микрорайон Студенческий городок, находящийся в правобережной части Ленинского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ind w:left="-92" w:right="-115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</w:t>
            </w:r>
            <w:r>
              <w:rPr>
                <w:rFonts w:asciiTheme="minorHAnsi" w:hAnsiTheme="minorHAnsi" w:cstheme="minorHAnsi"/>
                <w:color w:val="000000"/>
              </w:rPr>
              <w:t xml:space="preserve">Новомет</w:t>
            </w:r>
            <w:r>
              <w:rPr>
                <w:rFonts w:asciiTheme="minorHAnsi" w:hAnsiTheme="minorHAnsi" w:cstheme="minorHAnsi"/>
                <w:color w:val="000000"/>
              </w:rPr>
              <w:t xml:space="preserve">-Пермь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АО «</w:t>
            </w:r>
            <w:r>
              <w:rPr>
                <w:rFonts w:asciiTheme="minorHAnsi" w:hAnsiTheme="minorHAnsi" w:cstheme="minorHAnsi"/>
                <w:color w:val="000000"/>
              </w:rPr>
              <w:t xml:space="preserve">Новомет</w:t>
            </w:r>
            <w:r>
              <w:rPr>
                <w:rFonts w:asciiTheme="minorHAnsi" w:hAnsiTheme="minorHAnsi" w:cstheme="minorHAnsi"/>
                <w:color w:val="000000"/>
              </w:rPr>
              <w:t xml:space="preserve">-Пермь» распространяется на промышленную зону одноименного предприятия и часть микрорайона Ремзавод, находящегося на западной окраине Индустриального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Ива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вновь строящийся жилой район Ива («Грибоедова»), находящийся в левобережной части Мотовилихинского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Делегатская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жилой квартал микрорайона </w:t>
            </w:r>
            <w:r>
              <w:rPr>
                <w:rFonts w:asciiTheme="minorHAnsi" w:hAnsiTheme="minorHAnsi" w:cstheme="minorHAnsi"/>
                <w:color w:val="000000"/>
              </w:rPr>
              <w:t xml:space="preserve">Левшино</w:t>
            </w:r>
            <w:r>
              <w:rPr>
                <w:rFonts w:asciiTheme="minorHAnsi" w:hAnsiTheme="minorHAnsi" w:cstheme="minorHAnsi"/>
                <w:color w:val="000000"/>
              </w:rPr>
              <w:t xml:space="preserve">, находящийся в левобережной части Орджоникидзевского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1415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ЧОС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5 жилых домов по ул. Водозаборной, 1-й Павловский проезд и МАДОУ «Детский сад», находящиеся в левобережной части Орджоникидзевского района. Зона действия котельной также распространяется на очистные сооружения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ФКУ «ИК-32 ГУФСИН России по Пермскому краю»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4 жилых дома по ул. Докучаева, находящихся в правобережной части Дзержинского района. Также котельная работает на корпуса ФКУ «ИК-32 ГУФСИН России по Пермскому краю»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Точка поставки от котельной ВК Хмели, находящейся за чертой города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группу жилых домов по шоссе Космонавтов, находящихся в Индустриальном районе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Котельная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по ул. Целинной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комплекс жилых домов, расположенных на вновь осваиваемой территории микрорайона Вышка-2 по ул. Целинной, находящихся в Мотовилихинском районе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ПК по ул. Гальперина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ind w:right="-115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промышленную зону ФКП «Пермский пороховой завод»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ПК АО «</w:t>
            </w:r>
            <w:r>
              <w:rPr>
                <w:rFonts w:asciiTheme="minorHAnsi" w:hAnsiTheme="minorHAnsi" w:cstheme="minorHAnsi"/>
                <w:color w:val="000000"/>
              </w:rPr>
              <w:t xml:space="preserve">Камтэкс</w:t>
            </w:r>
            <w:r>
              <w:rPr>
                <w:rFonts w:asciiTheme="minorHAnsi" w:hAnsiTheme="minorHAnsi" w:cstheme="minorHAnsi"/>
                <w:color w:val="000000"/>
              </w:rPr>
              <w:t xml:space="preserve">-Химпром»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промышленную зону АО «</w:t>
            </w:r>
            <w:r>
              <w:rPr>
                <w:rFonts w:asciiTheme="minorHAnsi" w:hAnsiTheme="minorHAnsi" w:cstheme="minorHAnsi"/>
                <w:color w:val="000000"/>
              </w:rPr>
              <w:t xml:space="preserve">Камтэкс</w:t>
            </w:r>
            <w:r>
              <w:rPr>
                <w:rFonts w:asciiTheme="minorHAnsi" w:hAnsiTheme="minorHAnsi" w:cstheme="minorHAnsi"/>
                <w:color w:val="000000"/>
              </w:rPr>
              <w:t xml:space="preserve">-Химпром»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АО «Газпром газораспределение Пермь»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распространяется на производственную площадку АО «Газпром газораспределение Пермь» и ряд сторонних потребителей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ind w:left="-92" w:right="-115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АО «ПЗ «Машиностроитель»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распространяется на площадку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АО «ПЗ «Машиностроитель» и ряд сторонних потребителей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АО «СИБУР-Химпром»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распространяется на производственную площадку АО «</w:t>
            </w:r>
            <w:r>
              <w:rPr>
                <w:rFonts w:asciiTheme="minorHAnsi" w:hAnsiTheme="minorHAnsi" w:cstheme="minorHAnsi"/>
                <w:color w:val="000000"/>
              </w:rPr>
              <w:t xml:space="preserve">Сибур</w:t>
            </w:r>
            <w:r>
              <w:rPr>
                <w:rFonts w:asciiTheme="minorHAnsi" w:hAnsiTheme="minorHAnsi" w:cstheme="minorHAnsi"/>
                <w:color w:val="000000"/>
              </w:rPr>
              <w:t xml:space="preserve">-Химпром» и ряд сторонних потребителей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Котельная по ул. </w:t>
            </w:r>
            <w:r>
              <w:rPr>
                <w:rFonts w:asciiTheme="minorHAnsi" w:hAnsiTheme="minorHAnsi" w:cstheme="minorHAnsi"/>
                <w:color w:val="000000"/>
              </w:rPr>
              <w:t xml:space="preserve">Генкеля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распространяется на ряд сторонних производственных потребителей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АО «</w:t>
            </w:r>
            <w:r>
              <w:rPr>
                <w:rFonts w:asciiTheme="minorHAnsi" w:hAnsiTheme="minorHAnsi" w:cstheme="minorHAnsi"/>
                <w:color w:val="000000"/>
              </w:rPr>
              <w:t xml:space="preserve">Держава-М</w:t>
            </w:r>
            <w:r>
              <w:rPr>
                <w:rFonts w:asciiTheme="minorHAnsi" w:hAnsiTheme="minorHAnsi" w:cstheme="minorHAnsi"/>
                <w:color w:val="000000"/>
              </w:rPr>
              <w:t xml:space="preserve">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распространяется на производственную площадку АО «</w:t>
            </w:r>
            <w:r>
              <w:rPr>
                <w:rFonts w:asciiTheme="minorHAnsi" w:hAnsiTheme="minorHAnsi" w:cstheme="minorHAnsi"/>
                <w:color w:val="000000"/>
              </w:rPr>
              <w:t xml:space="preserve">Держава-М</w:t>
            </w:r>
            <w:r>
              <w:rPr>
                <w:rFonts w:asciiTheme="minorHAnsi" w:hAnsiTheme="minorHAnsi" w:cstheme="minorHAnsi"/>
                <w:color w:val="000000"/>
              </w:rPr>
              <w:t xml:space="preserve">» и ряд сторонних потребителей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ОАО «Центральный </w:t>
            </w:r>
            <w:r>
              <w:rPr>
                <w:rFonts w:asciiTheme="minorHAnsi" w:hAnsiTheme="minorHAnsi" w:cstheme="minorHAnsi"/>
                <w:color w:val="000000"/>
              </w:rPr>
              <w:t xml:space="preserve">Агроснаб</w:t>
            </w:r>
            <w:r>
              <w:rPr>
                <w:rFonts w:asciiTheme="minorHAnsi" w:hAnsiTheme="minorHAnsi" w:cstheme="minorHAnsi"/>
                <w:color w:val="000000"/>
              </w:rPr>
              <w:t xml:space="preserve">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распространяется на производственную площадку ОАО «Центральный </w:t>
            </w:r>
            <w:r>
              <w:rPr>
                <w:rFonts w:asciiTheme="minorHAnsi" w:hAnsiTheme="minorHAnsi" w:cstheme="minorHAnsi"/>
                <w:color w:val="000000"/>
              </w:rPr>
              <w:t xml:space="preserve">Агроснаб</w:t>
            </w:r>
            <w:r>
              <w:rPr>
                <w:rFonts w:asciiTheme="minorHAnsi" w:hAnsiTheme="minorHAnsi" w:cstheme="minorHAnsi"/>
                <w:color w:val="000000"/>
              </w:rPr>
              <w:t xml:space="preserve">» и ряд сторонних потребителей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АО Пермский МРЗ «</w:t>
            </w:r>
            <w:r>
              <w:rPr>
                <w:rFonts w:asciiTheme="minorHAnsi" w:hAnsiTheme="minorHAnsi" w:cstheme="minorHAnsi"/>
                <w:color w:val="000000"/>
              </w:rPr>
              <w:t xml:space="preserve">Ремпутьмаш</w:t>
            </w:r>
            <w:r>
              <w:rPr>
                <w:rFonts w:asciiTheme="minorHAnsi" w:hAnsiTheme="minorHAnsi" w:cstheme="minorHAnsi"/>
                <w:color w:val="000000"/>
              </w:rPr>
              <w:t xml:space="preserve">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распространяется на производственную площадку АО Пермский МРЗ «</w:t>
            </w:r>
            <w:r>
              <w:rPr>
                <w:rFonts w:asciiTheme="minorHAnsi" w:hAnsiTheme="minorHAnsi" w:cstheme="minorHAnsi"/>
                <w:color w:val="000000"/>
              </w:rPr>
              <w:t xml:space="preserve">Ремпутьмаш</w:t>
            </w:r>
            <w:r>
              <w:rPr>
                <w:rFonts w:asciiTheme="minorHAnsi" w:hAnsiTheme="minorHAnsi" w:cstheme="minorHAnsi"/>
                <w:color w:val="000000"/>
              </w:rPr>
              <w:t xml:space="preserve">» и ряд сторонних потребителей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ООО «Надежда»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распространяется на производственную площадку ООО «Надежда» и ряд сторонних потребителей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ind w:left="-92" w:right="-115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по ул. Деревообделочной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распространяется на производственную площадку ООО «Армейский Обоз» и ряд сторонних потребителей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ООО «Теплосеть»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распространяется на производственную площадку ООО «Теплосеть» и ряд сторонних потребителей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/>
            <w:bookmarkStart w:id="57" w:name="RANGE!A70"/>
            <w:r>
              <w:rPr>
                <w:rFonts w:asciiTheme="minorHAnsi" w:hAnsiTheme="minorHAnsi" w:cstheme="minorHAnsi"/>
                <w:color w:val="000000"/>
              </w:rPr>
              <w:t xml:space="preserve">69</w:t>
            </w:r>
            <w:bookmarkEnd w:id="57"/>
            <w:r/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ООО «Энергия-С»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распространяется на производственную площадку ООО «Энергия-С» и ряд сторонних потребителей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Лесозаводская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распространяется на производственную площадку филиала «</w:t>
            </w:r>
            <w:r>
              <w:rPr>
                <w:rFonts w:asciiTheme="minorHAnsi" w:hAnsiTheme="minorHAnsi" w:cstheme="minorHAnsi"/>
                <w:color w:val="000000"/>
              </w:rPr>
              <w:t xml:space="preserve">ЗиД</w:t>
            </w:r>
            <w:r>
              <w:rPr>
                <w:rFonts w:asciiTheme="minorHAnsi" w:hAnsiTheme="minorHAnsi" w:cstheme="minorHAnsi"/>
                <w:color w:val="000000"/>
              </w:rPr>
              <w:t xml:space="preserve">» АО «НПО «</w:t>
            </w:r>
            <w:r>
              <w:rPr>
                <w:rFonts w:asciiTheme="minorHAnsi" w:hAnsiTheme="minorHAnsi" w:cstheme="minorHAnsi"/>
                <w:color w:val="000000"/>
              </w:rPr>
              <w:t xml:space="preserve">Курганприбор</w:t>
            </w:r>
            <w:r>
              <w:rPr>
                <w:rFonts w:asciiTheme="minorHAnsi" w:hAnsiTheme="minorHAnsi" w:cstheme="minorHAnsi"/>
                <w:color w:val="000000"/>
              </w:rPr>
              <w:t xml:space="preserve">» г. Пермь и ряд сторонних потребителей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ГТУ-ТЭС-200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распространяется на производственную площадку ООО «ЛУКОЙЛ-</w:t>
            </w:r>
            <w:r>
              <w:rPr>
                <w:rFonts w:asciiTheme="minorHAnsi" w:hAnsiTheme="minorHAnsi" w:cstheme="minorHAnsi"/>
                <w:color w:val="000000"/>
              </w:rPr>
              <w:t xml:space="preserve">Пермнефтеоргсинтез</w:t>
            </w:r>
            <w:r>
              <w:rPr>
                <w:rFonts w:asciiTheme="minorHAnsi" w:hAnsiTheme="minorHAnsi" w:cstheme="minorHAnsi"/>
                <w:color w:val="000000"/>
              </w:rPr>
              <w:t xml:space="preserve">» и ряд сторонних потребителей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Котельная 123А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распространяется на производственную площадку ООО «ЛУКОЙЛ-</w:t>
            </w:r>
            <w:r>
              <w:rPr>
                <w:rFonts w:asciiTheme="minorHAnsi" w:hAnsiTheme="minorHAnsi" w:cstheme="minorHAnsi"/>
                <w:color w:val="000000"/>
              </w:rPr>
              <w:t xml:space="preserve">Пермнефтеоргсинтез</w:t>
            </w:r>
            <w:r>
              <w:rPr>
                <w:rFonts w:asciiTheme="minorHAnsi" w:hAnsiTheme="minorHAnsi" w:cstheme="minorHAnsi"/>
                <w:color w:val="000000"/>
              </w:rPr>
              <w:t xml:space="preserve">» и ряд сторонних потребителей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АО «Протон-ПМ»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распространяется на производственную площадку АО «Протон-ПМ» и ряд сторонних потребителей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ФКУ «ИК-29 ГУФСИН России по Пермскому краю»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распространяется на площадку ФКУ «ИК-29 ГУФСИН России по Пермскому краю» и ряд сторонних потребителей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СПК по ул. Ракитной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распространяется на производственную площадку АО «СПК» потребителей по ул. Ракитной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ООО «РЭМ-Сервис»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источника распространяется на жилые здания в районе ул. Верхне-</w:t>
            </w:r>
            <w:r>
              <w:rPr>
                <w:rFonts w:asciiTheme="minorHAnsi" w:hAnsiTheme="minorHAnsi" w:cstheme="minorHAnsi"/>
                <w:color w:val="000000"/>
              </w:rPr>
              <w:t xml:space="preserve">Муллинской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Котельная ПМС-168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распространяется на производственную площадку ОАО «РЖД» и ряд сторонних потребителей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Котельная АО «Пермский мукомольный завод»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распространяется на производственную площадку АО «Пермский мукомольный завод» и ряд сторонних потребителей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3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Котельная по ул. </w:t>
            </w:r>
            <w:r>
              <w:rPr>
                <w:rFonts w:asciiTheme="minorHAnsi" w:hAnsiTheme="minorHAnsi" w:cstheme="minorHAnsi"/>
                <w:color w:val="000000"/>
              </w:rPr>
              <w:t xml:space="preserve">Ласьвинской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4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распространяется на производственную площадку АО «</w:t>
            </w:r>
            <w:r>
              <w:rPr>
                <w:rFonts w:asciiTheme="minorHAnsi" w:hAnsiTheme="minorHAnsi" w:cstheme="minorHAnsi"/>
                <w:color w:val="000000"/>
              </w:rPr>
              <w:t xml:space="preserve">Галополимер</w:t>
            </w:r>
            <w:r>
              <w:rPr>
                <w:rFonts w:asciiTheme="minorHAnsi" w:hAnsiTheme="minorHAnsi" w:cstheme="minorHAnsi"/>
                <w:color w:val="000000"/>
              </w:rPr>
              <w:t xml:space="preserve"> Пермь» и ряд сторонних потребителей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</w:tbl>
    <w:p>
      <w:pPr>
        <w:pStyle w:val="1570"/>
        <w:ind w:firstLine="0"/>
        <w:rPr>
          <w:i/>
          <w:iCs w:val="0"/>
          <w:sz w:val="28"/>
          <w:szCs w:val="28"/>
        </w:rPr>
      </w:pPr>
      <w:r>
        <w:rPr>
          <w:i/>
          <w:iCs w:val="0"/>
          <w:sz w:val="28"/>
          <w:szCs w:val="28"/>
        </w:rPr>
      </w:r>
      <w:r>
        <w:rPr>
          <w:i/>
          <w:iCs w:val="0"/>
          <w:sz w:val="28"/>
          <w:szCs w:val="28"/>
        </w:rPr>
      </w:r>
    </w:p>
    <w:p>
      <w:pPr>
        <w:ind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---------------------------</w:t>
      </w:r>
      <w:r>
        <w:rPr>
          <w:i/>
          <w:iCs/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t xml:space="preserve">Примечание. Источник информации – Схема теплоснабжения.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/>
      <w:bookmarkStart w:id="58" w:name="_Toc119947438"/>
      <w:r/>
      <w:bookmarkStart w:id="59" w:name="_Toc175215963"/>
      <w:r/>
      <w:r>
        <w:rPr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2.1.6 Резервы и дефициты по зонам действия источников ресурсов 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поселению, городскому округу в целом</w:t>
      </w:r>
      <w:bookmarkEnd w:id="58"/>
      <w:r/>
      <w:bookmarkEnd w:id="59"/>
      <w:r/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/>
      <w:bookmarkStart w:id="60" w:name="_Hlk176256559"/>
      <w:r/>
      <w:bookmarkStart w:id="61" w:name="_Hlk165964512"/>
      <w:r>
        <w:rPr>
          <w:sz w:val="28"/>
          <w:szCs w:val="28"/>
        </w:rPr>
        <w:t xml:space="preserve">В системе наблюдается локальный дефицит тепловой мощности в некоторых зонах, что не позволяет подключать новых абонентов.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Резер</w:t>
      </w:r>
      <w:r>
        <w:rPr>
          <w:sz w:val="28"/>
          <w:szCs w:val="28"/>
        </w:rPr>
        <w:t xml:space="preserve">в/дефицит тепловой мощности источников тепловой энергии рассчитывается по присоединенной нагрузке согласно договорам и расчетной нагрузке. Согласно Схеме теплоснабжения по состоянию на 2022 год существовал дефицит тепловой мощности на следующих источниках: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договорной нагрузке: ПТЭЦ-6, ПТЭЦ-9, ВК-3, ВК-20, ВК </w:t>
      </w:r>
      <w:r>
        <w:rPr>
          <w:sz w:val="28"/>
          <w:szCs w:val="28"/>
        </w:rPr>
        <w:t xml:space="preserve">Пышминская</w:t>
      </w:r>
      <w:r>
        <w:rPr>
          <w:sz w:val="28"/>
          <w:szCs w:val="28"/>
        </w:rPr>
        <w:t xml:space="preserve">, ВК Кавказская, ВК Блочная, ВК Ива, ВК Хмели, Котельная 123А;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расчетной нагрузке: ПТЭЦ-9.</w:t>
      </w:r>
      <w:bookmarkEnd w:id="60"/>
      <w:r/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В ряде случаев произошло переключение нагрузки и существовавший дефицит тепловой мощности был ликвидирован. Для устранения дефицита по договорной нагрузке необходимо произвести пересмотр последней, чего вполне мож</w:t>
      </w:r>
      <w:r>
        <w:rPr>
          <w:sz w:val="28"/>
          <w:szCs w:val="28"/>
        </w:rPr>
        <w:t xml:space="preserve">ет быть достаточно. Реальный дефицит тепловой мощности существует на ПТЭЦ-9, что связано с выводом части основного оборудования из эксплуатации. Принимая во внимание перспективную нагрузку, дефицит тепловой мощности возникнет на источниках ПТЭЦ-6 и ВК-20.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/>
      <w:bookmarkStart w:id="62" w:name="_Toc119947439"/>
      <w:r/>
      <w:bookmarkStart w:id="63" w:name="_Toc175215964"/>
      <w:r/>
      <w:bookmarkEnd w:id="61"/>
      <w:r>
        <w:rPr>
          <w:b/>
          <w:bCs/>
          <w:sz w:val="28"/>
          <w:szCs w:val="28"/>
        </w:rPr>
        <w:t xml:space="preserve">2.1.7 Надежность работы системы</w:t>
      </w:r>
      <w:bookmarkEnd w:id="62"/>
      <w:r/>
      <w:bookmarkEnd w:id="63"/>
      <w:r/>
      <w:r>
        <w:rPr>
          <w:b/>
          <w:b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Надежность теплоснабжения обеспечивается надежной работой всех элементов системы теплоснабжения, а также внешних по отношению к системе теплоснабжения систем электро-, водо-, топливоснабжения источников тепловой энергии.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Энергетические объекты характеризуются различными состояниями: рабочим, работоспособным, резервным, отказа, аварийного ремонта, простоя, предупредительного ремонта.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Согласно Схеме теплоснабжения за последние 5 лет по данным единых теплоснабжающих организаций аварий на котельных не происходило.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Согласно Схеме теплоснабжения технологические н</w:t>
      </w:r>
      <w:r>
        <w:rPr>
          <w:sz w:val="28"/>
          <w:szCs w:val="28"/>
        </w:rPr>
        <w:t xml:space="preserve">арушения, произошедшие на электростанциях, не приводили к ограничению отпуска тепловой энергии и снижению качества теплоносителя. После выяснения причин в сжатые сроки принимались меры для устранения нарушений и дальнейшего восстановления заданного режима.</w:t>
      </w:r>
      <w:r>
        <w:rPr>
          <w:sz w:val="28"/>
          <w:szCs w:val="28"/>
        </w:rPr>
      </w:r>
    </w:p>
    <w:p>
      <w:pPr>
        <w:pStyle w:val="15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Одними из проб</w:t>
      </w:r>
      <w:r>
        <w:rPr>
          <w:rFonts w:eastAsia="Times New Roman"/>
          <w:sz w:val="28"/>
          <w:szCs w:val="28"/>
        </w:rPr>
        <w:t xml:space="preserve">лем надежного теплоснабжения потребителей в зоне действия систем централизованного теплоснабжения с разветвленной сетевой структурой являются высокие значения отказов на тепловых сетях и отсутствие четкой положительной динамики сокращения числа инцидентов.</w:t>
      </w:r>
      <w:r>
        <w:rPr>
          <w:rFonts w:eastAsia="Times New Roman"/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Анализ статистики отказов показывает, что несмотря на снижение удельной повреждаемости тепловых сетей в отопительный период 2022 года относительно 2021 года,</w:t>
      </w:r>
      <w:r>
        <w:rPr>
          <w:sz w:val="28"/>
          <w:szCs w:val="28"/>
        </w:rPr>
        <w:t xml:space="preserve"> в 2021 году наблюдается резкое увеличение количества отказов, особенно в отопительный период – более чем в 2 раза. Количество отказов, приведших к прекращению подачи тепловой энергии, имело похожую волнообразную динамику и в 2022 году составило 1 700 ед.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Время, затраченное на восстановление работоспособности тепловых сетей, в значительной степени зависит от следующих факторов: диаметр трубопровода, тип прокладки, объем дренирования и заполнения.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Согласно действующим нормативам среднее время, затраченное на восстановление работоспособности тепловых сетей в отопительный период, в зависимости от диаметра трубопровода представлено в таблице 2.8.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44"/>
        <w:jc w:val="right"/>
        <w:rPr>
          <w:b/>
          <w:bCs/>
          <w:sz w:val="28"/>
          <w:szCs w:val="28"/>
        </w:rPr>
      </w:pPr>
      <w:r/>
      <w:bookmarkStart w:id="64" w:name="_Toc175216084"/>
      <w:r>
        <w:rPr>
          <w:b/>
          <w:bCs/>
          <w:sz w:val="28"/>
          <w:szCs w:val="28"/>
        </w:rPr>
        <w:t xml:space="preserve">Таблица 2.8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Среднее время восстановлений тепловых сетей (норматив)</w:t>
      </w:r>
      <w:bookmarkEnd w:id="64"/>
      <w:r/>
      <w:r>
        <w:rPr>
          <w:b/>
          <w:bCs/>
          <w:sz w:val="28"/>
          <w:szCs w:val="28"/>
        </w:rPr>
      </w:r>
    </w:p>
    <w:p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06"/>
        <w:gridCol w:w="5431"/>
      </w:tblGrid>
      <w:tr>
        <w:tblPrEx/>
        <w:trPr>
          <w:trHeight w:val="20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21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</w:rPr>
            </w:pPr>
            <w:r>
              <w:rPr>
                <w:bCs/>
              </w:rPr>
              <w:t xml:space="preserve">Диаметр труб тепловых сетей, мм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79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</w:rPr>
            </w:pPr>
            <w:r>
              <w:rPr>
                <w:bCs/>
              </w:rPr>
              <w:t xml:space="preserve">Время восстановления теплоснабжения, ч</w:t>
            </w:r>
            <w:r>
              <w:rPr>
                <w:bCs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06"/>
        <w:gridCol w:w="5431"/>
      </w:tblGrid>
      <w:tr>
        <w:tblPrEx/>
        <w:trPr>
          <w:trHeight w:val="20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21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</w:rPr>
            </w:pPr>
            <w:r>
              <w:rPr>
                <w:bCs/>
              </w:rPr>
              <w:t xml:space="preserve">1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79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tcW w:w="2321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300</w:t>
            </w:r>
            <w:r/>
          </w:p>
        </w:tc>
        <w:tc>
          <w:tcPr>
            <w:tcW w:w="2679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15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tcW w:w="2321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400</w:t>
            </w:r>
            <w:r/>
          </w:p>
        </w:tc>
        <w:tc>
          <w:tcPr>
            <w:tcW w:w="2679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18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tcW w:w="2321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500</w:t>
            </w:r>
            <w:r/>
          </w:p>
        </w:tc>
        <w:tc>
          <w:tcPr>
            <w:tcW w:w="2679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22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tcW w:w="2321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600</w:t>
            </w:r>
            <w:r/>
          </w:p>
        </w:tc>
        <w:tc>
          <w:tcPr>
            <w:tcW w:w="2679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26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tcW w:w="2321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700</w:t>
            </w:r>
            <w:r/>
          </w:p>
        </w:tc>
        <w:tc>
          <w:tcPr>
            <w:tcW w:w="2679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29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tcW w:w="2321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800 – 1 000</w:t>
            </w:r>
            <w:r/>
          </w:p>
        </w:tc>
        <w:tc>
          <w:tcPr>
            <w:tcW w:w="2679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40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tcW w:w="2321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1 200 – 1 400</w:t>
            </w:r>
            <w:r/>
          </w:p>
        </w:tc>
        <w:tc>
          <w:tcPr>
            <w:tcW w:w="2679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до 54</w:t>
            </w:r>
            <w:r/>
          </w:p>
        </w:tc>
      </w:tr>
    </w:tbl>
    <w:p>
      <w:pPr>
        <w:pStyle w:val="15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В указанную статист</w:t>
      </w:r>
      <w:r>
        <w:rPr>
          <w:sz w:val="28"/>
          <w:szCs w:val="28"/>
        </w:rPr>
        <w:t xml:space="preserve">ику включены интервалы времени от момента выявления дефекта по месту и характеру (после проведения работ по вскрытию), отключения участка проведения работ, заполнения и включения в работу с закрытием аварийной заявки. При оценке данных временных затрат не </w:t>
      </w:r>
      <w:r>
        <w:rPr>
          <w:sz w:val="28"/>
          <w:szCs w:val="28"/>
        </w:rPr>
        <w:t xml:space="preserve">включались технологические операции по доставке дежурных бригад к месту возможной аварии, оперативные переключения по выявлению участка с повышенным расходом и время согласования проведения раскопок с владельцами смежных объектов инженерной инфраструктуры.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Согласно Схеме теплоснабжения в целом по городу время восстановления работоспособности тепловых сетей соответствует установленным нормативам.</w:t>
      </w:r>
      <w:r>
        <w:rPr>
          <w:sz w:val="28"/>
          <w:szCs w:val="28"/>
        </w:rPr>
      </w:r>
    </w:p>
    <w:p>
      <w:pPr>
        <w:pStyle w:val="1570"/>
        <w:rPr>
          <w:rFonts w:eastAsia="Calibri"/>
        </w:rPr>
      </w:pPr>
      <w:r>
        <w:rPr>
          <w:rFonts w:eastAsia="Calibri"/>
          <w:sz w:val="28"/>
          <w:szCs w:val="28"/>
        </w:rPr>
        <w:t xml:space="preserve">Диспетчерская служба Филиала «Пермский» ПАО «Т Плюс» обеспечивает непрерывное оперативно-диспетчерское управление ПТЭЦ-6, 9, 13, 14 (в части тепловой нагрузки), ВК-2, 3, 20, тепловыми сетями и насосными станциями</w:t>
      </w:r>
      <w:r>
        <w:rPr>
          <w:rFonts w:eastAsia="Calibri"/>
        </w:rPr>
        <w:t xml:space="preserve">. </w:t>
      </w:r>
      <w:r>
        <w:rPr>
          <w:rFonts w:eastAsia="Calibri"/>
        </w:rPr>
      </w:r>
    </w:p>
    <w:p>
      <w:pPr>
        <w:pStyle w:val="157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/>
      <w:bookmarkStart w:id="65" w:name="_Toc119947440"/>
      <w:r/>
      <w:bookmarkStart w:id="66" w:name="_Toc175215965"/>
      <w:r>
        <w:rPr>
          <w:b/>
          <w:bCs/>
          <w:sz w:val="28"/>
          <w:szCs w:val="28"/>
        </w:rPr>
        <w:t xml:space="preserve">2.1.8 Качество поставляемого ресурса</w:t>
      </w:r>
      <w:bookmarkEnd w:id="65"/>
      <w:r/>
      <w:bookmarkEnd w:id="66"/>
      <w:r/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Регулирование отпуска тепла на источнике качественное, путем </w:t>
      </w:r>
      <w:r>
        <w:rPr>
          <w:sz w:val="28"/>
          <w:szCs w:val="28"/>
        </w:rPr>
        <w:t xml:space="preserve">изменения температуры сетевой воды в подающем трубопроводе в соответствии с прогнозируемой температурой наружного воздуха. В переходный период – качественно-количественное. Отпуск тепла производится по температурному графику 150-70 ºС со срезкой на 125 ºС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учетом увеличения располагаемого напора при температурах наружного воздуха ниже, чем в точке срезки (регулирование ре</w:t>
      </w:r>
      <w:r>
        <w:rPr>
          <w:sz w:val="28"/>
          <w:szCs w:val="28"/>
        </w:rPr>
        <w:t xml:space="preserve">жима в указанном диапазоне – количественно-качественное). Работа систем теплоснабжения при температурах наружного воздуха ниже точки срезки, определяемая температурой теплоносителя в подающем трубопроводе, равной 125 ºС, компенсируется отпущенным расходом.</w:t>
      </w:r>
      <w:r>
        <w:rPr>
          <w:sz w:val="28"/>
          <w:szCs w:val="28"/>
        </w:rPr>
      </w:r>
    </w:p>
    <w:p>
      <w:pPr>
        <w:pStyle w:val="157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котельных города Перми осуществляется центральное качественное регулирование отпуска тепла в тепловые сети. Графики изменения температур </w:t>
      </w:r>
      <w:r>
        <w:rPr>
          <w:rFonts w:eastAsia="Calibri"/>
          <w:sz w:val="28"/>
          <w:szCs w:val="28"/>
        </w:rPr>
        <w:t xml:space="preserve">теплоносителя определены при проектировании и строительстве систем теплоснабжения.</w:t>
      </w:r>
      <w:r>
        <w:rPr>
          <w:rFonts w:eastAsia="Calibri"/>
          <w:sz w:val="28"/>
          <w:szCs w:val="28"/>
        </w:rPr>
      </w:r>
    </w:p>
    <w:p>
      <w:pPr>
        <w:pStyle w:val="157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Изменение температуры теплоносителя производится посредством изменения количества подаваемого на горение топлива.</w:t>
      </w:r>
      <w:r>
        <w:rPr>
          <w:rFonts w:eastAsia="Calibri"/>
          <w:sz w:val="28"/>
          <w:szCs w:val="28"/>
        </w:rPr>
      </w:r>
    </w:p>
    <w:p>
      <w:pPr>
        <w:pStyle w:val="1570"/>
        <w:keepLines/>
        <w:keepNext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Подключение потребителей к тепловой сети следующее:</w:t>
      </w:r>
      <w:r>
        <w:rPr>
          <w:rFonts w:eastAsia="Calibri"/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tabs>
          <w:tab w:val="left" w:pos="709" w:leader="none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 температуре в прямом трубопроводе свыше 95°C – зависимая схема отопления, как правило, с применением элеваторов;</w:t>
      </w:r>
      <w:r>
        <w:rPr>
          <w:rFonts w:eastAsia="Calibri"/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tabs>
          <w:tab w:val="left" w:pos="709" w:leader="none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 температуре в прямом трубопроводе 95°C – непосредственное присоединение систем отопления к тепловой сети.</w:t>
      </w:r>
      <w:r>
        <w:rPr>
          <w:rFonts w:eastAsia="Calibri"/>
          <w:sz w:val="28"/>
          <w:szCs w:val="28"/>
        </w:rPr>
      </w:r>
    </w:p>
    <w:p>
      <w:pPr>
        <w:pStyle w:val="1570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Транспортировка тепла от источников до потребителей осуществляется по магистральным и распределительным тепловым сетям.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Значительная протяженность тепловых сетей и сложный рельеф местности сформировали локальные зоны, где не обеспечиваются параметры качества предоставляемых услуг, а именно: низкий располагаемый напор и (или) превышение сверх</w:t>
      </w:r>
      <w:r>
        <w:rPr>
          <w:sz w:val="28"/>
          <w:szCs w:val="28"/>
        </w:rPr>
        <w:t xml:space="preserve"> допустимого давления в обратном трубопроводе, а также низкое значение величины коэффициента смешения в связи с удаленностью потребительской системы от источника тепла или ЦТП, определяющей значительную величину падения температуры в подающем трубопроводе.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/>
      <w:bookmarkStart w:id="67" w:name="_Toc119947441"/>
      <w:r/>
      <w:bookmarkStart w:id="68" w:name="_Toc175215966"/>
      <w:r>
        <w:rPr>
          <w:b/>
          <w:bCs/>
          <w:sz w:val="28"/>
          <w:szCs w:val="28"/>
        </w:rPr>
        <w:t xml:space="preserve">2.1.9 Воздействие на окружающую среду</w:t>
      </w:r>
      <w:bookmarkEnd w:id="67"/>
      <w:r/>
      <w:bookmarkEnd w:id="68"/>
      <w:r/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эмиссии парниковых газов проводился в соответствии с Методикой количественного определения объемов выбросов парниковых газов и поглощений парниковых газов, утвержденной </w:t>
      </w:r>
      <w:bookmarkStart w:id="69" w:name="_Hlk166591700"/>
      <w:r>
        <w:rPr>
          <w:sz w:val="28"/>
          <w:szCs w:val="28"/>
        </w:rPr>
        <w:t xml:space="preserve">приказом Минприроды России от 27.05.2022 № 371</w:t>
      </w:r>
      <w:bookmarkEnd w:id="69"/>
      <w:r>
        <w:rPr>
          <w:sz w:val="28"/>
          <w:szCs w:val="28"/>
        </w:rPr>
        <w:t xml:space="preserve">. В</w:t>
      </w:r>
      <w:r>
        <w:rPr>
          <w:sz w:val="28"/>
          <w:szCs w:val="28"/>
        </w:rPr>
        <w:t xml:space="preserve">ыбросы парниковых газов в 2023 году оценены на уровне 2 685,6 тыс. т СО2-экв. Основная часть эмиссии возникла в результате сжигания природного газа (2 590,3 тыс. т СО2-экв.). Их динамика напрямую зависит от сжигания топлива на источниках тепловой энергии. </w:t>
      </w:r>
      <w:r>
        <w:rPr>
          <w:sz w:val="28"/>
          <w:szCs w:val="28"/>
        </w:rPr>
      </w:r>
    </w:p>
    <w:p>
      <w:pPr>
        <w:spacing w:after="200" w:line="276" w:lineRule="auto"/>
        <w:rPr>
          <w:sz w:val="28"/>
          <w:szCs w:val="28"/>
        </w:rPr>
      </w:pPr>
      <w:r/>
      <w:bookmarkStart w:id="70" w:name="_Toc119947442"/>
      <w:r/>
      <w:bookmarkStart w:id="71" w:name="_Toc175215967"/>
      <w:r/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2.1.10 Тарифы, плата (тариф) за подключение (присоединение), структура себестоимости производства и транспорта ресурса</w:t>
      </w:r>
      <w:bookmarkEnd w:id="70"/>
      <w:r/>
      <w:bookmarkEnd w:id="71"/>
      <w:r/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Тарифы на подключение потребителей с тепловой мощностью от 0,1 до 1,5 Гкал/ч в зонах действия ЕТО приведены в таблице 2.9.</w:t>
      </w:r>
      <w:r>
        <w:rPr>
          <w:sz w:val="28"/>
          <w:szCs w:val="28"/>
        </w:rPr>
      </w:r>
    </w:p>
    <w:p>
      <w:pPr>
        <w:pStyle w:val="157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544"/>
        <w:jc w:val="right"/>
        <w:rPr>
          <w:b/>
          <w:bCs/>
          <w:sz w:val="28"/>
          <w:szCs w:val="28"/>
        </w:rPr>
      </w:pPr>
      <w:r/>
      <w:bookmarkStart w:id="72" w:name="_Toc175216085"/>
      <w:r>
        <w:rPr>
          <w:b/>
          <w:bCs/>
          <w:sz w:val="28"/>
          <w:szCs w:val="28"/>
        </w:rPr>
        <w:t xml:space="preserve">Таблица 2.9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Тарифы на подключение потребителей с тепловой мощностью 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0,1 до 1,5 Гкал/ч в зонах деятельности ЕТО</w:t>
      </w:r>
      <w:bookmarkEnd w:id="72"/>
      <w:r/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154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руб./Гкал-ч (с НДС)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04"/>
        <w:gridCol w:w="1818"/>
        <w:gridCol w:w="1955"/>
      </w:tblGrid>
      <w:tr>
        <w:tblPrEx/>
        <w:trPr>
          <w:trHeight w:val="20"/>
          <w:tblHeader/>
        </w:trPr>
        <w:tc>
          <w:tcPr>
            <w:shd w:val="clear" w:color="auto" w:fill="auto"/>
            <w:tcW w:w="3109" w:type="pct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ЕТО</w:t>
            </w:r>
            <w:r/>
          </w:p>
        </w:tc>
        <w:tc>
          <w:tcPr>
            <w:tcW w:w="911" w:type="pct"/>
            <w:textDirection w:val="lrTb"/>
            <w:noWrap w:val="false"/>
          </w:tcPr>
          <w:p>
            <w:pPr>
              <w:jc w:val="center"/>
            </w:pPr>
            <w:r>
              <w:t xml:space="preserve">2020</w:t>
            </w:r>
            <w:r/>
          </w:p>
        </w:tc>
        <w:tc>
          <w:tcPr>
            <w:tcW w:w="980" w:type="pct"/>
            <w:textDirection w:val="lrTb"/>
            <w:noWrap w:val="false"/>
          </w:tcPr>
          <w:p>
            <w:pPr>
              <w:jc w:val="center"/>
            </w:pPr>
            <w:r>
              <w:t xml:space="preserve">2021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3109" w:type="pct"/>
            <w:textDirection w:val="lrTb"/>
            <w:noWrap w:val="false"/>
          </w:tcPr>
          <w:p>
            <w:pPr>
              <w:ind w:left="112"/>
            </w:pPr>
            <w:r>
              <w:t xml:space="preserve">ООО «Пермская сетевая компания» </w:t>
            </w:r>
            <w:r/>
          </w:p>
          <w:p>
            <w:pPr>
              <w:ind w:left="112"/>
            </w:pPr>
            <w:r>
              <w:t xml:space="preserve">(далее – ООО «ПСК») </w:t>
            </w:r>
            <w:r>
              <w:rPr>
                <w:bCs/>
              </w:rPr>
              <w:t xml:space="preserve">(реорганизовано в форме присоединения к ПАО «Т Плюс» с 01.11.2021)</w:t>
            </w:r>
            <w:r/>
          </w:p>
        </w:tc>
        <w:tc>
          <w:tcPr>
            <w:tcW w:w="911" w:type="pct"/>
            <w:textDirection w:val="lrTb"/>
            <w:noWrap w:val="false"/>
          </w:tcPr>
          <w:p>
            <w:pPr>
              <w:ind w:left="-26" w:right="-24"/>
              <w:jc w:val="center"/>
            </w:pPr>
            <w:r>
              <w:t xml:space="preserve">5 478 000-6 432 000</w:t>
            </w:r>
            <w:r/>
          </w:p>
        </w:tc>
        <w:tc>
          <w:tcPr>
            <w:tcW w:w="980" w:type="pct"/>
            <w:textDirection w:val="lrTb"/>
            <w:noWrap w:val="false"/>
          </w:tcPr>
          <w:p>
            <w:pPr>
              <w:jc w:val="center"/>
            </w:pPr>
            <w:r>
              <w:t xml:space="preserve">6 817 200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3109" w:type="pct"/>
            <w:textDirection w:val="lrTb"/>
            <w:noWrap w:val="false"/>
          </w:tcPr>
          <w:p>
            <w:pPr>
              <w:ind w:left="112"/>
            </w:pPr>
            <w:r>
              <w:t xml:space="preserve">ПМУП «ГКТХ»</w:t>
            </w:r>
            <w:r/>
          </w:p>
        </w:tc>
        <w:tc>
          <w:tcPr>
            <w:tcW w:w="911" w:type="pc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980" w:type="pct"/>
            <w:textDirection w:val="lrTb"/>
            <w:noWrap w:val="false"/>
          </w:tcPr>
          <w:p>
            <w:pPr>
              <w:jc w:val="center"/>
            </w:pPr>
            <w:r>
              <w:t xml:space="preserve">9 874 800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3109" w:type="pct"/>
            <w:textDirection w:val="lrTb"/>
            <w:noWrap w:val="false"/>
          </w:tcPr>
          <w:p>
            <w:pPr>
              <w:ind w:left="112"/>
            </w:pPr>
            <w:r>
              <w:t xml:space="preserve">ООО «</w:t>
            </w:r>
            <w:r>
              <w:t xml:space="preserve">Тимсервис</w:t>
            </w:r>
            <w:r>
              <w:t xml:space="preserve">»</w:t>
            </w:r>
            <w:r/>
          </w:p>
        </w:tc>
        <w:tc>
          <w:tcPr>
            <w:tcW w:w="911" w:type="pc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980" w:type="pct"/>
            <w:textDirection w:val="lrTb"/>
            <w:noWrap w:val="false"/>
          </w:tcPr>
          <w:p>
            <w:pPr>
              <w:jc w:val="center"/>
            </w:pPr>
            <w:r>
              <w:t xml:space="preserve">10 097 196</w:t>
            </w:r>
            <w:r/>
          </w:p>
        </w:tc>
      </w:tr>
    </w:tbl>
    <w:p>
      <w:pPr>
        <w:ind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---------------------------</w:t>
      </w:r>
      <w:r>
        <w:rPr>
          <w:i/>
          <w:iCs/>
          <w:sz w:val="28"/>
          <w:szCs w:val="28"/>
        </w:rPr>
      </w:r>
    </w:p>
    <w:p>
      <w:pPr>
        <w:ind w:firstLine="709"/>
        <w:jc w:val="both"/>
      </w:pPr>
      <w:r>
        <w:t xml:space="preserve">Примечание. Источники информации – постановления Министерства тарифного регулирования и энергетики Пермского края об установлении платы за подключение к системам теплоснабжения.</w:t>
      </w:r>
      <w:r/>
    </w:p>
    <w:p>
      <w:pPr>
        <w:pStyle w:val="1570"/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Данные об установленной плате за подключение представлены в таблице 2.10.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Тарифы на тепловую энергию в 2020-2024 годах для основных теплоснабжающих организаций приведены в таблице 2.11;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предельные уровни цен на тепловую энергию</w:t>
      </w:r>
      <w:r>
        <w:rPr>
          <w:rStyle w:val="1482"/>
          <w:sz w:val="28"/>
          <w:szCs w:val="28"/>
        </w:rPr>
        <w:footnoteReference w:id="3"/>
      </w:r>
      <w:r>
        <w:rPr>
          <w:sz w:val="28"/>
          <w:szCs w:val="28"/>
        </w:rPr>
        <w:t xml:space="preserve"> в 2023-2024 годах – в таблицах 2.12 и 2.13; тарифы на горячую воду – в таблице 2.14.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70"/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567" w:bottom="1134" w:left="1418" w:header="567" w:footer="567" w:gutter="0"/>
          <w:cols w:num="1" w:sep="0" w:space="708" w:equalWidth="1"/>
          <w:docGrid w:linePitch="360"/>
          <w:titlePg/>
        </w:sectPr>
      </w:pPr>
      <w:r/>
      <w:r/>
    </w:p>
    <w:p>
      <w:pPr>
        <w:pStyle w:val="1544"/>
        <w:jc w:val="right"/>
        <w:rPr>
          <w:b/>
          <w:bCs/>
          <w:sz w:val="28"/>
          <w:szCs w:val="28"/>
        </w:rPr>
      </w:pPr>
      <w:r/>
      <w:bookmarkStart w:id="73" w:name="_Toc175216086"/>
      <w:r>
        <w:rPr>
          <w:b/>
          <w:bCs/>
          <w:sz w:val="28"/>
          <w:szCs w:val="28"/>
        </w:rPr>
        <w:t xml:space="preserve">Таблица 2.10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Плата за подключение, установленная в 2020-2023 г</w:t>
      </w:r>
      <w:bookmarkEnd w:id="73"/>
      <w:r>
        <w:rPr>
          <w:b/>
          <w:bCs/>
          <w:sz w:val="28"/>
          <w:szCs w:val="28"/>
        </w:rPr>
        <w:t xml:space="preserve">одах</w:t>
      </w:r>
      <w:r>
        <w:rPr>
          <w:b/>
          <w:bCs/>
          <w:sz w:val="28"/>
          <w:szCs w:val="28"/>
        </w:rPr>
      </w:r>
    </w:p>
    <w:p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тыс. руб./Гкал-ч (без НДС)</w:t>
      </w:r>
      <w:r>
        <w:rPr>
          <w:sz w:val="28"/>
          <w:szCs w:val="28"/>
          <w:lang w:eastAsia="en-US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58"/>
        <w:gridCol w:w="1005"/>
        <w:gridCol w:w="1005"/>
        <w:gridCol w:w="1005"/>
        <w:gridCol w:w="1005"/>
        <w:gridCol w:w="1291"/>
        <w:gridCol w:w="1291"/>
        <w:gridCol w:w="1005"/>
        <w:gridCol w:w="1005"/>
        <w:gridCol w:w="1139"/>
      </w:tblGrid>
      <w:tr>
        <w:tblPrEx/>
        <w:trPr>
          <w:trHeight w:val="20"/>
          <w:tblHeader/>
        </w:trPr>
        <w:tc>
          <w:tcPr>
            <w:shd w:val="clear" w:color="auto" w:fill="auto"/>
            <w:tcW w:w="1730" w:type="pct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Наименование/номер ТСО</w:t>
            </w:r>
            <w:r>
              <w:rPr>
                <w:bCs/>
              </w:rPr>
            </w:r>
          </w:p>
        </w:tc>
        <w:tc>
          <w:tcPr>
            <w:gridSpan w:val="4"/>
            <w:shd w:val="clear" w:color="auto" w:fill="auto"/>
            <w:tcW w:w="1348" w:type="pct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ПАО «Т Плюс»</w:t>
            </w:r>
            <w:r>
              <w:rPr>
                <w:bCs/>
              </w:rPr>
            </w:r>
          </w:p>
        </w:tc>
        <w:tc>
          <w:tcPr>
            <w:gridSpan w:val="2"/>
            <w:shd w:val="clear" w:color="auto" w:fill="auto"/>
            <w:tcW w:w="866" w:type="pct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ООО «ПСК» (реорганизовано </w:t>
            </w:r>
            <w:r>
              <w:rPr>
                <w:bCs/>
              </w:rPr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 форме присоединения к ПАО «Т Плюс» с 01.11.2021)</w:t>
            </w:r>
            <w:r>
              <w:rPr>
                <w:bCs/>
              </w:rPr>
            </w:r>
          </w:p>
        </w:tc>
        <w:tc>
          <w:tcPr>
            <w:gridSpan w:val="2"/>
            <w:shd w:val="clear" w:color="auto" w:fill="auto"/>
            <w:tcW w:w="674" w:type="pct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ООО «</w:t>
            </w:r>
            <w:r>
              <w:rPr>
                <w:bCs/>
              </w:rPr>
              <w:t xml:space="preserve">Тимсервис</w:t>
            </w:r>
            <w:r>
              <w:rPr>
                <w:bCs/>
              </w:rPr>
              <w:t xml:space="preserve">»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382" w:type="pct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ПМУП «ГКТХ»</w:t>
            </w:r>
            <w:r>
              <w:rPr>
                <w:bCs/>
              </w:rPr>
            </w:r>
          </w:p>
        </w:tc>
      </w:tr>
      <w:tr>
        <w:tblPrEx/>
        <w:trPr>
          <w:trHeight w:val="20"/>
          <w:tblHeader/>
        </w:trPr>
        <w:tc>
          <w:tcPr>
            <w:shd w:val="clear" w:color="auto" w:fill="auto"/>
            <w:tcW w:w="1730" w:type="pct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Период действия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2020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2021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2022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2023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33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2020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433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2021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2021</w:t>
            </w:r>
            <w:r>
              <w:rPr>
                <w:bCs/>
              </w:rPr>
            </w:r>
          </w:p>
        </w:tc>
        <w:tc>
          <w:tcPr>
            <w:tcW w:w="337" w:type="pct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2023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382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2021</w:t>
            </w:r>
            <w:r>
              <w:rPr>
                <w:bCs/>
              </w:rPr>
            </w:r>
          </w:p>
        </w:tc>
      </w:tr>
    </w:tbl>
    <w:p>
      <w:pPr>
        <w:spacing w:line="48" w:lineRule="auto"/>
      </w:pPr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58"/>
        <w:gridCol w:w="1005"/>
        <w:gridCol w:w="1005"/>
        <w:gridCol w:w="1005"/>
        <w:gridCol w:w="1005"/>
        <w:gridCol w:w="1291"/>
        <w:gridCol w:w="1291"/>
        <w:gridCol w:w="1005"/>
        <w:gridCol w:w="1005"/>
        <w:gridCol w:w="1139"/>
      </w:tblGrid>
      <w:tr>
        <w:tblPrEx/>
        <w:trPr>
          <w:trHeight w:val="20"/>
          <w:tblHeader/>
        </w:trPr>
        <w:tc>
          <w:tcPr>
            <w:shd w:val="clear" w:color="auto" w:fill="auto"/>
            <w:tcW w:w="1730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3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4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5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33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6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433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7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8</w:t>
            </w:r>
            <w:r>
              <w:rPr>
                <w:bCs/>
              </w:rPr>
            </w:r>
          </w:p>
        </w:tc>
        <w:tc>
          <w:tcPr>
            <w:tcW w:w="337" w:type="pct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382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10</w:t>
            </w:r>
            <w:r>
              <w:rPr>
                <w:bCs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730" w:type="pct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Плата при подключении нагрузки более </w:t>
            </w:r>
            <w:r>
              <w:rPr>
                <w:bCs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  <w:t xml:space="preserve">0,1 Гкал/ч и менее 1,5 Гкал/ч</w:t>
            </w:r>
            <w:r>
              <w:rPr>
                <w:bCs/>
              </w:rPr>
            </w:r>
          </w:p>
        </w:tc>
        <w:tc>
          <w:tcPr>
            <w:gridSpan w:val="9"/>
            <w:shd w:val="clear" w:color="auto" w:fill="auto"/>
            <w:tcW w:w="3270" w:type="pct"/>
            <w:textDirection w:val="lrTb"/>
            <w:noWrap w:val="false"/>
          </w:tcPr>
          <w:p>
            <w:pPr>
              <w:jc w:val="center"/>
            </w:pPr>
            <w:r>
              <w:t xml:space="preserve">при наличии технической возможности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730" w:type="pct"/>
            <w:vAlign w:val="center"/>
            <w:textDirection w:val="lrTb"/>
            <w:noWrap w:val="false"/>
          </w:tcPr>
          <w:p>
            <w:r>
              <w:t xml:space="preserve">- проведение мероприятий по подключению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150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150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160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47</w:t>
            </w:r>
            <w:r/>
          </w:p>
        </w:tc>
        <w:tc>
          <w:tcPr>
            <w:shd w:val="clear" w:color="auto" w:fill="auto"/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150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27</w:t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W w:w="38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730" w:type="pct"/>
            <w:vAlign w:val="center"/>
            <w:textDirection w:val="lrTb"/>
            <w:noWrap w:val="false"/>
          </w:tcPr>
          <w:p>
            <w:r>
              <w:t xml:space="preserve">- создание/реконструкция тепловых сетей, в </w:t>
            </w:r>
            <w:r>
              <w:t xml:space="preserve">т.ч</w:t>
            </w:r>
            <w:r>
              <w:t xml:space="preserve">.: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W w:w="382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730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 надземная прокладка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W w:w="382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730" w:type="pct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50 (</w:t>
            </w:r>
            <w:r>
              <w:t xml:space="preserve">32)-</w:t>
            </w:r>
            <w:r>
              <w:t xml:space="preserve">250 мм (250 мм и менее)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5 531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5 531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5 885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4 733</w:t>
            </w:r>
            <w:r/>
          </w:p>
        </w:tc>
        <w:tc>
          <w:tcPr>
            <w:shd w:val="clear" w:color="auto" w:fill="auto"/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5 531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8 414,33</w:t>
            </w:r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8 414,33</w:t>
            </w:r>
            <w:r/>
          </w:p>
        </w:tc>
        <w:tc>
          <w:tcPr>
            <w:shd w:val="clear" w:color="auto" w:fill="auto"/>
            <w:tcW w:w="38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8 229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730" w:type="pct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251-400 мм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5 531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5 531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5 885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4 733</w:t>
            </w:r>
            <w:r/>
          </w:p>
        </w:tc>
        <w:tc>
          <w:tcPr>
            <w:shd w:val="clear" w:color="auto" w:fill="auto"/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5 531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38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730" w:type="pct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401-550 мм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5 531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5 531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5 885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5 531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38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730" w:type="pct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551-700 мм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5 531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5 531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5 885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5 531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38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730" w:type="pct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701 мм и выше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5 531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5 531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5 885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5 531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38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730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 подземная прокладка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82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730" w:type="pct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канальная прокладка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82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730" w:type="pct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50 (</w:t>
            </w:r>
            <w:r>
              <w:t xml:space="preserve">32)-</w:t>
            </w:r>
            <w:r>
              <w:t xml:space="preserve">250 мм (250 мм и менее)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5 531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5 531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5 885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5 313</w:t>
            </w:r>
            <w:r/>
          </w:p>
        </w:tc>
        <w:tc>
          <w:tcPr>
            <w:shd w:val="clear" w:color="auto" w:fill="auto"/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5 531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8 414,33</w:t>
            </w:r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8 414,33</w:t>
            </w:r>
            <w:r/>
          </w:p>
        </w:tc>
        <w:tc>
          <w:tcPr>
            <w:shd w:val="clear" w:color="auto" w:fill="auto"/>
            <w:tcW w:w="38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8 229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730" w:type="pct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251-400 мм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5 531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5 531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5 885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5 313</w:t>
            </w:r>
            <w:r/>
          </w:p>
        </w:tc>
        <w:tc>
          <w:tcPr>
            <w:shd w:val="clear" w:color="auto" w:fill="auto"/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5 531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38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730" w:type="pct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401-550 мм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5 531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5 531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5 885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5 531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38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730" w:type="pct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551-700 мм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5 531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5 531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5 885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5 531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38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730" w:type="pct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701 мм и выше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5 531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5 531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5 885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5 531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38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730" w:type="pct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бесканальная</w:t>
            </w:r>
            <w:r>
              <w:t xml:space="preserve"> прокладка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82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730" w:type="pct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50 (</w:t>
            </w:r>
            <w:r>
              <w:t xml:space="preserve">32)-</w:t>
            </w:r>
            <w:r>
              <w:t xml:space="preserve">250 мм (250 мм и менее)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5 531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5 531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5 885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4 518</w:t>
            </w:r>
            <w:r/>
          </w:p>
        </w:tc>
        <w:tc>
          <w:tcPr>
            <w:shd w:val="clear" w:color="auto" w:fill="auto"/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5 531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8 414,33</w:t>
            </w:r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8 414,33</w:t>
            </w:r>
            <w:r/>
          </w:p>
        </w:tc>
        <w:tc>
          <w:tcPr>
            <w:shd w:val="clear" w:color="auto" w:fill="auto"/>
            <w:tcW w:w="38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8 229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730" w:type="pct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251-400 мм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5 531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5 531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5 885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4 518</w:t>
            </w:r>
            <w:r/>
          </w:p>
        </w:tc>
        <w:tc>
          <w:tcPr>
            <w:shd w:val="clear" w:color="auto" w:fill="auto"/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5 531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38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730" w:type="pct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401-550 мм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5 531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5 531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5 885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5 531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38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730" w:type="pct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551-700 мм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5 531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5 531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5 885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5 531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38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730" w:type="pct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701 мм и выше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5 531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5 531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5 885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5 531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38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730" w:type="pct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Плата при подключении нагрузки более </w:t>
            </w:r>
            <w:r>
              <w:rPr>
                <w:bCs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  <w:t xml:space="preserve">1,5 Гкал/ч при наличии технической возможности подключения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shd w:val="clear" w:color="auto" w:fill="auto"/>
            <w:tcW w:w="382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730" w:type="pct"/>
            <w:vAlign w:val="center"/>
            <w:textDirection w:val="lrTb"/>
            <w:noWrap w:val="false"/>
          </w:tcPr>
          <w:p>
            <w:r>
              <w:t xml:space="preserve">- проведение мероприятий по подключению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yellow"/>
              </w:rPr>
            </w:pPr>
            <w:r>
              <w:t xml:space="preserve">19</w:t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19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38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730" w:type="pct"/>
            <w:vAlign w:val="center"/>
            <w:textDirection w:val="lrTb"/>
            <w:noWrap w:val="false"/>
          </w:tcPr>
          <w:p>
            <w:r>
              <w:t xml:space="preserve">- создание/реконструкция тепловых сетей, в </w:t>
            </w:r>
            <w:r>
              <w:t xml:space="preserve">т.ч</w:t>
            </w:r>
            <w:r>
              <w:t xml:space="preserve">.: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82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730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 надземная прокладка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82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730" w:type="pct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50-250 мм (250 мм и менее)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3 200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3 200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3 405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3 200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38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730" w:type="pct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251-400 мм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3 200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3 200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3 405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3 200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38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730" w:type="pct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401-550 мм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3 200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3 200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3 405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3 200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38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730" w:type="pct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551-700 мм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3 200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3 200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3 405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3 200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38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730" w:type="pct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701 мм и выше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3 200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3 200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3 405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3 200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38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730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 подземная прокладка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82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730" w:type="pct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канальная прокладка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82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730" w:type="pct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50-250 мм (250 мм и менее)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3 200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3 200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3 405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3 200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38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730" w:type="pct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251-400 мм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3 200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3 200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3 405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3 200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38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730" w:type="pct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401-550 мм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3 200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3 200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3 405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3 200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38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730" w:type="pct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551-700 мм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3 200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3 200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3 405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3 200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38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730" w:type="pct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701 мм и выше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3 200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3 200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3 405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3 200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38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730" w:type="pct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бесканальная</w:t>
            </w:r>
            <w:r>
              <w:t xml:space="preserve"> прокладка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82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730" w:type="pct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50-250 мм (250 мм и менее)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3 200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3 200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3 405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3 200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38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730" w:type="pct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251-400 мм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3 200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3 200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3 405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3 200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38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730" w:type="pct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401-550 мм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3 200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3 200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3 405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3 200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38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730" w:type="pct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551-700 мм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3 200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3 200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3 405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3 200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38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730" w:type="pct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701 мм и выше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3 200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3 200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3 405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3 200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38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730" w:type="pct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Плата при подключении нагрузки менее </w:t>
            </w:r>
            <w:r>
              <w:rPr>
                <w:bCs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  <w:t xml:space="preserve">0,1 Гкал/ч:</w:t>
            </w:r>
            <w:r>
              <w:rPr>
                <w:bCs/>
              </w:rPr>
            </w:r>
          </w:p>
        </w:tc>
        <w:tc>
          <w:tcPr>
            <w:gridSpan w:val="9"/>
            <w:shd w:val="clear" w:color="auto" w:fill="auto"/>
            <w:tcW w:w="3270" w:type="pct"/>
            <w:textDirection w:val="lrTb"/>
            <w:noWrap w:val="false"/>
          </w:tcPr>
          <w:p>
            <w:pPr>
              <w:jc w:val="center"/>
            </w:pPr>
            <w:r>
              <w:t xml:space="preserve">при наличии технической возможности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730" w:type="pct"/>
            <w:vAlign w:val="center"/>
            <w:textDirection w:val="lrTb"/>
            <w:noWrap w:val="false"/>
          </w:tcPr>
          <w:p>
            <w:r>
              <w:t xml:space="preserve">- физическое лицо (с НДС) (руб.)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8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730" w:type="pct"/>
            <w:vAlign w:val="center"/>
            <w:textDirection w:val="lrTb"/>
            <w:noWrap w:val="false"/>
          </w:tcPr>
          <w:p>
            <w:r>
              <w:t xml:space="preserve">- юридическое лицо (без НДС) (руб.)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8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730" w:type="pct"/>
            <w:vAlign w:val="center"/>
            <w:textDirection w:val="lrTb"/>
            <w:noWrap w:val="false"/>
          </w:tcPr>
          <w:p>
            <w:r>
              <w:t xml:space="preserve">- проведение мероприятий по подключению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463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380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404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463</w:t>
            </w:r>
            <w:r/>
          </w:p>
        </w:tc>
        <w:tc>
          <w:tcPr>
            <w:shd w:val="clear" w:color="auto" w:fill="auto"/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500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671</w:t>
            </w:r>
            <w:r/>
          </w:p>
        </w:tc>
        <w:tc>
          <w:tcPr>
            <w:shd w:val="clear" w:color="auto" w:fill="auto"/>
            <w:tcW w:w="38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730" w:type="pct"/>
            <w:vAlign w:val="center"/>
            <w:textDirection w:val="lrTb"/>
            <w:noWrap w:val="false"/>
          </w:tcPr>
          <w:p>
            <w:r>
              <w:t xml:space="preserve">- создание/реконструкция тепловых сетей, в </w:t>
            </w:r>
            <w:r>
              <w:t xml:space="preserve">т.ч</w:t>
            </w:r>
            <w:r>
              <w:t xml:space="preserve">.: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82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730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 надземная прокладка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82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730" w:type="pct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50 (</w:t>
            </w:r>
            <w:r>
              <w:t xml:space="preserve">32)-</w:t>
            </w:r>
            <w:r>
              <w:t xml:space="preserve">250 мм (250 мм и менее)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22 048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22 184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21 970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23 376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22 048</w:t>
            </w:r>
            <w:r/>
          </w:p>
        </w:tc>
        <w:tc>
          <w:tcPr>
            <w:shd w:val="clear" w:color="auto" w:fill="auto"/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22 184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38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13 060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730" w:type="pct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251-400 мм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22 048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22 184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21 970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23 376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22 048</w:t>
            </w:r>
            <w:r/>
          </w:p>
        </w:tc>
        <w:tc>
          <w:tcPr>
            <w:shd w:val="clear" w:color="auto" w:fill="auto"/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22 184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38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730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 подземная прокладка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82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730" w:type="pct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канальная прокладка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82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730" w:type="pct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50 (</w:t>
            </w:r>
            <w:r>
              <w:t xml:space="preserve">32)-</w:t>
            </w:r>
            <w:r>
              <w:t xml:space="preserve">250 мм (250 мм и менее)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22 048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22 184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21 970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23 376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22 048</w:t>
            </w:r>
            <w:r/>
          </w:p>
        </w:tc>
        <w:tc>
          <w:tcPr>
            <w:shd w:val="clear" w:color="auto" w:fill="auto"/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22 184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38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13 060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730" w:type="pct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251-400 мм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22 048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22 184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21 970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23 376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22 048</w:t>
            </w:r>
            <w:r/>
          </w:p>
        </w:tc>
        <w:tc>
          <w:tcPr>
            <w:shd w:val="clear" w:color="auto" w:fill="auto"/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22 184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38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730" w:type="pct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бесканальная</w:t>
            </w:r>
            <w:r>
              <w:t xml:space="preserve"> прокладка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382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730" w:type="pct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50 (</w:t>
            </w:r>
            <w:r>
              <w:t xml:space="preserve">32)-</w:t>
            </w:r>
            <w:r>
              <w:t xml:space="preserve">250 мм (250 мм и менее)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22 048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22 184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21 970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23 376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22 048</w:t>
            </w:r>
            <w:r/>
          </w:p>
        </w:tc>
        <w:tc>
          <w:tcPr>
            <w:shd w:val="clear" w:color="auto" w:fill="auto"/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22 184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38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13 060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730" w:type="pct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251-400 мм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22 048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22 184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21 970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23 376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22 048</w:t>
            </w:r>
            <w:r/>
          </w:p>
        </w:tc>
        <w:tc>
          <w:tcPr>
            <w:shd w:val="clear" w:color="auto" w:fill="auto"/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22 184</w:t>
            </w:r>
            <w:r/>
          </w:p>
        </w:tc>
        <w:tc>
          <w:tcPr>
            <w:shd w:val="clear" w:color="auto" w:fill="auto"/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33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38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</w:tbl>
    <w:p>
      <w:pPr>
        <w:ind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  <w:r>
        <w:rPr>
          <w:i/>
          <w:iCs/>
          <w:sz w:val="28"/>
          <w:szCs w:val="28"/>
        </w:rPr>
      </w:r>
    </w:p>
    <w:p>
      <w:pPr>
        <w:ind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---------------------------</w:t>
      </w:r>
      <w:r>
        <w:rPr>
          <w:i/>
          <w:iCs/>
          <w:sz w:val="28"/>
          <w:szCs w:val="28"/>
        </w:rPr>
      </w:r>
    </w:p>
    <w:p>
      <w:pPr>
        <w:ind w:firstLine="709"/>
        <w:jc w:val="both"/>
      </w:pPr>
      <w:r>
        <w:t xml:space="preserve">Примечание. Источники информации – постановления Министерства тарифного регулирования и энергетики Пермского края об установлении платы за подключение к системам теплоснабжения.</w:t>
      </w:r>
      <w:r/>
    </w:p>
    <w:p>
      <w:pPr>
        <w:pStyle w:val="1570"/>
        <w:ind w:firstLine="0"/>
        <w:rPr>
          <w:i/>
          <w:iCs w:val="0"/>
          <w:sz w:val="28"/>
          <w:szCs w:val="28"/>
        </w:rPr>
      </w:pPr>
      <w:r>
        <w:rPr>
          <w:i/>
          <w:iCs w:val="0"/>
          <w:sz w:val="28"/>
          <w:szCs w:val="28"/>
        </w:rPr>
      </w:r>
      <w:r>
        <w:rPr>
          <w:i/>
          <w:iCs w:val="0"/>
          <w:sz w:val="28"/>
          <w:szCs w:val="28"/>
        </w:rPr>
      </w:r>
    </w:p>
    <w:p>
      <w:pPr>
        <w:pStyle w:val="1544"/>
        <w:ind w:right="-31"/>
        <w:jc w:val="right"/>
        <w:rPr>
          <w:b/>
          <w:bCs/>
          <w:sz w:val="28"/>
          <w:szCs w:val="28"/>
        </w:rPr>
      </w:pPr>
      <w:r/>
      <w:bookmarkStart w:id="74" w:name="_Toc175216087"/>
      <w:r>
        <w:rPr>
          <w:b/>
          <w:bCs/>
          <w:sz w:val="28"/>
          <w:szCs w:val="28"/>
        </w:rPr>
        <w:t xml:space="preserve">Таблица 2.11</w:t>
      </w:r>
      <w:r>
        <w:rPr>
          <w:b/>
          <w:bCs/>
          <w:sz w:val="28"/>
          <w:szCs w:val="28"/>
        </w:rPr>
      </w:r>
    </w:p>
    <w:p>
      <w:pPr>
        <w:pStyle w:val="1544"/>
        <w:ind w:right="-45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Тарифы на тепловую энергию в 2020-2024 г</w:t>
      </w:r>
      <w:bookmarkEnd w:id="74"/>
      <w:r>
        <w:rPr>
          <w:b/>
          <w:bCs/>
          <w:sz w:val="28"/>
          <w:szCs w:val="28"/>
        </w:rPr>
        <w:t xml:space="preserve">одах</w:t>
      </w:r>
      <w:r>
        <w:rPr>
          <w:b/>
          <w:bCs/>
          <w:sz w:val="28"/>
          <w:szCs w:val="28"/>
        </w:rPr>
      </w:r>
    </w:p>
    <w:p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2290"/>
        <w:gridCol w:w="1124"/>
        <w:gridCol w:w="987"/>
        <w:gridCol w:w="984"/>
        <w:gridCol w:w="704"/>
        <w:gridCol w:w="987"/>
        <w:gridCol w:w="704"/>
        <w:gridCol w:w="993"/>
        <w:gridCol w:w="704"/>
        <w:gridCol w:w="1124"/>
        <w:gridCol w:w="707"/>
        <w:gridCol w:w="987"/>
        <w:gridCol w:w="987"/>
        <w:gridCol w:w="966"/>
      </w:tblGrid>
      <w:tr>
        <w:tblPrEx/>
        <w:trPr>
          <w:trHeight w:val="20"/>
          <w:tblHeader/>
        </w:trPr>
        <w:tc>
          <w:tcPr>
            <w:shd w:val="clear" w:color="auto" w:fill="auto"/>
            <w:tcW w:w="222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№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8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Наименование ТСО/потребители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shd w:val="clear" w:color="auto" w:fill="auto"/>
            <w:tcW w:w="70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2020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4"/>
            <w:shd w:val="clear" w:color="auto" w:fill="auto"/>
            <w:tcW w:w="113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2021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4"/>
            <w:shd w:val="clear" w:color="auto" w:fill="auto"/>
            <w:tcW w:w="118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2022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3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2023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shd w:val="clear" w:color="auto" w:fill="auto"/>
            <w:tcW w:w="65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2024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  <w:tblHeader/>
        </w:trPr>
        <w:tc>
          <w:tcPr>
            <w:shd w:val="clear" w:color="auto" w:fill="auto"/>
            <w:tcW w:w="222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8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с 01.01.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3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с 01.07.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с 01.01.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Рост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3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с 01.07.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Рост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3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с 01.01.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Рост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с 01.07.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Рост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3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год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3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с 01.01.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с 01.07.</w:t>
            </w:r>
            <w:r>
              <w:rPr>
                <w:rFonts w:asciiTheme="minorHAnsi" w:hAnsiTheme="minorHAnsi" w:cstheme="minorHAnsi"/>
              </w:rPr>
            </w:r>
          </w:p>
        </w:tc>
      </w:tr>
    </w:tbl>
    <w:p>
      <w:pPr>
        <w:spacing w:line="48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2284"/>
        <w:gridCol w:w="1115"/>
        <w:gridCol w:w="975"/>
        <w:gridCol w:w="975"/>
        <w:gridCol w:w="734"/>
        <w:gridCol w:w="981"/>
        <w:gridCol w:w="734"/>
        <w:gridCol w:w="975"/>
        <w:gridCol w:w="704"/>
        <w:gridCol w:w="1115"/>
        <w:gridCol w:w="734"/>
        <w:gridCol w:w="981"/>
        <w:gridCol w:w="975"/>
        <w:gridCol w:w="966"/>
      </w:tblGrid>
      <w:tr>
        <w:tblPrEx/>
        <w:trPr>
          <w:trHeight w:val="20"/>
          <w:tblHeader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15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4"/>
            <w:shd w:val="clear" w:color="auto" w:fill="auto"/>
            <w:tcW w:w="4778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Филиал «Пермский» ПАО «Т Плюс»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зона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зона теплоснабжения ПТЭЦ-9, </w:t>
            </w:r>
            <w:r>
              <w:rPr>
                <w:rFonts w:asciiTheme="minorHAnsi" w:hAnsiTheme="minorHAnsi" w:cstheme="minorHAnsi"/>
              </w:rPr>
              <w:t xml:space="preserve">мкр</w:t>
            </w:r>
            <w:r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 xml:space="preserve">Заостровка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вид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Поставка </w:t>
            </w:r>
            <w:r>
              <w:rPr>
                <w:rFonts w:asciiTheme="minorHAnsi" w:hAnsiTheme="minorHAnsi" w:cstheme="minorHAnsi"/>
              </w:rPr>
              <w:t xml:space="preserve">теплоэнергии</w:t>
            </w:r>
            <w:r>
              <w:rPr>
                <w:rFonts w:asciiTheme="minorHAnsi" w:hAnsiTheme="minorHAnsi" w:cstheme="minorHAnsi"/>
              </w:rPr>
              <w:t xml:space="preserve"> (далее – ТЭ)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потребители (ГВС),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1 049,41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1 101,88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1 101,88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1 167,99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1 167,99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1 249,75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1 362,23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1 362,23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1 550,22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население (с НДС),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1 259,29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1 322,26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1 322,26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1 401,59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1 401,59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1 634,68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1 634,68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1 634,68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1 860,26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зона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г. Пермь, за исключением зоны теплоснабжения ПТЭЦ-14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вид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Поставка ТЭ потребителям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потребители (ГВС),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1 185,88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1 217,90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1 217,90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2,7 %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1 266,62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1 266,62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1 355,28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1 477,26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1 477,26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1 681,12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население (с НДС),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1 423,06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1 461,48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1 461,48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2,7 %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1 519,94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1 519,94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1 626,34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1 772,71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1 772,71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2 017,34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зона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г. Пермь, зона теплоснабжения ПТЭЦ-14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вид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Поставка ТЭ потребителям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потребители (ГВС),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1 602,90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1 602,90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1 602,90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0,0 %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1 602,90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0,0 %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1 602,90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0,0 %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1 688,21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5,3 %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1 772,24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1 772,24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1 999,09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население (с НДС),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1 923,48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1 923,48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1 923,48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0,0 %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1 923,48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0,0 %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1 923,48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0,0 %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2 025,85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5,3 %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2 126,69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2 126,69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2 398,91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4"/>
            <w:shd w:val="clear" w:color="auto" w:fill="auto"/>
            <w:tcW w:w="4778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ООО «ПСК» (реорганизовано в форме присоединения к ПАО «Т Плюс» с 01.11.2021)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зона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ООО «ПСК»</w:t>
            </w:r>
            <w:bookmarkStart w:id="75" w:name="_Hlk176272552"/>
            <w:r>
              <w:rPr>
                <w:rFonts w:asciiTheme="minorHAnsi" w:hAnsiTheme="minorHAnsi" w:cstheme="minorHAnsi"/>
                <w:vertAlign w:val="superscript"/>
              </w:rPr>
              <w:t xml:space="preserve">2</w:t>
            </w:r>
            <w:bookmarkEnd w:id="75"/>
            <w:r/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вид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Поставка ТЭ потребителям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потребители (ГВС),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1 630,51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1 944,21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1 688,21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3,5 %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1 688,21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-13,2 %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население (с НДС),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1 956,61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2 333,05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2 025,85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3,5 %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2 025,85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-13,2 %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зона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котельная по адресу: Пермский ГО, ул. Некрасова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вид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Поставка ТЭ потребителям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потребители (ГВС),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1 352,10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1 379,53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1 379,53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1 434,71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население (с НДС),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1 622,52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1 655,44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1 655,44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1 721,65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4"/>
            <w:shd w:val="clear" w:color="auto" w:fill="auto"/>
            <w:tcW w:w="4778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ПАО НПО «Искра»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вид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Поставка ТЭ потребителям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зона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котельная по адресу: город Пермь, ул. Академика Веденеева, потребители, оплачивающие производство и передачу тепловой энергии по сетям ПАО НПО «ИСКРА»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3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потребители (ГВС),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1 143,34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1 155,66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1 155,66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1,1 %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1 234,74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1 234,74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6,8 %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1 321,17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1 440,68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1 440,68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1 638,81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население (с НДС),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1 372,01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1 386,79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1 386,79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1,1 %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1 481,69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1 481,69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6,8 %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1 585,40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1 728,82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1 728,82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1 966,57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зона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котельная по адресу: город Пермь, ул. Академика Веденеева, потребители, оплачивающие производство и передачу тепловой энергии по сетям ПМУП «ГКТХ»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3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потребители (ГВС),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1 323,45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1 340,97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1 340,97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1,3 %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1 427,46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7,6 %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1 427,46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6,4 %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1 577,38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10,5 %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1 664,84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1 664,84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1 894,59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население (с НДС),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1 588,14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1 609,16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1 609,16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1,3 %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1 712,95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7,6 %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1 712,95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6,4 %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1 892,86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ind w:right="-1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10,5 %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1 997,81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1997,81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2 273,51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зона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котельная по адресу: город Пермь, ул. Академика Веденеева, потребители, оплачивающие производство и передачу тепловой энергии по сетям ООО «ПСК»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2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потребители (ГВС),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1 514,59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1 538,05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1 538,05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1,5 %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1 632,43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6,1 %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1 632,43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6,1 %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1 746,70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1 834,04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1 834,04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2 068,80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население (с НДС),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1 817,51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1 845,66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1 845,66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1,5 %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1 958,92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6,1 %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1 958,92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6,1 %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2096,04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2 200,85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2 200,85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2 482,56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зона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котельная по адресу: город Пермь, ул. Академика Веденеева, потребители, оплачивающие производство и передачу тепловой энергии по сетям ООО «ПСК»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2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потребители (ГВС),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1 694,70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1 723,36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1 723,36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1,7 %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1 825,15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5,9 %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1 825,15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5,9 %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1 825,15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0,0 %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1 916,41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1 916,41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2 161,71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население (с НДС),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2 033,64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2 068,03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2 068,03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1,7 %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2 190,18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5,9 %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2 190,18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5,9 %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2 190,18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0,0 %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2 299,69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2 299,69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2 594,05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4"/>
            <w:shd w:val="clear" w:color="auto" w:fill="auto"/>
            <w:tcW w:w="4778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ПМУП «ГКТХ»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зона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ind w:right="-67"/>
              <w:jc w:val="center"/>
              <w:rPr>
                <w:rFonts w:asciiTheme="minorHAnsi" w:hAnsiTheme="minorHAnsi" w:cstheme="minorHAnsi"/>
              </w:rPr>
            </w:pPr>
            <w:r>
              <w:t xml:space="preserve">котельные по адресам: город Пермь, ул. Гашкова, ул. Чапаева, ул. Криворожская, пер. Лесопарковый, ул. Борцов</w:t>
            </w:r>
            <w:r>
              <w:t xml:space="preserve"> Революции, ул. Хабаровская, ул. Хабаровская (ЦТП), ул. Генерала Наумова, ул. Бахаревская, ул. Чусовская, ул. Лепешинской, ул. Белозерская, ул. Маршала Жукова, ул. Журналиста Дементьева; поселок Нижняя Курья; ЦТП по адресам: ул. Гашкова, ул. Целинная, 1-й </w:t>
            </w:r>
            <w:r>
              <w:t xml:space="preserve">Еловский</w:t>
            </w:r>
            <w:r>
              <w:t xml:space="preserve"> переулок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вид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Поставка ТЭ потребителям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потребители (ГВС),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1 615,83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1 676,21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1 676,21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3,7 %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1 743,26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4,0 %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1 743,26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4,0 %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население (с НДС),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1 939,00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2 011,45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2 011,45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3,7 %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2 091,91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4,0 %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2 091,91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4,0 %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зона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котельные по адресам: город Пермь, ул. Гашкова, ул. Хабаровская, ул. Белозерская, ул. Журналиста Дементьева, ЦТП по адресам: ул. Гашкова, ул. Целинная, ул. Хабаровская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вид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Поставка ТЭ потребителям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потребители (ГВС),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asciiTheme="minorHAnsi" w:hAnsiTheme="minorHAnsi" w:cstheme="minorHAnsi"/>
              </w:rPr>
              <w:t xml:space="preserve">-</w:t>
            </w:r>
            <w:r/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asciiTheme="minorHAnsi" w:hAnsiTheme="minorHAnsi" w:cstheme="minorHAnsi"/>
              </w:rPr>
              <w:t xml:space="preserve">-</w:t>
            </w:r>
            <w:r/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asciiTheme="minorHAnsi" w:hAnsiTheme="minorHAnsi" w:cstheme="minorHAnsi"/>
              </w:rPr>
              <w:t xml:space="preserve">-</w:t>
            </w:r>
            <w:r/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asciiTheme="minorHAnsi" w:hAnsiTheme="minorHAnsi" w:cstheme="minorHAnsi"/>
              </w:rPr>
              <w:t xml:space="preserve">-</w:t>
            </w:r>
            <w:r/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asciiTheme="minorHAnsi" w:hAnsiTheme="minorHAnsi" w:cstheme="minorHAnsi"/>
              </w:rPr>
              <w:t xml:space="preserve">-</w:t>
            </w:r>
            <w:r/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asciiTheme="minorHAnsi" w:hAnsiTheme="minorHAnsi" w:cstheme="minorHAnsi"/>
              </w:rPr>
              <w:t xml:space="preserve">-</w:t>
            </w:r>
            <w:r/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asciiTheme="minorHAnsi" w:hAnsiTheme="minorHAnsi" w:cstheme="minorHAnsi"/>
              </w:rPr>
              <w:t xml:space="preserve">-</w:t>
            </w:r>
            <w:r/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asciiTheme="minorHAnsi" w:hAnsiTheme="minorHAnsi" w:cstheme="minorHAnsi"/>
              </w:rPr>
              <w:t xml:space="preserve">-</w:t>
            </w:r>
            <w:r/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1 652,87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-5,2 %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1 910,63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1 910,63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2 162,83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население (с НДС),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asciiTheme="minorHAnsi" w:hAnsiTheme="minorHAnsi" w:cstheme="minorHAnsi"/>
              </w:rPr>
              <w:t xml:space="preserve">-</w:t>
            </w:r>
            <w:r/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asciiTheme="minorHAnsi" w:hAnsiTheme="minorHAnsi" w:cstheme="minorHAnsi"/>
              </w:rPr>
              <w:t xml:space="preserve">-</w:t>
            </w:r>
            <w:r/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asciiTheme="minorHAnsi" w:hAnsiTheme="minorHAnsi" w:cstheme="minorHAnsi"/>
              </w:rPr>
              <w:t xml:space="preserve">-</w:t>
            </w:r>
            <w:r/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asciiTheme="minorHAnsi" w:hAnsiTheme="minorHAnsi" w:cstheme="minorHAnsi"/>
              </w:rPr>
              <w:t xml:space="preserve">-</w:t>
            </w:r>
            <w:r/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asciiTheme="minorHAnsi" w:hAnsiTheme="minorHAnsi" w:cstheme="minorHAnsi"/>
              </w:rPr>
              <w:t xml:space="preserve">-</w:t>
            </w:r>
            <w:r/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asciiTheme="minorHAnsi" w:hAnsiTheme="minorHAnsi" w:cstheme="minorHAnsi"/>
              </w:rPr>
              <w:t xml:space="preserve">-</w:t>
            </w:r>
            <w:r/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asciiTheme="minorHAnsi" w:hAnsiTheme="minorHAnsi" w:cstheme="minorHAnsi"/>
              </w:rPr>
              <w:t xml:space="preserve">-</w:t>
            </w:r>
            <w:r/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asciiTheme="minorHAnsi" w:hAnsiTheme="minorHAnsi" w:cstheme="minorHAnsi"/>
              </w:rPr>
              <w:t xml:space="preserve">-</w:t>
            </w:r>
            <w:r/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1 983,44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-5,2 %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2 292,76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2 292,76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2 595,40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зона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котельная по адресу: город Пермь, котельная Западная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2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вид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Поставка ТЭ потребителям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потребители (ГВС),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1 275,78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1 339,57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1 339,57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1 419,95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1 419,95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1 558,65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9,8 %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1 640,61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1 640,61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1 867,01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население (с НДС),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1 530,94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1 607,48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1 607,48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1 703,94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1 703,94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1 870,38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9,8 %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1 968,73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1 968,73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2 240,41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зона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потребители, подключенные к тепловой сети по адресу: г. Пермь, начало – ул. Докучаева, конец – жилые дома по ул. Докучаева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вид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Поставка ТЭ потребителям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потребители (ГВС),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979,25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1 354,45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1 354,45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ind w:left="-55" w:right="-45"/>
              <w:jc w:val="center"/>
              <w:rPr>
                <w:rFonts w:asciiTheme="minorHAnsi" w:hAnsiTheme="minorHAnsi" w:cstheme="minorHAnsi"/>
              </w:rPr>
            </w:pPr>
            <w:r>
              <w:t xml:space="preserve">37,4 %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1 435,72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6,0 %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1 435,72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6,0 %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1 288,89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-10,2 %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1 291,92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1 291,92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1 423,70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население (с НДС),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1 175,10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1 625,34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1 625,34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ind w:left="-55" w:right="-45"/>
              <w:jc w:val="center"/>
              <w:rPr>
                <w:rFonts w:asciiTheme="minorHAnsi" w:hAnsiTheme="minorHAnsi" w:cstheme="minorHAnsi"/>
              </w:rPr>
            </w:pPr>
            <w:r>
              <w:t xml:space="preserve">37,4 %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1 722,86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6,0 %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1 722,86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6,0 %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1 546,67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-10,2 %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1 550,30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1 550,30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1 708,44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зона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котельная БМК, г. Пермь, ул. Казахская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вид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Поставка ТЭ потребителям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потребители (ГВС),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1 283,14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1 283,14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1 359,50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6,0 %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1 359,50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6,0 %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1 488,71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9,5 %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1 622,69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1 622,69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1 836,89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население (с НДС),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1 539,77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1 539,77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1 631,40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6,0 %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1 631,40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6,0 %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1 786,45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9,5 %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1 947,23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1 947,23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2 204,27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зона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г. Пермь, ул. Сергея </w:t>
            </w:r>
            <w:r>
              <w:rPr>
                <w:rFonts w:asciiTheme="minorHAnsi" w:hAnsiTheme="minorHAnsi" w:cstheme="minorHAnsi"/>
              </w:rPr>
              <w:t xml:space="preserve">Данщина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вид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Поставка ТЭ потребителям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потребители (ГВС),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1 427,12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1 427,12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1 452,89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1,8 %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1 452,89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1,8 %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1 498,19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3,1 %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1 300,0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1 300,00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1 471,60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население (с НДС),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1 712,54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1 712,54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1 743,47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1,8 %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1 743,47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1,8 %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1 797,83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3,1 %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1 560,64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1 560,00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1 765,92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4"/>
            <w:shd w:val="clear" w:color="auto" w:fill="auto"/>
            <w:tcW w:w="4778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АО «ПЗСП»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зона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котельная по адресу: Пермский ГО, ул. </w:t>
            </w:r>
            <w:r>
              <w:rPr>
                <w:rFonts w:asciiTheme="minorHAnsi" w:hAnsiTheme="minorHAnsi" w:cstheme="minorHAnsi"/>
              </w:rPr>
              <w:t xml:space="preserve">Баранчинская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вид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Поставка ТЭ потребителям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потребители (ГВС),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1 523,50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1 557,00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1 557,00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2,2 %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1 631,75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4,8 %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1 631,75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4,8 %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1 752,87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7,4 %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1 679,25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1 679,25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1 718,50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население (с НДС),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1 828,20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1 868,40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1 868,40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2,2 %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1 958,10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4,8 %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1 958,10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4,8 %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2 103,44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7,4 %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2 015,10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2 015,10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2 062,20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зона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котельная по адресу: Пермский ГО, ул. Докучаева, ул. </w:t>
            </w:r>
            <w:r>
              <w:rPr>
                <w:rFonts w:asciiTheme="minorHAnsi" w:hAnsiTheme="minorHAnsi" w:cstheme="minorHAnsi"/>
              </w:rPr>
              <w:t xml:space="preserve">Костычева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вид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Поставка ТЭ потребителям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потребители (ГВС), </w:t>
            </w:r>
            <w:r>
              <w:rPr>
                <w:rFonts w:asciiTheme="minorHAnsi" w:hAnsiTheme="minorHAnsi" w:cstheme="minorHAnsi"/>
              </w:rPr>
              <w:t xml:space="preserve">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1 262,00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1 280,25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1 280,25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1,4 %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1 335,50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4,3 %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1 335,50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4,3 %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1 467,68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9,9 %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1 291,92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1 291,92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население (с НДС),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1 514,40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1 536,30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1 536,30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1,4 %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1 602,60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4,3 %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1 602,60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4,3 %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1 761,22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9,9 %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1 550,30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1 550,30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зона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котельная по адресу: Пермский ГО, ул. Менжинского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вид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Поставка ТЭ потребителям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потребители (ГВС),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1 460,00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1 484,90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1 484,90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1,7 %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1 506,50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1,5 %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1 506,50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1,5 %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1 651,73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9,6 %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население (с НДС),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1 752,00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1 781,88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1 781,88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1,7 %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1 807,80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1,5 %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1 807,80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1,5 %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1 982,08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9,6 %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4"/>
            <w:shd w:val="clear" w:color="auto" w:fill="auto"/>
            <w:tcW w:w="4778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Пермский ТУ Свердловской дирекции по ТВ ЦДТВ – филиала ОАО «РЖД»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вид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Поставка ТЭ потребителям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зона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город Пермь, котельная Восточная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потребители (ГВС),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1 457,44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1 398,20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1 398,20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-4,1 %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1 423,22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1,8 %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1 423,22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1,8 %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1 561,28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9,7 %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1 478,06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1 478,06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1 682,03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зона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город Пермь, котельная Блочная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потребители (ГВС),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1 162,83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1 174,76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1 174,76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1 226,82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4,4 %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1 226,82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4,4 %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1 371,27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ind w:right="-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11,8 %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население (с НДС),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1 395,39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1 409,71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1 409,71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1 472,18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4,4 %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1 472,18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4,4 %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1 645,52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ind w:left="-55" w:right="-11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11,8 %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зона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котельная Боровая-4 по адресу: город Пермь, ул. Василия Каменского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вид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Поставка ТЭ потребителям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потребители (ГВС),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1 143,53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1 143,82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1 143,82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0,0 %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1 209,84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5,8 %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1 209,84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5,8 %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1 242,15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2,7 %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1 285,64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1 285,64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население (с НДС),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1 372,24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1 372,58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1 372,58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0,0 %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1 451,81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5,8 %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1 451,81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5,8 %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1 490,58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2,7 %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1 542,77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1 542,77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4"/>
            <w:shd w:val="clear" w:color="auto" w:fill="auto"/>
            <w:tcW w:w="4778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ООО «СК Вышка-2»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зона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котельная по адресу: город Пермь, ул. Кузнецкая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вид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Поставка ТЭ потребителям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потребители (ГВС),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1 619,25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1 663,83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1 663,83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2,8 %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1 751,75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5,3 %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1 751,75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5,3 %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1 752,87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0,1 %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1 910,63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1 910,63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население (с НДС),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1 943,10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1 996,60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1 996,60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2,8 %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2 102,10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5,3 %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2 102,10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5,3 %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2 103,44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0,1 %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2 292,76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2 292,76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4"/>
            <w:shd w:val="clear" w:color="auto" w:fill="auto"/>
            <w:tcW w:w="4778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ООО «ГЭК»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зона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котельная по адресу: Пермский ГО, ул. Бумажников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вид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Поставка ТЭ потребителям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потребители (ГВС),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1 466,75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1 510,65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1 510,65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1 515,63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0,3 %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1 515,63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0,3 %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1 658,39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9,4 %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население (с НДС),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1 760,10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1 812,78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1 812,78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1 818,76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0,3 %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1 818,76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0,3 %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1 990,07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9,4 %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4"/>
            <w:shd w:val="clear" w:color="auto" w:fill="auto"/>
            <w:tcW w:w="4778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t xml:space="preserve">ФГАОУ ВО «ПНИПУ»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зона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котельная по адресу: Пермский ГО, ул. Профессора </w:t>
            </w:r>
            <w:r>
              <w:rPr>
                <w:rFonts w:asciiTheme="minorHAnsi" w:hAnsiTheme="minorHAnsi" w:cstheme="minorHAnsi"/>
              </w:rPr>
              <w:t xml:space="preserve">Дедюкина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вид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Поставка ТЭ потребителям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потребители (ГВС),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1 273,12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1 302,02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1 302,02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2,8 %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1 336,94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2,7 %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1 336,94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2,7 %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1 468,96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9,9 %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население (с НДС),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1 527,74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1 562,42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1 562,42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2,8 %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1 604,33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2,7 %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1 604,33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2,7 %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1 762,75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9,9 %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4"/>
            <w:shd w:val="clear" w:color="auto" w:fill="auto"/>
            <w:tcW w:w="4778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АО «</w:t>
            </w:r>
            <w:r>
              <w:rPr>
                <w:rFonts w:asciiTheme="minorHAnsi" w:hAnsiTheme="minorHAnsi" w:cstheme="minorHAnsi"/>
              </w:rPr>
              <w:t xml:space="preserve">Новомет</w:t>
            </w:r>
            <w:r>
              <w:rPr>
                <w:rFonts w:asciiTheme="minorHAnsi" w:hAnsiTheme="minorHAnsi" w:cstheme="minorHAnsi"/>
              </w:rPr>
              <w:t xml:space="preserve">-Пермь»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зона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котельная по адресу: Пермский ГО, шоссе Космонавтов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вид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Поставка ТЭ потребителям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потребители (ГВС),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1 405,00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1 443,75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1 443,75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2,8 %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1 476,92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2,3 %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1 476,92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2,3 %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1 629,99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ind w:left="-55" w:right="-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10,4 %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население (с НДС),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1 686,00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1 732,50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1 732,50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2,8 %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1 772,30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2,3 %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1 772,30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2,3 %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1 955,99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ind w:left="-55" w:right="-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10,4 %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4"/>
            <w:shd w:val="clear" w:color="auto" w:fill="auto"/>
            <w:tcW w:w="4778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ООО «</w:t>
            </w:r>
            <w:r>
              <w:rPr>
                <w:rFonts w:asciiTheme="minorHAnsi" w:hAnsiTheme="minorHAnsi" w:cstheme="minorHAnsi"/>
              </w:rPr>
              <w:t xml:space="preserve">Тимсервис</w:t>
            </w:r>
            <w:r>
              <w:rPr>
                <w:rFonts w:asciiTheme="minorHAnsi" w:hAnsiTheme="minorHAnsi" w:cstheme="minorHAnsi"/>
              </w:rPr>
              <w:t xml:space="preserve">»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зона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котельная по адресу: город Пермь, ул. Левитана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вид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Поставка ТЭ потребителям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потребители (ГВС),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1 576,40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1 576,40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1 576,40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0,0 %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1 639,46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1 639,46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1 752,87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6,9 %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1 826,48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население (с НДС),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1 891,68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1 891,68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1 891,68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0,0 %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1 967,35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1 967,35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2 103,44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6,9 %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2 191,78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зона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котельная по адресу: Пермский ГО, ул. Делегатская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вид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Поставка ТЭ потребителям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потребители (ГВС),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1 298,95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1 331,43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1 331,43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2,5 %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1 384,69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1 384,69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1 510,72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9,1 %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1 451,24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1 451,24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1 493,18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население (с НДС),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1 558,74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1 597,72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1 597,72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2,5 %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1 661,63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1 661,63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1 812,86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9,1 %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1 741,49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1 741,49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1 791,82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4"/>
            <w:shd w:val="clear" w:color="auto" w:fill="auto"/>
            <w:tcW w:w="4778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ООО «НОВОГОР-</w:t>
            </w:r>
            <w:r>
              <w:rPr>
                <w:rFonts w:asciiTheme="minorHAnsi" w:hAnsiTheme="minorHAnsi" w:cstheme="minorHAnsi"/>
              </w:rPr>
              <w:t xml:space="preserve">Прикамье</w:t>
            </w:r>
            <w:r>
              <w:rPr>
                <w:rFonts w:asciiTheme="minorHAnsi" w:hAnsiTheme="minorHAnsi" w:cstheme="minorHAnsi"/>
              </w:rPr>
              <w:t xml:space="preserve">»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зона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котельная по адресу: город Пермь, 1-й Павловский проезд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вид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Поставка ТЭ потребителям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потребители (ГВС),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1 685,73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1 736,30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1 736,30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1 805,75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1 805,75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1 805,75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0,0 %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население (с НДС),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2 022,88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2 083,56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2 083,56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2 166,90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2 166,90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2 166,90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0,0 %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4"/>
            <w:shd w:val="clear" w:color="auto" w:fill="auto"/>
            <w:tcW w:w="4778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ФКУ «ИК-32 ГУФСИН России по Пермскому краю»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зона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котельная по адресу: город Пермь, ул. Докучаева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вид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Поставка ТЭ потребителям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потребители (ГВС),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1 066,90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1 122,21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1 122,21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5,2 %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1 135,30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1,2 %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1 135,30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1,2 %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1 288,89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ind w:left="-55" w:right="-3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13,5 %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1 194,91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1 194,91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1 253,77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4"/>
            <w:shd w:val="clear" w:color="auto" w:fill="auto"/>
            <w:tcW w:w="4778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АО «</w:t>
            </w:r>
            <w:r>
              <w:rPr>
                <w:rFonts w:asciiTheme="minorHAnsi" w:hAnsiTheme="minorHAnsi" w:cstheme="minorHAnsi"/>
              </w:rPr>
              <w:t xml:space="preserve">СтройПанельКомплект</w:t>
            </w:r>
            <w:r>
              <w:rPr>
                <w:rFonts w:asciiTheme="minorHAnsi" w:hAnsiTheme="minorHAnsi" w:cstheme="minorHAnsi"/>
              </w:rPr>
              <w:t xml:space="preserve">» (до 2019 г. – ОАО «</w:t>
            </w:r>
            <w:r>
              <w:rPr>
                <w:rFonts w:asciiTheme="minorHAnsi" w:hAnsiTheme="minorHAnsi" w:cstheme="minorHAnsi"/>
              </w:rPr>
              <w:t xml:space="preserve">СтройПанельКомплект</w:t>
            </w:r>
            <w:r>
              <w:rPr>
                <w:rFonts w:asciiTheme="minorHAnsi" w:hAnsiTheme="minorHAnsi" w:cstheme="minorHAnsi"/>
              </w:rPr>
              <w:t xml:space="preserve">»)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зона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котельная по адресу: г. Пермь, ул. Целинная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вид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Поставка ТЭ потребителям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потребители (ГВС),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1 579,27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1 579,27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1 579,27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1 607,96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1,8 %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1 607,96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1,8 %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1 752,87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1 750,84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1 750,84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1 667,70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население (с НДС),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1 895,12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1 895,12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1 895,12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1 929,56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1,8 %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1 929,56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1,8 %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2 103,44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2 101,00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2 101,00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2 001,24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зона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котельная по адресу: г. Пермь, ул. Ракитная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вид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Поставка ТЭ потребителям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потребители (ГВС),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1 552,72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1 557,82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1 557,82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0,3 %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1 563,76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0,4 %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1 563,76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0,4 %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1 728,98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ind w:left="-55" w:right="-4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10,6 %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1 668,43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1 668,43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1 743,89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население (с НДС),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1 863,26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1 869,38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1 869,38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0,3 %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1 876,51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0,4 %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1 876,51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0,4 %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2 074,78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ind w:left="-55" w:right="-4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10,6 %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2 002,12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2 002,12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2 092,67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4"/>
            <w:shd w:val="clear" w:color="auto" w:fill="auto"/>
            <w:tcW w:w="4778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ФКП «Пермский пороховой завод»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зона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Пермский ГО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вид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Поставка ТЭ потребителям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потребители (ГВС),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1 375,52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1 386,54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1 386,54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0,8 %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1 462,56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5,5 %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1 462,56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5,5 %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1 619,37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ind w:left="-72" w:right="-4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11,5 %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4"/>
            <w:shd w:val="clear" w:color="auto" w:fill="auto"/>
            <w:tcW w:w="4778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АО «Газпром газораспределение Пермь»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зона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Пермский ГО, котельная по адресу: ул. Советская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вид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Поставка ТЭ потребителям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потребители (ГВС),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1 497,80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1 544,59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1 544,59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3,1 %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1 568,10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1,5 %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1 568,10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1,5 %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1 628,74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3,9 %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1 637,73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4"/>
            <w:shd w:val="clear" w:color="auto" w:fill="auto"/>
            <w:tcW w:w="4778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АО «</w:t>
            </w:r>
            <w:r>
              <w:rPr>
                <w:rFonts w:asciiTheme="minorHAnsi" w:hAnsiTheme="minorHAnsi" w:cstheme="minorHAnsi"/>
              </w:rPr>
              <w:t xml:space="preserve">Держава-М</w:t>
            </w:r>
            <w:r>
              <w:rPr>
                <w:rFonts w:asciiTheme="minorHAnsi" w:hAnsiTheme="minorHAnsi" w:cstheme="minorHAnsi"/>
              </w:rPr>
              <w:t xml:space="preserve">»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зона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котельная по адресу: Пермский ГО, ул. Василия Васильева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вид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Поставка ТЭ потребителям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потребители (ГВС),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1 412,74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1 552,83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9,9 %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4"/>
            <w:shd w:val="clear" w:color="auto" w:fill="auto"/>
            <w:tcW w:w="4778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ФКУ «ИК-29 ГУФСИН России по Пермскому краю»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зона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котельная по адресу: Пермский ГО, ул. Соликамская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вид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Поставка ТЭ потребителям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потребители (ГВС),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1 431,70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1 431,70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1 377,80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-3,8 %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1 377,80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-3,8 %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1 377,80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0,0 %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1 504,66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9,2 %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4"/>
            <w:shd w:val="clear" w:color="auto" w:fill="auto"/>
            <w:tcW w:w="4778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АО «Пермский завод «Машиностроитель»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зона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котельная по адресу: Пермский ГО, ул. </w:t>
            </w:r>
            <w:r>
              <w:rPr>
                <w:rFonts w:asciiTheme="minorHAnsi" w:hAnsiTheme="minorHAnsi" w:cstheme="minorHAnsi"/>
              </w:rPr>
              <w:t xml:space="preserve">Новозвягинская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вид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Поставка ТЭ потребителям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потребители (ГВС),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1 151,75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1 184,19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1 184,19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2,8 %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1 223,55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3,3 %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1 223,55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3,3 %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1 368,31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ind w:left="-55"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11,8 %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4"/>
            <w:shd w:val="clear" w:color="auto" w:fill="auto"/>
            <w:tcW w:w="4778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АО «Протон-ПМ»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зона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котельная по адресу: г. Пермь, п. Новые </w:t>
            </w:r>
            <w:r>
              <w:rPr>
                <w:rFonts w:asciiTheme="minorHAnsi" w:hAnsiTheme="minorHAnsi" w:cstheme="minorHAnsi"/>
              </w:rPr>
              <w:t xml:space="preserve">Ляды</w:t>
            </w:r>
            <w:r>
              <w:rPr>
                <w:rFonts w:asciiTheme="minorHAnsi" w:hAnsiTheme="minorHAnsi" w:cstheme="minorHAnsi"/>
              </w:rPr>
              <w:t xml:space="preserve">, испытательный полигон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вид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Поставка ТЭ потребителям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потребители (ГВС),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1 649,87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1 752,75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6,2 %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4"/>
            <w:shd w:val="clear" w:color="auto" w:fill="auto"/>
            <w:tcW w:w="4778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АО «</w:t>
            </w:r>
            <w:r>
              <w:rPr>
                <w:rFonts w:asciiTheme="minorHAnsi" w:hAnsiTheme="minorHAnsi" w:cstheme="minorHAnsi"/>
              </w:rPr>
              <w:t xml:space="preserve">Сибур</w:t>
            </w:r>
            <w:r>
              <w:rPr>
                <w:rFonts w:asciiTheme="minorHAnsi" w:hAnsiTheme="minorHAnsi" w:cstheme="minorHAnsi"/>
              </w:rPr>
              <w:t xml:space="preserve">-Химпром»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зона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котельная по адресу: Пермский ГО, ул. Промышленная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вид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Поставка ТЭ потребителям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потребители (ГВС),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1 077,29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1 235,89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ind w:right="-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14,7 %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4"/>
            <w:shd w:val="clear" w:color="auto" w:fill="auto"/>
            <w:tcW w:w="4778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АО «Сорбент»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зона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Пермский ГО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вид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Поставка ТЭ потребителям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потребители (ГВС), </w:t>
            </w:r>
            <w:r>
              <w:rPr>
                <w:rFonts w:asciiTheme="minorHAnsi" w:hAnsiTheme="minorHAnsi" w:cstheme="minorHAnsi"/>
              </w:rPr>
              <w:t xml:space="preserve">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1 821,55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1 921,30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1 921,30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5,5 %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2 168,29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ind w:left="-73" w:right="-10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12,9 %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4"/>
            <w:shd w:val="clear" w:color="auto" w:fill="auto"/>
            <w:tcW w:w="4778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АО «ФПК» Уральский филиал «Пассажирское вагонное депо»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зона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Пермский ГО, котельная по адресу: ул. </w:t>
            </w:r>
            <w:r>
              <w:rPr>
                <w:rFonts w:asciiTheme="minorHAnsi" w:hAnsiTheme="minorHAnsi" w:cstheme="minorHAnsi"/>
              </w:rPr>
              <w:t xml:space="preserve">Генкеля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вид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Поставка ТЭ потребителям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потребители (ГВС),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2 550,00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2 727,00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2 299,75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-9,8 %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2 299,75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-15,7 %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4"/>
            <w:shd w:val="clear" w:color="auto" w:fill="auto"/>
            <w:tcW w:w="4778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ОАО «Центральный </w:t>
            </w:r>
            <w:r>
              <w:rPr>
                <w:rFonts w:asciiTheme="minorHAnsi" w:hAnsiTheme="minorHAnsi" w:cstheme="minorHAnsi"/>
              </w:rPr>
              <w:t xml:space="preserve">агроснаб</w:t>
            </w:r>
            <w:r>
              <w:rPr>
                <w:rFonts w:asciiTheme="minorHAnsi" w:hAnsiTheme="minorHAnsi" w:cstheme="minorHAnsi"/>
              </w:rPr>
              <w:t xml:space="preserve">»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зона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котельная по адресу: город Пермь, ул. Докучаева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вид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Поставка ТЭ потребителям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потребители (ГВС),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1 717,82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1 748,49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1 748,49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1,8 %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1 833,52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4,9 %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1 833,52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4,9 %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1 833,52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0,0 %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4"/>
            <w:shd w:val="clear" w:color="auto" w:fill="auto"/>
            <w:tcW w:w="4778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Филиал «</w:t>
            </w:r>
            <w:r>
              <w:rPr>
                <w:rFonts w:asciiTheme="minorHAnsi" w:hAnsiTheme="minorHAnsi" w:cstheme="minorHAnsi"/>
              </w:rPr>
              <w:t xml:space="preserve">ЗиД</w:t>
            </w:r>
            <w:r>
              <w:rPr>
                <w:rFonts w:asciiTheme="minorHAnsi" w:hAnsiTheme="minorHAnsi" w:cstheme="minorHAnsi"/>
              </w:rPr>
              <w:t xml:space="preserve">» АО «НПО «</w:t>
            </w:r>
            <w:r>
              <w:rPr>
                <w:rFonts w:asciiTheme="minorHAnsi" w:hAnsiTheme="minorHAnsi" w:cstheme="minorHAnsi"/>
              </w:rPr>
              <w:t xml:space="preserve">Курганприбор</w:t>
            </w:r>
            <w:r>
              <w:rPr>
                <w:rFonts w:asciiTheme="minorHAnsi" w:hAnsiTheme="minorHAnsi" w:cstheme="minorHAnsi"/>
              </w:rPr>
              <w:t xml:space="preserve">» г. Пермь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зона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котельная по адресу: Пермский ГО, ул. Лесозаводская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вид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Поставка ТЭ потребителям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потребители (ГВС),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2 233,88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2 366,26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2 370,70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0,2 %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2 370,70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2 370,70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2 507,26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4"/>
            <w:shd w:val="clear" w:color="auto" w:fill="auto"/>
            <w:tcW w:w="4778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ООО «Пермский битумный завод» (до 2019 г. – ООО «</w:t>
            </w:r>
            <w:r>
              <w:rPr>
                <w:rFonts w:asciiTheme="minorHAnsi" w:hAnsiTheme="minorHAnsi" w:cstheme="minorHAnsi"/>
              </w:rPr>
              <w:t xml:space="preserve">ЭнергоТепловая</w:t>
            </w:r>
            <w:r>
              <w:rPr>
                <w:rFonts w:asciiTheme="minorHAnsi" w:hAnsiTheme="minorHAnsi" w:cstheme="minorHAnsi"/>
              </w:rPr>
              <w:t xml:space="preserve"> Компания»)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зона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котельная по адресу: город Пермь, ул. Деревообделочная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вид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Поставка ТЭ потребителям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потребители (ГВ),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1 998,93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2 064,14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2 064,14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3,3 %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2 141,44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3,7 %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2 141,44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3,7 %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2 141,44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0,0 %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4"/>
            <w:shd w:val="clear" w:color="auto" w:fill="auto"/>
            <w:tcW w:w="4778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ООО «РЭМ-сервис»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зона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котельная по адресу: Пермский ГО, ул. Верхне-</w:t>
            </w:r>
            <w:r>
              <w:rPr>
                <w:rFonts w:asciiTheme="minorHAnsi" w:hAnsiTheme="minorHAnsi" w:cstheme="minorHAnsi"/>
              </w:rPr>
              <w:t xml:space="preserve">Муллинская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вид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Поставка ТЭ потребителям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потребители (ГВС),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1 657,64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1 672,82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1 672,82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0,9 %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1 766,24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5,6 %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1 766,24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5,6 %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1 766,24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0,0 %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1 839,88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1 839,88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4"/>
            <w:shd w:val="clear" w:color="auto" w:fill="auto"/>
            <w:tcW w:w="4778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АО «Пермский мукомольный завод»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зона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котельная по адресу: г. Пермь, ул. Сергея </w:t>
            </w:r>
            <w:r>
              <w:rPr>
                <w:rFonts w:asciiTheme="minorHAnsi" w:hAnsiTheme="minorHAnsi" w:cstheme="minorHAnsi"/>
              </w:rPr>
              <w:t xml:space="preserve">Данщина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вид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Поставка ТЭ потребителям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потребители (ГВС),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1 227,92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1 227,92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1 233,04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0,4 %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1 233,04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1 417,00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1 417,00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4"/>
            <w:shd w:val="clear" w:color="auto" w:fill="auto"/>
            <w:tcW w:w="4778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ООО «Специализированный застройщик «</w:t>
            </w:r>
            <w:r>
              <w:rPr>
                <w:rFonts w:asciiTheme="minorHAnsi" w:hAnsiTheme="minorHAnsi" w:cstheme="minorHAnsi"/>
              </w:rPr>
              <w:t xml:space="preserve">Экопарк</w:t>
            </w:r>
            <w:r>
              <w:rPr>
                <w:rFonts w:asciiTheme="minorHAnsi" w:hAnsiTheme="minorHAnsi" w:cstheme="minorHAnsi"/>
              </w:rPr>
              <w:t xml:space="preserve">»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зона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котельная по адресу: г. Пермь, ул. Борцов Революции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вид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Поставка ТЭ потребителям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потребители (ГВС),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1 553,85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1 660,61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население (с НДС),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1 864,62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1 992,73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4"/>
            <w:shd w:val="clear" w:color="auto" w:fill="auto"/>
            <w:tcW w:w="4778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ООО «ПЭРК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зона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котельная, Пермский ГО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вид деятельности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13"/>
            <w:shd w:val="clear" w:color="auto" w:fill="auto"/>
            <w:tcW w:w="40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Поставка ТЭ потребителям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потребители (ГВС),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1 648,99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1 851,80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6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население (с НДС), руб./Гкал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3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1 978,79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2 222,16</w:t>
            </w:r>
            <w:r>
              <w:rPr>
                <w:rFonts w:asciiTheme="minorHAnsi" w:hAnsiTheme="minorHAnsi" w:cstheme="minorHAnsi"/>
              </w:rPr>
            </w:r>
          </w:p>
        </w:tc>
      </w:tr>
    </w:tbl>
    <w:p>
      <w:pPr>
        <w:pStyle w:val="1570"/>
        <w:jc w:val="left"/>
        <w:rPr>
          <w:rFonts w:asciiTheme="minorHAnsi" w:hAnsiTheme="minorHAnsi" w:cstheme="minorHAnsi"/>
          <w:i/>
          <w:iCs w:val="0"/>
          <w:sz w:val="28"/>
          <w:szCs w:val="28"/>
        </w:rPr>
      </w:pPr>
      <w:r>
        <w:rPr>
          <w:rFonts w:asciiTheme="minorHAnsi" w:hAnsiTheme="minorHAnsi" w:cstheme="minorHAnsi"/>
          <w:i/>
          <w:iCs w:val="0"/>
          <w:sz w:val="28"/>
          <w:szCs w:val="28"/>
        </w:rPr>
      </w:r>
      <w:r>
        <w:rPr>
          <w:rFonts w:asciiTheme="minorHAnsi" w:hAnsiTheme="minorHAnsi" w:cstheme="minorHAnsi"/>
          <w:i/>
          <w:iCs w:val="0"/>
          <w:sz w:val="28"/>
          <w:szCs w:val="28"/>
        </w:rPr>
      </w:r>
    </w:p>
    <w:p>
      <w:pPr>
        <w:pStyle w:val="1570"/>
        <w:jc w:val="left"/>
        <w:rPr>
          <w:rFonts w:asciiTheme="minorHAnsi" w:hAnsiTheme="minorHAnsi" w:cstheme="minorHAnsi"/>
          <w:i/>
          <w:iCs w:val="0"/>
          <w:sz w:val="28"/>
          <w:szCs w:val="28"/>
        </w:rPr>
      </w:pPr>
      <w:r/>
      <w:bookmarkStart w:id="76" w:name="_Hlk176272875"/>
      <w:r>
        <w:rPr>
          <w:rFonts w:asciiTheme="minorHAnsi" w:hAnsiTheme="minorHAnsi" w:cstheme="minorHAnsi"/>
          <w:i/>
          <w:iCs w:val="0"/>
          <w:sz w:val="28"/>
          <w:szCs w:val="28"/>
        </w:rPr>
        <w:t xml:space="preserve">---------------------------</w:t>
      </w:r>
      <w:r>
        <w:rPr>
          <w:rFonts w:asciiTheme="minorHAnsi" w:hAnsiTheme="minorHAnsi" w:cstheme="minorHAnsi"/>
          <w:i/>
          <w:iCs w:val="0"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1. Рост к предыдущему году.</w:t>
      </w:r>
      <w:r>
        <w:rPr>
          <w:rFonts w:asciiTheme="minorHAnsi" w:hAnsiTheme="minorHAnsi" w:cstheme="minorHAnsi"/>
          <w:szCs w:val="24"/>
        </w:rPr>
      </w:r>
    </w:p>
    <w:p>
      <w:pPr>
        <w:pStyle w:val="1570"/>
        <w:rPr>
          <w:rFonts w:asciiTheme="minorHAnsi" w:hAnsiTheme="minorHAnsi" w:cstheme="minorHAnsi"/>
          <w:szCs w:val="24"/>
        </w:rPr>
      </w:pPr>
      <w:r/>
      <w:bookmarkStart w:id="77" w:name="_Hlk176272671"/>
      <w:r>
        <w:rPr>
          <w:rFonts w:asciiTheme="minorHAnsi" w:hAnsiTheme="minorHAnsi" w:cstheme="minorHAnsi"/>
          <w:szCs w:val="24"/>
        </w:rPr>
        <w:t xml:space="preserve">2.</w:t>
      </w:r>
      <w:bookmarkStart w:id="78" w:name="_Hlk176272593"/>
      <w:r>
        <w:rPr>
          <w:rFonts w:asciiTheme="minorHAnsi" w:hAnsiTheme="minorHAnsi" w:cstheme="minorHAnsi"/>
          <w:szCs w:val="24"/>
        </w:rPr>
        <w:t xml:space="preserve"> </w:t>
      </w:r>
      <w:bookmarkEnd w:id="78"/>
      <w:r>
        <w:rPr>
          <w:rFonts w:asciiTheme="minorHAnsi" w:hAnsiTheme="minorHAnsi" w:cstheme="minorHAnsi"/>
          <w:szCs w:val="24"/>
        </w:rPr>
        <w:t xml:space="preserve">Реорганизовано в форме присоединения к ПАО «Т Плюс» с 01.11.2021 (за исключением зоны теплоснабжения ПТЭЦ-14 ПАО «Т Плюс», филиал «Пермский»).</w:t>
      </w:r>
      <w:bookmarkEnd w:id="77"/>
      <w:r/>
      <w:r>
        <w:rPr>
          <w:rFonts w:asciiTheme="minorHAnsi" w:hAnsiTheme="minorHAnsi" w:cstheme="minorHAnsi"/>
          <w:szCs w:val="24"/>
        </w:rPr>
      </w:r>
    </w:p>
    <w:p>
      <w:pPr>
        <w:pStyle w:val="157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3. Перевод нагрузок на другие источники тепловой энергии. </w:t>
      </w:r>
      <w:r>
        <w:rPr>
          <w:rFonts w:asciiTheme="minorHAnsi" w:hAnsiTheme="minorHAnsi" w:cstheme="minorHAnsi"/>
          <w:szCs w:val="24"/>
        </w:rPr>
      </w:r>
    </w:p>
    <w:p>
      <w:pPr>
        <w:pStyle w:val="1570"/>
        <w:rPr>
          <w:rFonts w:asciiTheme="minorHAnsi" w:hAnsiTheme="minorHAnsi" w:cstheme="minorHAnsi"/>
          <w:iCs w:val="0"/>
        </w:rPr>
      </w:pPr>
      <w:r>
        <w:rPr>
          <w:rFonts w:asciiTheme="minorHAnsi" w:hAnsiTheme="minorHAnsi" w:cstheme="minorHAnsi"/>
          <w:szCs w:val="24"/>
        </w:rPr>
        <w:t xml:space="preserve">Примечание. </w:t>
      </w:r>
      <w:r>
        <w:rPr>
          <w:rFonts w:asciiTheme="minorHAnsi" w:hAnsiTheme="minorHAnsi" w:cstheme="minorHAnsi"/>
        </w:rPr>
        <w:t xml:space="preserve">Источники информации – постановления Министерства тарифного регулирования и энергетики Пермского края </w:t>
      </w:r>
      <w:r>
        <w:rPr>
          <w:iCs w:val="0"/>
        </w:rPr>
        <w:t xml:space="preserve">об утверждении тарифов на тепловую энергию (мощность), поставляемую потребителям теплоснабжающими организациями согласно схеме теплоснабжения в административных границах города Перми</w:t>
      </w:r>
      <w:r>
        <w:rPr>
          <w:rFonts w:asciiTheme="minorHAnsi" w:hAnsiTheme="minorHAnsi" w:cstheme="minorHAnsi"/>
          <w:iCs w:val="0"/>
        </w:rPr>
        <w:t xml:space="preserve">.</w:t>
      </w:r>
      <w:r>
        <w:rPr>
          <w:rFonts w:asciiTheme="minorHAnsi" w:hAnsiTheme="minorHAnsi" w:cstheme="minorHAnsi"/>
          <w:iCs w:val="0"/>
        </w:rPr>
      </w:r>
    </w:p>
    <w:p>
      <w:pPr>
        <w:spacing w:after="200" w:line="276" w:lineRule="auto"/>
        <w:rPr>
          <w:rFonts w:asciiTheme="minorHAnsi" w:hAnsiTheme="minorHAnsi" w:eastAsiaTheme="minorHAnsi" w:cstheme="minorHAnsi"/>
          <w:iCs/>
          <w:szCs w:val="26"/>
          <w:lang w:eastAsia="en-US"/>
        </w:rPr>
      </w:pPr>
      <w:r>
        <w:rPr>
          <w:rFonts w:asciiTheme="minorHAnsi" w:hAnsiTheme="minorHAnsi" w:cstheme="minorHAnsi"/>
        </w:rPr>
        <w:br w:type="page" w:clear="all"/>
      </w:r>
      <w:r>
        <w:rPr>
          <w:rFonts w:asciiTheme="minorHAnsi" w:hAnsiTheme="minorHAnsi" w:eastAsiaTheme="minorHAnsi" w:cstheme="minorHAnsi"/>
          <w:iCs/>
          <w:szCs w:val="26"/>
          <w:lang w:eastAsia="en-US"/>
        </w:rPr>
      </w:r>
    </w:p>
    <w:p>
      <w:pPr>
        <w:pStyle w:val="1570"/>
        <w:ind w:right="111" w:firstLine="0"/>
        <w:jc w:val="right"/>
        <w:rPr>
          <w:b/>
          <w:bCs/>
          <w:sz w:val="28"/>
          <w:szCs w:val="28"/>
        </w:rPr>
      </w:pPr>
      <w:r/>
      <w:bookmarkStart w:id="79" w:name="_Toc175216088"/>
      <w:r/>
      <w:bookmarkEnd w:id="76"/>
      <w:r>
        <w:rPr>
          <w:b/>
          <w:bCs/>
          <w:sz w:val="28"/>
          <w:szCs w:val="28"/>
        </w:rPr>
        <w:t xml:space="preserve">Таблица</w:t>
      </w:r>
      <w:bookmarkStart w:id="80" w:name="_Ref163045768"/>
      <w:r/>
      <w:bookmarkStart w:id="81" w:name="_Ref163207324"/>
      <w:r/>
      <w:bookmarkStart w:id="82" w:name="_Ref164261427"/>
      <w:r>
        <w:rPr>
          <w:b/>
          <w:bCs/>
          <w:sz w:val="28"/>
          <w:szCs w:val="28"/>
        </w:rPr>
        <w:t xml:space="preserve"> </w:t>
      </w:r>
      <w:bookmarkEnd w:id="80"/>
      <w:r/>
      <w:bookmarkEnd w:id="81"/>
      <w:r/>
      <w:bookmarkEnd w:id="82"/>
      <w:r>
        <w:rPr>
          <w:b/>
          <w:bCs/>
          <w:sz w:val="28"/>
          <w:szCs w:val="28"/>
        </w:rPr>
        <w:t xml:space="preserve">2.12</w:t>
      </w:r>
      <w:r>
        <w:rPr>
          <w:b/>
          <w:bCs/>
          <w:sz w:val="28"/>
          <w:szCs w:val="28"/>
        </w:rPr>
      </w:r>
    </w:p>
    <w:p>
      <w:pPr>
        <w:pStyle w:val="1570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Предельный уровень цены на тепловую энергию в 2023 году</w:t>
      </w:r>
      <w:bookmarkEnd w:id="79"/>
      <w:r/>
      <w:r>
        <w:rPr>
          <w:b/>
          <w:bCs/>
          <w:sz w:val="28"/>
          <w:szCs w:val="28"/>
        </w:rPr>
      </w:r>
    </w:p>
    <w:p>
      <w:pPr>
        <w:pStyle w:val="1570"/>
        <w:ind w:right="-598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Style w:val="988"/>
        <w:tblW w:w="5000" w:type="pct"/>
        <w:tblLayout w:type="fixed"/>
        <w:tblLook w:val="04A0" w:firstRow="1" w:lastRow="0" w:firstColumn="1" w:lastColumn="0" w:noHBand="0" w:noVBand="1"/>
      </w:tblPr>
      <w:tblGrid>
        <w:gridCol w:w="594"/>
        <w:gridCol w:w="2845"/>
        <w:gridCol w:w="2116"/>
        <w:gridCol w:w="5967"/>
        <w:gridCol w:w="1796"/>
        <w:gridCol w:w="1751"/>
      </w:tblGrid>
      <w:tr>
        <w:tblPrEx/>
        <w:trPr>
          <w:trHeight w:val="20"/>
          <w:tblHeader/>
        </w:trPr>
        <w:tc>
          <w:tcPr>
            <w:tcW w:w="197" w:type="pct"/>
            <w:vMerge w:val="restart"/>
            <w:textDirection w:val="lrTb"/>
            <w:noWrap w:val="false"/>
          </w:tcPr>
          <w:p>
            <w:pPr>
              <w:ind w:left="-112" w:right="-10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№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944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Наименование ЕТО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right w:val="single" w:color="auto" w:sz="4" w:space="0"/>
            </w:tcBorders>
            <w:tcW w:w="702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Номер системы</w:t>
            </w:r>
            <w:r>
              <w:rPr>
                <w:rFonts w:asciiTheme="minorHAnsi" w:hAnsiTheme="minorHAnsi" w:cstheme="minorHAnsi"/>
              </w:rPr>
            </w:r>
          </w:p>
          <w:p>
            <w:pPr>
              <w:ind w:left="-178" w:right="-15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теплоснабжения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0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Наименование ТСО и зоны теплоснабжения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117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Предельный уровень цены </w:t>
            </w:r>
            <w:r>
              <w:rPr>
                <w:rFonts w:asciiTheme="minorHAnsi" w:hAnsiTheme="minorHAnsi" w:cstheme="minorHAnsi"/>
              </w:rPr>
            </w:r>
          </w:p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на тепловую энергию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  <w:tblHeader/>
        </w:trPr>
        <w:tc>
          <w:tcPr>
            <w:tcW w:w="19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944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right w:val="single" w:color="auto" w:sz="4" w:space="0"/>
            </w:tcBorders>
            <w:tcW w:w="702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left w:val="single" w:color="auto" w:sz="4" w:space="0"/>
            </w:tcBorders>
            <w:tcW w:w="596" w:type="pct"/>
            <w:textDirection w:val="lrTb"/>
            <w:noWrap w:val="false"/>
          </w:tcPr>
          <w:p>
            <w:pPr>
              <w:ind w:left="-149" w:right="-17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руб./Гкал </w:t>
            </w:r>
            <w:r>
              <w:rPr>
                <w:rFonts w:asciiTheme="minorHAnsi" w:hAnsiTheme="minorHAnsi" w:cstheme="minorHAnsi"/>
              </w:rPr>
            </w:r>
          </w:p>
          <w:p>
            <w:pPr>
              <w:ind w:left="-149" w:right="-17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(без НДС)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81" w:type="pct"/>
            <w:textDirection w:val="lrTb"/>
            <w:noWrap w:val="false"/>
          </w:tcPr>
          <w:p>
            <w:pPr>
              <w:ind w:left="-149" w:right="-15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руб./Гкал </w:t>
            </w:r>
            <w:r>
              <w:rPr>
                <w:rFonts w:asciiTheme="minorHAnsi" w:hAnsiTheme="minorHAnsi" w:cstheme="minorHAnsi"/>
              </w:rPr>
            </w:r>
          </w:p>
          <w:p>
            <w:pPr>
              <w:ind w:left="-149" w:right="-15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(с НДС)</w:t>
            </w:r>
            <w:r>
              <w:rPr>
                <w:rFonts w:asciiTheme="minorHAnsi" w:hAnsiTheme="minorHAnsi" w:cstheme="minorHAnsi"/>
              </w:rPr>
            </w:r>
          </w:p>
        </w:tc>
      </w:tr>
    </w:tbl>
    <w:p>
      <w:pPr>
        <w:spacing w:line="48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Style w:val="988"/>
        <w:tblW w:w="5000" w:type="pct"/>
        <w:tblLayout w:type="fixed"/>
        <w:tblLook w:val="04A0" w:firstRow="1" w:lastRow="0" w:firstColumn="1" w:lastColumn="0" w:noHBand="0" w:noVBand="1"/>
      </w:tblPr>
      <w:tblGrid>
        <w:gridCol w:w="594"/>
        <w:gridCol w:w="2845"/>
        <w:gridCol w:w="2095"/>
        <w:gridCol w:w="5988"/>
        <w:gridCol w:w="1796"/>
        <w:gridCol w:w="1751"/>
      </w:tblGrid>
      <w:tr>
        <w:tblPrEx/>
        <w:trPr>
          <w:trHeight w:val="20"/>
          <w:tblHeader/>
        </w:trPr>
        <w:tc>
          <w:tcPr>
            <w:tcW w:w="19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94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69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98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96" w:type="pct"/>
            <w:vAlign w:val="center"/>
            <w:textDirection w:val="lrTb"/>
            <w:noWrap w:val="false"/>
          </w:tcPr>
          <w:p>
            <w:pPr>
              <w:ind w:left="-149" w:right="-17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81" w:type="pct"/>
            <w:vAlign w:val="center"/>
            <w:textDirection w:val="lrTb"/>
            <w:noWrap w:val="false"/>
          </w:tcPr>
          <w:p>
            <w:pPr>
              <w:ind w:left="-149" w:right="-15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tcW w:w="19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944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Филиал «Пермский»</w:t>
            </w:r>
            <w:r>
              <w:rPr>
                <w:rFonts w:asciiTheme="minorHAnsi" w:hAnsiTheme="minorHAnsi" w:cstheme="minorHAnsi"/>
              </w:rPr>
            </w:r>
          </w:p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ПАО «Т Плюс»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69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98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Филиал «Пермский» ПАО «Т Плюс» </w:t>
            </w:r>
            <w:r>
              <w:rPr>
                <w:rFonts w:asciiTheme="minorHAnsi" w:hAnsiTheme="minorHAnsi" w:cstheme="minorHAnsi"/>
              </w:rPr>
            </w: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(г. Пермь, зона теплоснабжения ПТЭЦ-9, микрорайон </w:t>
            </w:r>
            <w:r>
              <w:rPr>
                <w:rFonts w:asciiTheme="minorHAnsi" w:hAnsiTheme="minorHAnsi" w:cstheme="minorHAnsi"/>
              </w:rPr>
              <w:t xml:space="preserve">Заостровка</w:t>
            </w:r>
            <w:r>
              <w:rPr>
                <w:rFonts w:asciiTheme="minorHAnsi" w:hAnsiTheme="minorHAnsi" w:cstheme="minorHAnsi"/>
              </w:rPr>
              <w:t xml:space="preserve">)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9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2 166,09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8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2 599,31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tcW w:w="19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944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69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1-3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98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Филиал «Пермский» ПАО «Т Плюс» </w:t>
            </w:r>
            <w:r>
              <w:rPr>
                <w:rFonts w:asciiTheme="minorHAnsi" w:hAnsiTheme="minorHAnsi" w:cstheme="minorHAnsi"/>
              </w:rPr>
            </w: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(г. Пермь, за исключением зоны теплоснабжения ПТЭЦ-14)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9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2 274,05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8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2 728,86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tcW w:w="19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944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69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1-3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98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Филиал «Пермский» ПАО «Т Плюс» </w:t>
            </w:r>
            <w:r>
              <w:rPr>
                <w:rFonts w:asciiTheme="minorHAnsi" w:hAnsiTheme="minorHAnsi" w:cstheme="minorHAnsi"/>
              </w:rPr>
            </w: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(г. Пермь, за исключением зоны теплоснабжения ПТЭЦ-14) 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9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2 782,39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8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3 338,87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tcW w:w="19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944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69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1-3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98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Филиал «Пермский» ПАО «Т Плюс» </w:t>
            </w:r>
            <w:r>
              <w:rPr>
                <w:rFonts w:asciiTheme="minorHAnsi" w:hAnsiTheme="minorHAnsi" w:cstheme="minorHAnsi"/>
              </w:rPr>
            </w: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(г. Пермь, ЦТП по адресам: ул. Максима Горького, ул. </w:t>
            </w:r>
            <w:r>
              <w:rPr>
                <w:rFonts w:asciiTheme="minorHAnsi" w:hAnsiTheme="minorHAnsi" w:cstheme="minorHAnsi"/>
              </w:rPr>
              <w:t xml:space="preserve">Генкеля</w:t>
            </w:r>
            <w:r>
              <w:rPr>
                <w:rFonts w:asciiTheme="minorHAnsi" w:hAnsiTheme="minorHAnsi" w:cstheme="minorHAnsi"/>
              </w:rPr>
              <w:t xml:space="preserve">, ул. Василия Каменского, ул. </w:t>
            </w:r>
            <w:r>
              <w:rPr>
                <w:rFonts w:asciiTheme="minorHAnsi" w:hAnsiTheme="minorHAnsi" w:cstheme="minorHAnsi"/>
              </w:rPr>
              <w:t xml:space="preserve">Барамзиной</w:t>
            </w:r>
            <w:r>
              <w:rPr>
                <w:rFonts w:asciiTheme="minorHAnsi" w:hAnsiTheme="minorHAnsi" w:cstheme="minorHAnsi"/>
              </w:rPr>
              <w:t xml:space="preserve">, ул. </w:t>
            </w:r>
            <w:r>
              <w:rPr>
                <w:rFonts w:asciiTheme="minorHAnsi" w:hAnsiTheme="minorHAnsi" w:cstheme="minorHAnsi"/>
              </w:rPr>
              <w:t xml:space="preserve">Генкеля</w:t>
            </w:r>
            <w:r>
              <w:rPr>
                <w:rFonts w:asciiTheme="minorHAnsi" w:hAnsiTheme="minorHAnsi" w:cstheme="minorHAnsi"/>
              </w:rPr>
              <w:t xml:space="preserve">)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9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2 782,39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8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3 338,87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tcW w:w="19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944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69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4-18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987" w:type="pct"/>
            <w:textDirection w:val="lrTb"/>
            <w:noWrap w:val="false"/>
          </w:tcPr>
          <w:p>
            <w:pPr>
              <w:ind w:right="-1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Филиал «Пермский» ПАО «Т Плюс» (ВК Кислотные дачи, ВК Новые </w:t>
            </w:r>
            <w:r>
              <w:rPr>
                <w:rFonts w:asciiTheme="minorHAnsi" w:hAnsiTheme="minorHAnsi" w:cstheme="minorHAnsi"/>
              </w:rPr>
              <w:t xml:space="preserve">Ляды</w:t>
            </w:r>
            <w:r>
              <w:rPr>
                <w:rFonts w:asciiTheme="minorHAnsi" w:hAnsiTheme="minorHAnsi" w:cstheme="minorHAnsi"/>
              </w:rPr>
              <w:t xml:space="preserve">, ВК </w:t>
            </w:r>
            <w:r>
              <w:rPr>
                <w:rFonts w:asciiTheme="minorHAnsi" w:hAnsiTheme="minorHAnsi" w:cstheme="minorHAnsi"/>
              </w:rPr>
              <w:t xml:space="preserve">Левшино</w:t>
            </w:r>
            <w:r>
              <w:rPr>
                <w:rFonts w:asciiTheme="minorHAnsi" w:hAnsiTheme="minorHAnsi" w:cstheme="minorHAnsi"/>
              </w:rPr>
              <w:t xml:space="preserve">, ВК ПДК, ВК Заозерье, ВК Молодежная, ВК Каменского, ВК Запруд, ВК Банная гора, ВК </w:t>
            </w:r>
            <w:r>
              <w:rPr>
                <w:rFonts w:asciiTheme="minorHAnsi" w:hAnsiTheme="minorHAnsi" w:cstheme="minorHAnsi"/>
              </w:rPr>
              <w:t xml:space="preserve">Окуловский</w:t>
            </w:r>
            <w:r>
              <w:rPr>
                <w:rFonts w:asciiTheme="minorHAnsi" w:hAnsiTheme="minorHAnsi" w:cstheme="minorHAnsi"/>
              </w:rPr>
              <w:t xml:space="preserve">, ВК Подснежник, ВК ДИПИ, ВК </w:t>
            </w:r>
            <w:r>
              <w:rPr>
                <w:rFonts w:asciiTheme="minorHAnsi" w:hAnsiTheme="minorHAnsi" w:cstheme="minorHAnsi"/>
              </w:rPr>
              <w:t xml:space="preserve">Пышминская</w:t>
            </w:r>
            <w:r>
              <w:rPr>
                <w:rFonts w:asciiTheme="minorHAnsi" w:hAnsiTheme="minorHAnsi" w:cstheme="minorHAnsi"/>
              </w:rPr>
              <w:t xml:space="preserve">, ВК Крикетная, ВК Кавказская)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9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2 782,39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8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3 338,87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tcW w:w="19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944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69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98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Филиал «Пермский» ПАО «Т Плюс» (потребители, ранее оплачивающие производство и передачу тепловой энергии по сетям ПАО НПО «Искра»)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9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2 239,55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8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2 995,97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tcW w:w="19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944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69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98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Филиал «Пермский» ПАО «Т Плюс» (потребители, ранее оплачивающие производство и передачу тепловой энергии по сетям ПАО НПО «Искра», ПМУП «ГКТХ»)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9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2 496,64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8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2 995,97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tcW w:w="19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944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69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98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Филиал «Пермский» ПАО «Т Плюс» (потребители, ранее оплачивающие производство и передачу тепловой энергии по сетям ООО «Пермская сетевая компания»)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9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2 782,39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8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3 338,87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tcW w:w="19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944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69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98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Филиал «Пермский» ПАО «Т Плюс» (потребители, ранее оплачивающие производство и передачу тепловой энергии по сетям ООО «Пермская сетевая компания» и ПМУП «ГКТХ»)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9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2 782,39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8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3 338,87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tcW w:w="19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944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69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987" w:type="pct"/>
            <w:textDirection w:val="lrTb"/>
            <w:noWrap w:val="false"/>
          </w:tcPr>
          <w:p>
            <w:pPr>
              <w:ind w:right="-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ПАО «Т Плюс» (г. Пермь, зона теплоснабжения </w:t>
            </w:r>
            <w:r>
              <w:rPr>
                <w:rFonts w:asciiTheme="minorHAnsi" w:hAnsiTheme="minorHAnsi" w:cstheme="minorHAnsi"/>
              </w:rPr>
            </w: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ПТЭЦ-14)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9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2 782,39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8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3 338,87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tcW w:w="19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944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69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22-28, 30, 31, 33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98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ПАО «Т Плюс» (ВК Криворожская, ВК Лепешинской, ВК Наумова, ВК Чапаева, ВК Бахаревская, ВК Лесопарковая, ВК Б. Революции, ВК Жукова, ВК Чусовская, ВК Березовая роща)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9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2 782,39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8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3 338,87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tcW w:w="19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944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69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98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ПАО «Т Плюс» (ВК Западная)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9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2 489,96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8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2 987,95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tcW w:w="19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944" w:type="pct"/>
            <w:vMerge w:val="restar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ПМУП «ГКТХ»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69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20, 21, 29, 32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98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ПМУП «ГКТХ» (ВК Вышка-2, ВК Хабаровская, ВК Белозерская, ВК Дементьева)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9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2 782,39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8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3 338,87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tcW w:w="19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944" w:type="pct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69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98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ПМУП «ГКТХ» (ВК Южная)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9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2 372,54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8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2 847,05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tcW w:w="19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944" w:type="pct"/>
            <w:vMerge w:val="restar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АО «ПЗСП»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69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36-37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98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АО «ПЗСП» (ВК Докучаева, ВК </w:t>
            </w:r>
            <w:r>
              <w:rPr>
                <w:rFonts w:asciiTheme="minorHAnsi" w:hAnsiTheme="minorHAnsi" w:cstheme="minorHAnsi"/>
              </w:rPr>
              <w:t xml:space="preserve">Костычева</w:t>
            </w:r>
            <w:r>
              <w:rPr>
                <w:rFonts w:asciiTheme="minorHAnsi" w:hAnsiTheme="minorHAnsi" w:cstheme="minorHAnsi"/>
              </w:rPr>
              <w:t xml:space="preserve">)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9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2 347,50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8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2 817,00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tcW w:w="19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944" w:type="pct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69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98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АО «ПЗСП» (ВК Менжинского)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9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2 635,48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8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3 162,58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tcW w:w="19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944" w:type="pct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69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98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АО «ПЗСП» (ВК </w:t>
            </w:r>
            <w:r>
              <w:rPr>
                <w:rFonts w:asciiTheme="minorHAnsi" w:hAnsiTheme="minorHAnsi" w:cstheme="minorHAnsi"/>
              </w:rPr>
              <w:t xml:space="preserve">Баранчинская</w:t>
            </w:r>
            <w:r>
              <w:rPr>
                <w:rFonts w:asciiTheme="minorHAnsi" w:hAnsiTheme="minorHAnsi" w:cstheme="minorHAnsi"/>
              </w:rPr>
              <w:t xml:space="preserve">)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9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2 782,39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8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3 338,87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tcW w:w="19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944" w:type="pct"/>
            <w:vMerge w:val="restar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Пермский ТУ Свердловской дирекции по ТВ ЦДТВ – филиала ОАО «РЖД»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69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98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ОАО «РЖД» (ВК Восточная)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9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2 492,74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8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2 991,29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tcW w:w="19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944" w:type="pct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69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98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ОАО «РЖД» (ВК Блочная)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9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2 230,92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8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2 677,11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tcW w:w="19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944" w:type="pct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69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98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ОАО «РЖД» (ВК РЖД, Каменского)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9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2 212,28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8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2 654,73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tcW w:w="19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ООО СК «Вышка-2»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69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98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ООО СК «Вышка-2»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9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2 782,39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8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3 338,87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tcW w:w="19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ООО «ТЭК»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69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98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ООО «ТЭК» (ВК Пермский картон)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9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2 640,77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8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3 168,92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tcW w:w="19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ФГАОУ ВО «ПНИПУ»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69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98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ФГАОУ ВО «ПНИПУ»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9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2 355,97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8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2 827,16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tcW w:w="19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АО «</w:t>
            </w:r>
            <w:r>
              <w:rPr>
                <w:rFonts w:asciiTheme="minorHAnsi" w:hAnsiTheme="minorHAnsi" w:cstheme="minorHAnsi"/>
              </w:rPr>
              <w:t xml:space="preserve">Новомет</w:t>
            </w:r>
            <w:r>
              <w:rPr>
                <w:rFonts w:asciiTheme="minorHAnsi" w:hAnsiTheme="minorHAnsi" w:cstheme="minorHAnsi"/>
              </w:rPr>
              <w:t xml:space="preserve">-Пермь»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69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98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АО «</w:t>
            </w:r>
            <w:r>
              <w:rPr>
                <w:rFonts w:asciiTheme="minorHAnsi" w:hAnsiTheme="minorHAnsi" w:cstheme="minorHAnsi"/>
              </w:rPr>
              <w:t xml:space="preserve">Новомет</w:t>
            </w:r>
            <w:r>
              <w:rPr>
                <w:rFonts w:asciiTheme="minorHAnsi" w:hAnsiTheme="minorHAnsi" w:cstheme="minorHAnsi"/>
              </w:rPr>
              <w:t xml:space="preserve">-Пермь»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9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2 617,95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8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3 141,54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tcW w:w="19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944" w:type="pct"/>
            <w:vMerge w:val="restar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ООО «</w:t>
            </w:r>
            <w:r>
              <w:rPr>
                <w:rFonts w:asciiTheme="minorHAnsi" w:hAnsiTheme="minorHAnsi" w:cstheme="minorHAnsi"/>
              </w:rPr>
              <w:t xml:space="preserve">Тимсервис</w:t>
            </w:r>
            <w:r>
              <w:rPr>
                <w:rFonts w:asciiTheme="minorHAnsi" w:hAnsiTheme="minorHAnsi" w:cstheme="minorHAnsi"/>
              </w:rPr>
              <w:t xml:space="preserve">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69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98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ООО «</w:t>
            </w:r>
            <w:r>
              <w:rPr>
                <w:rFonts w:asciiTheme="minorHAnsi" w:hAnsiTheme="minorHAnsi" w:cstheme="minorHAnsi"/>
              </w:rPr>
              <w:t xml:space="preserve">Тимсервис</w:t>
            </w:r>
            <w:r>
              <w:rPr>
                <w:rFonts w:asciiTheme="minorHAnsi" w:hAnsiTheme="minorHAnsi" w:cstheme="minorHAnsi"/>
              </w:rPr>
              <w:t xml:space="preserve">» (ВК Ива)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9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2 782,39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8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3 338,87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tcW w:w="19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944" w:type="pct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69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98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ООО «</w:t>
            </w:r>
            <w:r>
              <w:rPr>
                <w:rFonts w:asciiTheme="minorHAnsi" w:hAnsiTheme="minorHAnsi" w:cstheme="minorHAnsi"/>
              </w:rPr>
              <w:t xml:space="preserve">Тимсервис</w:t>
            </w:r>
            <w:r>
              <w:rPr>
                <w:rFonts w:asciiTheme="minorHAnsi" w:hAnsiTheme="minorHAnsi" w:cstheme="minorHAnsi"/>
              </w:rPr>
              <w:t xml:space="preserve">» (ВК Делегатская)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9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2 396,98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8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2 878,77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tcW w:w="19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ООО «НОВОГОР-</w:t>
            </w:r>
            <w:r>
              <w:rPr>
                <w:rFonts w:asciiTheme="minorHAnsi" w:hAnsiTheme="minorHAnsi" w:cstheme="minorHAnsi"/>
              </w:rPr>
              <w:t xml:space="preserve">Прикамье</w:t>
            </w:r>
            <w:r>
              <w:rPr>
                <w:rFonts w:asciiTheme="minorHAnsi" w:hAnsiTheme="minorHAnsi" w:cstheme="minorHAnsi"/>
              </w:rPr>
              <w:t xml:space="preserve">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69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98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ООО «НОВОГОР-</w:t>
            </w:r>
            <w:r>
              <w:rPr>
                <w:rFonts w:asciiTheme="minorHAnsi" w:hAnsiTheme="minorHAnsi" w:cstheme="minorHAnsi"/>
              </w:rPr>
              <w:t xml:space="preserve">Прикамье</w:t>
            </w:r>
            <w:r>
              <w:rPr>
                <w:rFonts w:asciiTheme="minorHAnsi" w:hAnsiTheme="minorHAnsi" w:cstheme="minorHAnsi"/>
              </w:rPr>
              <w:t xml:space="preserve">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9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2 782,39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8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3 338,87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tcW w:w="19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ФКУ «ИК-32 ГУФСИН России по Пермскому краю»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69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98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ФКУ «ИК-32 ГУФСИН России по Пермскому краю»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9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2 129,36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8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2 555,24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tcW w:w="19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ООО «Пермский насосный завод»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69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98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ООО «Пермский насосный завод»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9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3 983,73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8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3 983,73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1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tcW w:w="19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ООО «ПТЭК»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69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98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ООО «ПТЭК» (ВК СПК Вышка-2)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9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2 782,39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8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3 338,87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tcW w:w="19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ФКП «Пермский пороховой завод»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69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98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ФКП «Пермский пороховой завод»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9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2 609,60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8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3 131,53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tcW w:w="19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АО «ПЗ «Машиностроитель»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69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98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АО «ПЗ «Машиностроитель»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9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2 217,82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8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2 661,39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tcW w:w="19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Пермский ТУ Свердловской дирекции по ТВ ЦДТВ – филиала ОАО «РЖД»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69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98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ОАО «РЖД» (ВК АО «ФПК»)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9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2 782,39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8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3 338,87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tcW w:w="19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АО «</w:t>
            </w:r>
            <w:r>
              <w:rPr>
                <w:rFonts w:asciiTheme="minorHAnsi" w:hAnsiTheme="minorHAnsi" w:cstheme="minorHAnsi"/>
              </w:rPr>
              <w:t xml:space="preserve">Держава-М</w:t>
            </w:r>
            <w:r>
              <w:rPr>
                <w:rFonts w:asciiTheme="minorHAnsi" w:hAnsiTheme="minorHAnsi" w:cstheme="minorHAnsi"/>
              </w:rPr>
              <w:t xml:space="preserve">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69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98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АО «</w:t>
            </w:r>
            <w:r>
              <w:rPr>
                <w:rFonts w:asciiTheme="minorHAnsi" w:hAnsiTheme="minorHAnsi" w:cstheme="minorHAnsi"/>
              </w:rPr>
              <w:t xml:space="preserve">Держава-М</w:t>
            </w:r>
            <w:r>
              <w:rPr>
                <w:rFonts w:asciiTheme="minorHAnsi" w:hAnsiTheme="minorHAnsi" w:cstheme="minorHAnsi"/>
              </w:rPr>
              <w:t xml:space="preserve">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9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2 782,39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8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3 338,87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tcW w:w="19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ООО «Армейский Обоз»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69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98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ООО «Армейский Обоз»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9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2 788,54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8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3 346,25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tcW w:w="19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Филиал «</w:t>
            </w:r>
            <w:r>
              <w:rPr>
                <w:rFonts w:asciiTheme="minorHAnsi" w:hAnsiTheme="minorHAnsi" w:cstheme="minorHAnsi"/>
              </w:rPr>
              <w:t xml:space="preserve">ЗиД</w:t>
            </w:r>
            <w:r>
              <w:rPr>
                <w:rFonts w:asciiTheme="minorHAnsi" w:hAnsiTheme="minorHAnsi" w:cstheme="minorHAnsi"/>
              </w:rPr>
              <w:t xml:space="preserve">» АО «НПО «</w:t>
            </w:r>
            <w:r>
              <w:rPr>
                <w:rFonts w:asciiTheme="minorHAnsi" w:hAnsiTheme="minorHAnsi" w:cstheme="minorHAnsi"/>
              </w:rPr>
              <w:t xml:space="preserve">Курганприбор</w:t>
            </w:r>
            <w:r>
              <w:rPr>
                <w:rFonts w:asciiTheme="minorHAnsi" w:hAnsiTheme="minorHAnsi" w:cstheme="minorHAnsi"/>
              </w:rPr>
              <w:t xml:space="preserve">» г. Пермь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69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98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Филиал «</w:t>
            </w:r>
            <w:r>
              <w:rPr>
                <w:rFonts w:asciiTheme="minorHAnsi" w:hAnsiTheme="minorHAnsi" w:cstheme="minorHAnsi"/>
              </w:rPr>
              <w:t xml:space="preserve">ЗиД</w:t>
            </w:r>
            <w:r>
              <w:rPr>
                <w:rFonts w:asciiTheme="minorHAnsi" w:hAnsiTheme="minorHAnsi" w:cstheme="minorHAnsi"/>
              </w:rPr>
              <w:t xml:space="preserve">» АО «НПО «</w:t>
            </w:r>
            <w:r>
              <w:rPr>
                <w:rFonts w:asciiTheme="minorHAnsi" w:hAnsiTheme="minorHAnsi" w:cstheme="minorHAnsi"/>
              </w:rPr>
              <w:t xml:space="preserve">Курганприбор</w:t>
            </w:r>
            <w:r>
              <w:rPr>
                <w:rFonts w:asciiTheme="minorHAnsi" w:hAnsiTheme="minorHAnsi" w:cstheme="minorHAnsi"/>
              </w:rPr>
              <w:t xml:space="preserve">» г. Пермь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9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3 338,87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8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3 338,87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1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tcW w:w="19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АО «Протон-ПМ»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69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98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АО «Протон-ПМ»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9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2 782,39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8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3 338,87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tcW w:w="19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ФКУ «ИК-29 ГУФСИН России по Пермскому краю»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69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98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ФКУ «ИК-29 ГУФСИН России по Пермскому краю»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9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2 391,74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8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2 870,09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tcW w:w="19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АО «СПК»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69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98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АО «СПК» (ВК СПК по ул. Ракитной)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9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2 776,96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8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3 332,37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tcW w:w="19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ООО «РЭМ-Сервис»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69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98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ООО «РЭМ-Сервис»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9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3 338,87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8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3 338,87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1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tcW w:w="19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АО «Пермский мукомольный завод»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69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98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АО «Пермский мукомольный завод»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9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3 338,87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58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3 338,87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1</w:t>
            </w:r>
            <w:r>
              <w:rPr>
                <w:rFonts w:asciiTheme="minorHAnsi" w:hAnsiTheme="minorHAnsi" w:cstheme="minorHAnsi"/>
              </w:rPr>
            </w:r>
          </w:p>
        </w:tc>
      </w:tr>
    </w:tbl>
    <w:p>
      <w:pPr>
        <w:pStyle w:val="1570"/>
        <w:jc w:val="left"/>
        <w:rPr>
          <w:rFonts w:asciiTheme="minorHAnsi" w:hAnsiTheme="minorHAnsi" w:cstheme="minorHAnsi"/>
          <w:i/>
          <w:iCs w:val="0"/>
          <w:sz w:val="28"/>
          <w:szCs w:val="28"/>
        </w:rPr>
      </w:pPr>
      <w:r>
        <w:rPr>
          <w:rFonts w:asciiTheme="minorHAnsi" w:hAnsiTheme="minorHAnsi" w:cstheme="minorHAnsi"/>
          <w:i/>
          <w:iCs w:val="0"/>
          <w:sz w:val="28"/>
          <w:szCs w:val="28"/>
        </w:rPr>
      </w:r>
      <w:r>
        <w:rPr>
          <w:rFonts w:asciiTheme="minorHAnsi" w:hAnsiTheme="minorHAnsi" w:cstheme="minorHAnsi"/>
          <w:i/>
          <w:iCs w:val="0"/>
          <w:sz w:val="28"/>
          <w:szCs w:val="28"/>
        </w:rPr>
      </w:r>
    </w:p>
    <w:p>
      <w:pPr>
        <w:pStyle w:val="1570"/>
        <w:jc w:val="left"/>
        <w:rPr>
          <w:rFonts w:asciiTheme="minorHAnsi" w:hAnsiTheme="minorHAnsi" w:cstheme="minorHAnsi"/>
          <w:i/>
          <w:iCs w:val="0"/>
          <w:sz w:val="28"/>
          <w:szCs w:val="28"/>
        </w:rPr>
      </w:pPr>
      <w:r>
        <w:rPr>
          <w:rFonts w:asciiTheme="minorHAnsi" w:hAnsiTheme="minorHAnsi" w:cstheme="minorHAnsi"/>
          <w:i/>
          <w:iCs w:val="0"/>
          <w:sz w:val="28"/>
          <w:szCs w:val="28"/>
        </w:rPr>
        <w:t xml:space="preserve">---------------------------</w:t>
      </w:r>
      <w:r>
        <w:rPr>
          <w:rFonts w:asciiTheme="minorHAnsi" w:hAnsiTheme="minorHAnsi" w:cstheme="minorHAnsi"/>
          <w:i/>
          <w:iCs w:val="0"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1. </w:t>
      </w:r>
      <w:r>
        <w:rPr>
          <w:szCs w:val="24"/>
        </w:rPr>
        <w:t xml:space="preserve">НДС не облагается</w:t>
      </w:r>
      <w:r>
        <w:rPr>
          <w:rFonts w:asciiTheme="minorHAnsi" w:hAnsiTheme="minorHAnsi" w:cstheme="minorHAnsi"/>
          <w:szCs w:val="24"/>
        </w:rPr>
        <w:t xml:space="preserve">.</w:t>
      </w:r>
      <w:r>
        <w:rPr>
          <w:rFonts w:asciiTheme="minorHAnsi" w:hAnsiTheme="minorHAnsi" w:cstheme="minorHAnsi"/>
          <w:szCs w:val="24"/>
        </w:rPr>
      </w:r>
    </w:p>
    <w:p>
      <w:pPr>
        <w:pStyle w:val="157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Примечание. Источник информации – постановление Министерства тарифного регулирования и энергетики Пермского края</w:t>
      </w:r>
      <w:r>
        <w:rPr>
          <w:rFonts w:asciiTheme="minorHAnsi" w:hAnsiTheme="minorHAnsi" w:cstheme="minorHAnsi"/>
        </w:rPr>
        <w:t xml:space="preserve"> </w:t>
      </w:r>
      <w:r>
        <w:rPr>
          <w:iCs w:val="0"/>
        </w:rPr>
        <w:t xml:space="preserve">об утверждении тарифов на тепловую энергию (мощность), поставляемую потребителям теплоснабжающими организациями согласно схеме теплоснабжения в административных границах города Перми</w:t>
      </w:r>
      <w:r>
        <w:rPr>
          <w:rFonts w:asciiTheme="minorHAnsi" w:hAnsiTheme="minorHAnsi" w:cstheme="minorHAnsi"/>
          <w:szCs w:val="24"/>
        </w:rPr>
        <w:t xml:space="preserve">.</w:t>
      </w:r>
      <w:r>
        <w:rPr>
          <w:rFonts w:asciiTheme="minorHAnsi" w:hAnsiTheme="minorHAnsi" w:cstheme="minorHAnsi"/>
          <w:szCs w:val="24"/>
        </w:rPr>
      </w:r>
    </w:p>
    <w:p>
      <w:pPr>
        <w:spacing w:after="200" w:line="276" w:lineRule="auto"/>
        <w:rPr>
          <w:rFonts w:asciiTheme="minorHAnsi" w:hAnsiTheme="minorHAnsi" w:eastAsiaTheme="minorHAnsi" w:cstheme="minorHAnsi"/>
          <w:iCs/>
          <w:lang w:eastAsia="en-US"/>
        </w:rPr>
      </w:pPr>
      <w:r>
        <w:rPr>
          <w:rFonts w:asciiTheme="minorHAnsi" w:hAnsiTheme="minorHAnsi" w:eastAsiaTheme="minorHAnsi" w:cstheme="minorHAnsi"/>
          <w:iCs/>
          <w:lang w:eastAsia="en-US"/>
        </w:rPr>
      </w:r>
      <w:r>
        <w:rPr>
          <w:rFonts w:asciiTheme="minorHAnsi" w:hAnsiTheme="minorHAnsi" w:eastAsiaTheme="minorHAnsi" w:cstheme="minorHAnsi"/>
          <w:iCs/>
          <w:lang w:eastAsia="en-US"/>
        </w:rPr>
      </w:r>
    </w:p>
    <w:p>
      <w:pPr>
        <w:jc w:val="right"/>
        <w:rPr>
          <w:b/>
          <w:bCs/>
          <w:sz w:val="28"/>
          <w:szCs w:val="28"/>
        </w:rPr>
      </w:pPr>
      <w:r/>
      <w:bookmarkStart w:id="83" w:name="_Toc175216089"/>
      <w:r>
        <w:rPr>
          <w:b/>
          <w:bCs/>
          <w:sz w:val="28"/>
          <w:szCs w:val="28"/>
        </w:rPr>
        <w:t xml:space="preserve">Таблица 2.13 </w:t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Предельный уровень цены на тепловую энергию в 2024 году</w:t>
      </w:r>
      <w:bookmarkEnd w:id="83"/>
      <w:r/>
      <w:r>
        <w:rPr>
          <w:b/>
          <w:bCs/>
          <w:sz w:val="28"/>
          <w:szCs w:val="28"/>
        </w:rPr>
      </w:r>
    </w:p>
    <w:p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tbl>
      <w:tblPr>
        <w:tblStyle w:val="988"/>
        <w:tblW w:w="5000" w:type="pct"/>
        <w:tblLayout w:type="fixed"/>
        <w:tblLook w:val="04A0" w:firstRow="1" w:lastRow="0" w:firstColumn="1" w:lastColumn="0" w:noHBand="0" w:noVBand="1"/>
      </w:tblPr>
      <w:tblGrid>
        <w:gridCol w:w="744"/>
        <w:gridCol w:w="2387"/>
        <w:gridCol w:w="2080"/>
        <w:gridCol w:w="4038"/>
        <w:gridCol w:w="1643"/>
        <w:gridCol w:w="1344"/>
        <w:gridCol w:w="1492"/>
        <w:gridCol w:w="1341"/>
      </w:tblGrid>
      <w:tr>
        <w:tblPrEx/>
        <w:trPr>
          <w:trHeight w:val="20"/>
          <w:tblHeader/>
        </w:trPr>
        <w:tc>
          <w:tcPr>
            <w:tcW w:w="247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№</w:t>
            </w:r>
            <w:r/>
          </w:p>
        </w:tc>
        <w:tc>
          <w:tcPr>
            <w:tcW w:w="792" w:type="pct"/>
            <w:vMerge w:val="restart"/>
            <w:textDirection w:val="lrTb"/>
            <w:noWrap w:val="false"/>
          </w:tcPr>
          <w:p>
            <w:pPr>
              <w:pStyle w:val="121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Наименование ЕТО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690" w:type="pct"/>
            <w:vMerge w:val="restart"/>
            <w:textDirection w:val="lrTb"/>
            <w:noWrap w:val="false"/>
          </w:tcPr>
          <w:p>
            <w:pPr>
              <w:pStyle w:val="1217"/>
              <w:ind w:left="-115" w:right="-116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Номер системы теплоснабжения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340" w:type="pct"/>
            <w:vMerge w:val="restart"/>
            <w:textDirection w:val="lrTb"/>
            <w:noWrap w:val="false"/>
          </w:tcPr>
          <w:p>
            <w:pPr>
              <w:pStyle w:val="121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Наименование ТСО и зоны теплоснабжения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gridSpan w:val="4"/>
            <w:tcW w:w="1931" w:type="pct"/>
            <w:textDirection w:val="lrTb"/>
            <w:noWrap w:val="false"/>
          </w:tcPr>
          <w:p>
            <w:pPr>
              <w:pStyle w:val="121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Предельный уровень цены на тепловую энергию</w:t>
            </w:r>
            <w:r>
              <w:rPr>
                <w:rFonts w:asciiTheme="minorHAnsi" w:hAnsiTheme="minorHAnsi" w:cstheme="minorHAnsi"/>
                <w:bCs/>
              </w:rPr>
            </w:r>
          </w:p>
        </w:tc>
      </w:tr>
      <w:tr>
        <w:tblPrEx/>
        <w:trPr>
          <w:trHeight w:val="20"/>
          <w:tblHeader/>
        </w:trPr>
        <w:tc>
          <w:tcPr>
            <w:tcW w:w="247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92" w:type="pct"/>
            <w:vMerge w:val="continue"/>
            <w:textDirection w:val="lrTb"/>
            <w:noWrap w:val="false"/>
          </w:tcPr>
          <w:p>
            <w:pPr>
              <w:pStyle w:val="121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690" w:type="pct"/>
            <w:vMerge w:val="continue"/>
            <w:textDirection w:val="lrTb"/>
            <w:noWrap w:val="false"/>
          </w:tcPr>
          <w:p>
            <w:pPr>
              <w:pStyle w:val="121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340" w:type="pct"/>
            <w:vMerge w:val="continue"/>
            <w:textDirection w:val="lrTb"/>
            <w:noWrap w:val="false"/>
          </w:tcPr>
          <w:p>
            <w:pPr>
              <w:pStyle w:val="121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gridSpan w:val="2"/>
            <w:tcW w:w="991" w:type="pct"/>
            <w:textDirection w:val="lrTb"/>
            <w:noWrap w:val="false"/>
          </w:tcPr>
          <w:p>
            <w:pPr>
              <w:pStyle w:val="1217"/>
              <w:ind w:left="-102" w:right="-108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руб./Гкал (без НДС)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gridSpan w:val="2"/>
            <w:tcW w:w="940" w:type="pct"/>
            <w:textDirection w:val="lrTb"/>
            <w:noWrap w:val="false"/>
          </w:tcPr>
          <w:p>
            <w:pPr>
              <w:pStyle w:val="1217"/>
              <w:ind w:left="-102" w:right="-108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руб./Гкал (с НДС)</w:t>
            </w:r>
            <w:r>
              <w:rPr>
                <w:rFonts w:asciiTheme="minorHAnsi" w:hAnsiTheme="minorHAnsi" w:cstheme="minorHAnsi"/>
                <w:bCs/>
              </w:rPr>
            </w:r>
          </w:p>
        </w:tc>
      </w:tr>
      <w:tr>
        <w:tblPrEx/>
        <w:trPr>
          <w:trHeight w:val="20"/>
          <w:tblHeader/>
        </w:trPr>
        <w:tc>
          <w:tcPr>
            <w:tcW w:w="247" w:type="pct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792" w:type="pct"/>
            <w:vMerge w:val="continue"/>
            <w:textDirection w:val="lrTb"/>
            <w:noWrap w:val="false"/>
          </w:tcPr>
          <w:p>
            <w:pPr>
              <w:pStyle w:val="121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690" w:type="pct"/>
            <w:vMerge w:val="continue"/>
            <w:textDirection w:val="lrTb"/>
            <w:noWrap w:val="false"/>
          </w:tcPr>
          <w:p>
            <w:pPr>
              <w:pStyle w:val="121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340" w:type="pct"/>
            <w:vMerge w:val="continue"/>
            <w:textDirection w:val="lrTb"/>
            <w:noWrap w:val="false"/>
          </w:tcPr>
          <w:p>
            <w:pPr>
              <w:pStyle w:val="121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545" w:type="pct"/>
            <w:textDirection w:val="lrTb"/>
            <w:noWrap w:val="false"/>
          </w:tcPr>
          <w:p>
            <w:pPr>
              <w:pStyle w:val="1217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 xml:space="preserve">I </w:t>
            </w:r>
            <w:r>
              <w:rPr>
                <w:rFonts w:asciiTheme="minorHAnsi" w:hAnsiTheme="minorHAnsi" w:cstheme="minorHAnsi"/>
                <w:bCs/>
              </w:rPr>
              <w:t xml:space="preserve">пол.</w:t>
            </w:r>
            <w:r>
              <w:rPr>
                <w:rFonts w:asciiTheme="minorHAnsi" w:hAnsiTheme="minorHAnsi" w:cstheme="minorHAnsi"/>
                <w:bCs/>
                <w:lang w:val="en-US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121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 xml:space="preserve">II </w:t>
            </w:r>
            <w:r>
              <w:rPr>
                <w:rFonts w:asciiTheme="minorHAnsi" w:hAnsiTheme="minorHAnsi" w:cstheme="minorHAnsi"/>
                <w:bCs/>
              </w:rPr>
              <w:t xml:space="preserve">пол.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95" w:type="pct"/>
            <w:textDirection w:val="lrTb"/>
            <w:noWrap w:val="false"/>
          </w:tcPr>
          <w:p>
            <w:pPr>
              <w:pStyle w:val="1217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 xml:space="preserve">I </w:t>
            </w:r>
            <w:r>
              <w:rPr>
                <w:rFonts w:asciiTheme="minorHAnsi" w:hAnsiTheme="minorHAnsi" w:cstheme="minorHAnsi"/>
                <w:bCs/>
              </w:rPr>
              <w:t xml:space="preserve">пол.</w:t>
            </w:r>
            <w:r>
              <w:rPr>
                <w:rFonts w:asciiTheme="minorHAnsi" w:hAnsiTheme="minorHAnsi" w:cstheme="minorHAnsi"/>
                <w:bCs/>
                <w:lang w:val="en-US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121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 xml:space="preserve">II </w:t>
            </w:r>
            <w:r>
              <w:rPr>
                <w:rFonts w:asciiTheme="minorHAnsi" w:hAnsiTheme="minorHAnsi" w:cstheme="minorHAnsi"/>
                <w:bCs/>
              </w:rPr>
              <w:t xml:space="preserve">пол.</w:t>
            </w:r>
            <w:r>
              <w:rPr>
                <w:rFonts w:asciiTheme="minorHAnsi" w:hAnsiTheme="minorHAnsi" w:cstheme="minorHAnsi"/>
                <w:bCs/>
              </w:rPr>
            </w:r>
          </w:p>
        </w:tc>
      </w:tr>
    </w:tbl>
    <w:p>
      <w:pPr>
        <w:spacing w:line="48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Style w:val="988"/>
        <w:tblW w:w="5000" w:type="pct"/>
        <w:tblLayout w:type="fixed"/>
        <w:tblLook w:val="04A0" w:firstRow="1" w:lastRow="0" w:firstColumn="1" w:lastColumn="0" w:noHBand="0" w:noVBand="1"/>
      </w:tblPr>
      <w:tblGrid>
        <w:gridCol w:w="744"/>
        <w:gridCol w:w="2387"/>
        <w:gridCol w:w="2080"/>
        <w:gridCol w:w="4038"/>
        <w:gridCol w:w="1643"/>
        <w:gridCol w:w="1344"/>
        <w:gridCol w:w="1492"/>
        <w:gridCol w:w="1341"/>
      </w:tblGrid>
      <w:tr>
        <w:tblPrEx/>
        <w:trPr>
          <w:trHeight w:val="20"/>
          <w:tblHeader/>
        </w:trPr>
        <w:tc>
          <w:tcPr>
            <w:tcW w:w="24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792" w:type="pct"/>
            <w:vAlign w:val="center"/>
            <w:textDirection w:val="lrTb"/>
            <w:noWrap w:val="false"/>
          </w:tcPr>
          <w:p>
            <w:pPr>
              <w:pStyle w:val="121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690" w:type="pct"/>
            <w:vAlign w:val="center"/>
            <w:textDirection w:val="lrTb"/>
            <w:noWrap w:val="false"/>
          </w:tcPr>
          <w:p>
            <w:pPr>
              <w:pStyle w:val="121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340" w:type="pct"/>
            <w:vAlign w:val="center"/>
            <w:textDirection w:val="lrTb"/>
            <w:noWrap w:val="false"/>
          </w:tcPr>
          <w:p>
            <w:pPr>
              <w:pStyle w:val="121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4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545" w:type="pct"/>
            <w:vAlign w:val="center"/>
            <w:textDirection w:val="lrTb"/>
            <w:noWrap w:val="false"/>
          </w:tcPr>
          <w:p>
            <w:pPr>
              <w:pStyle w:val="121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5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6" w:type="pct"/>
            <w:vAlign w:val="center"/>
            <w:textDirection w:val="lrTb"/>
            <w:noWrap w:val="false"/>
          </w:tcPr>
          <w:p>
            <w:pPr>
              <w:pStyle w:val="121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6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95" w:type="pct"/>
            <w:vAlign w:val="center"/>
            <w:textDirection w:val="lrTb"/>
            <w:noWrap w:val="false"/>
          </w:tcPr>
          <w:p>
            <w:pPr>
              <w:pStyle w:val="121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7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5" w:type="pct"/>
            <w:vAlign w:val="center"/>
            <w:textDirection w:val="lrTb"/>
            <w:noWrap w:val="false"/>
          </w:tcPr>
          <w:p>
            <w:pPr>
              <w:pStyle w:val="121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8</w:t>
            </w:r>
            <w:r>
              <w:rPr>
                <w:rFonts w:asciiTheme="minorHAnsi" w:hAnsiTheme="minorHAnsi" w:cstheme="minorHAnsi"/>
                <w:bCs/>
              </w:rPr>
            </w:r>
          </w:p>
        </w:tc>
      </w:tr>
      <w:tr>
        <w:tblPrEx/>
        <w:trPr>
          <w:trHeight w:val="20"/>
        </w:trPr>
        <w:tc>
          <w:tcPr>
            <w:tcW w:w="247" w:type="pct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792" w:type="pct"/>
            <w:vMerge w:val="restart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Филиал «Пермский» </w:t>
            </w:r>
            <w:r>
              <w:rPr>
                <w:rFonts w:asciiTheme="minorHAnsi" w:hAnsiTheme="minorHAnsi" w:cstheme="minorHAnsi"/>
                <w:bCs/>
              </w:rPr>
            </w:r>
          </w:p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ПАО «Т Плюс»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690" w:type="pct"/>
            <w:textDirection w:val="lrTb"/>
            <w:noWrap w:val="false"/>
          </w:tcPr>
          <w:p>
            <w:pPr>
              <w:pStyle w:val="121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1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340" w:type="pct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Филиал «Пермский» ПАО «Т Плюс» (г. Пермь, зона теплоснабжения ПТЭЦ-9, микрорайон </w:t>
            </w:r>
            <w:r>
              <w:rPr>
                <w:rFonts w:asciiTheme="minorHAnsi" w:hAnsiTheme="minorHAnsi" w:cstheme="minorHAnsi"/>
                <w:bCs/>
              </w:rPr>
              <w:t xml:space="preserve">Заостровка</w:t>
            </w:r>
            <w:r>
              <w:rPr>
                <w:rFonts w:asciiTheme="minorHAnsi" w:hAnsiTheme="minorHAnsi" w:cstheme="minorHAnsi"/>
                <w:bCs/>
              </w:rPr>
              <w:t xml:space="preserve">)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5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2 166,09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2 460,68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9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2 599,31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2 952,82</w:t>
            </w:r>
            <w:r>
              <w:rPr>
                <w:rFonts w:asciiTheme="minorHAnsi" w:hAnsiTheme="minorHAnsi" w:cstheme="minorHAnsi"/>
                <w:bCs/>
              </w:rPr>
            </w:r>
          </w:p>
        </w:tc>
      </w:tr>
      <w:tr>
        <w:tblPrEx/>
        <w:trPr>
          <w:trHeight w:val="20"/>
        </w:trPr>
        <w:tc>
          <w:tcPr>
            <w:tcW w:w="247" w:type="pct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792" w:type="pct"/>
            <w:vAlign w:val="center"/>
            <w:vMerge w:val="continue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690" w:type="pct"/>
            <w:textDirection w:val="lrTb"/>
            <w:noWrap w:val="false"/>
          </w:tcPr>
          <w:p>
            <w:pPr>
              <w:pStyle w:val="121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1-3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340" w:type="pct"/>
            <w:textDirection w:val="lrTb"/>
            <w:noWrap w:val="false"/>
          </w:tcPr>
          <w:p>
            <w:pPr>
              <w:pStyle w:val="1217"/>
              <w:ind w:right="-35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Филиал «Пермский» ПАО «Т Плюс» (г. Пермь, за исключением зоны теплоснабжения ПТЭЦ-14)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5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2 274,05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2 541,81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9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2 728,86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3 050,17</w:t>
            </w:r>
            <w:r>
              <w:rPr>
                <w:rFonts w:asciiTheme="minorHAnsi" w:hAnsiTheme="minorHAnsi" w:cstheme="minorHAnsi"/>
                <w:bCs/>
              </w:rPr>
            </w:r>
          </w:p>
        </w:tc>
      </w:tr>
      <w:tr>
        <w:tblPrEx/>
        <w:trPr>
          <w:trHeight w:val="20"/>
        </w:trPr>
        <w:tc>
          <w:tcPr>
            <w:tcW w:w="247" w:type="pct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792" w:type="pct"/>
            <w:vAlign w:val="center"/>
            <w:vMerge w:val="continue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690" w:type="pct"/>
            <w:textDirection w:val="lrTb"/>
            <w:noWrap w:val="false"/>
          </w:tcPr>
          <w:p>
            <w:pPr>
              <w:pStyle w:val="121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1-3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340" w:type="pct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Филиал «Пермский» ПАО «Т Плюс» (г. Пермь, за исключением зоны теплоснабжения ПТЭЦ-14) 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5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2 782,39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2 907,92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9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3 338,87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3 489,50</w:t>
            </w:r>
            <w:r>
              <w:rPr>
                <w:rFonts w:asciiTheme="minorHAnsi" w:hAnsiTheme="minorHAnsi" w:cstheme="minorHAnsi"/>
                <w:bCs/>
              </w:rPr>
            </w:r>
          </w:p>
        </w:tc>
      </w:tr>
      <w:tr>
        <w:tblPrEx/>
        <w:trPr>
          <w:trHeight w:val="20"/>
        </w:trPr>
        <w:tc>
          <w:tcPr>
            <w:tcW w:w="247" w:type="pct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792" w:type="pct"/>
            <w:vAlign w:val="center"/>
            <w:vMerge w:val="continue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690" w:type="pct"/>
            <w:textDirection w:val="lrTb"/>
            <w:noWrap w:val="false"/>
          </w:tcPr>
          <w:p>
            <w:pPr>
              <w:pStyle w:val="121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1-3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340" w:type="pct"/>
            <w:textDirection w:val="lrTb"/>
            <w:noWrap w:val="false"/>
          </w:tcPr>
          <w:p>
            <w:pPr>
              <w:pStyle w:val="1217"/>
              <w:ind w:right="-114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Филиал «Пермский» ПАО «Т Плюс» (г. Пермь, ЦТП по адресам: ул. Максима Горького, ул. </w:t>
            </w:r>
            <w:r>
              <w:rPr>
                <w:rFonts w:asciiTheme="minorHAnsi" w:hAnsiTheme="minorHAnsi" w:cstheme="minorHAnsi"/>
                <w:bCs/>
              </w:rPr>
              <w:t xml:space="preserve">Генкеля</w:t>
            </w:r>
            <w:r>
              <w:rPr>
                <w:rFonts w:asciiTheme="minorHAnsi" w:hAnsiTheme="minorHAnsi" w:cstheme="minorHAnsi"/>
                <w:bCs/>
              </w:rPr>
              <w:t xml:space="preserve">, ул. Василия Каменского, ул. </w:t>
            </w:r>
            <w:r>
              <w:rPr>
                <w:rFonts w:asciiTheme="minorHAnsi" w:hAnsiTheme="minorHAnsi" w:cstheme="minorHAnsi"/>
                <w:bCs/>
              </w:rPr>
              <w:t xml:space="preserve">Барамзиной</w:t>
            </w:r>
            <w:r>
              <w:rPr>
                <w:rFonts w:asciiTheme="minorHAnsi" w:hAnsiTheme="minorHAnsi" w:cstheme="minorHAnsi"/>
                <w:bCs/>
              </w:rPr>
              <w:t xml:space="preserve">, ул. </w:t>
            </w:r>
            <w:r>
              <w:rPr>
                <w:rFonts w:asciiTheme="minorHAnsi" w:hAnsiTheme="minorHAnsi" w:cstheme="minorHAnsi"/>
                <w:bCs/>
              </w:rPr>
              <w:t xml:space="preserve">Генкеля</w:t>
            </w:r>
            <w:r>
              <w:rPr>
                <w:rFonts w:asciiTheme="minorHAnsi" w:hAnsiTheme="minorHAnsi" w:cstheme="minorHAnsi"/>
                <w:bCs/>
              </w:rPr>
              <w:t xml:space="preserve">)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5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2 782,39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2 907,92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9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3 338,87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3 489,50</w:t>
            </w:r>
            <w:r>
              <w:rPr>
                <w:rFonts w:asciiTheme="minorHAnsi" w:hAnsiTheme="minorHAnsi" w:cstheme="minorHAnsi"/>
                <w:bCs/>
              </w:rPr>
            </w:r>
          </w:p>
        </w:tc>
      </w:tr>
      <w:tr>
        <w:tblPrEx/>
        <w:trPr>
          <w:trHeight w:val="20"/>
        </w:trPr>
        <w:tc>
          <w:tcPr>
            <w:tcW w:w="247" w:type="pct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792" w:type="pct"/>
            <w:vAlign w:val="center"/>
            <w:vMerge w:val="continue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690" w:type="pct"/>
            <w:textDirection w:val="lrTb"/>
            <w:noWrap w:val="false"/>
          </w:tcPr>
          <w:p>
            <w:pPr>
              <w:pStyle w:val="121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4-18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340" w:type="pct"/>
            <w:textDirection w:val="lrTb"/>
            <w:noWrap w:val="false"/>
          </w:tcPr>
          <w:p>
            <w:pPr>
              <w:pStyle w:val="1217"/>
              <w:ind w:right="-114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Филиал «Пермский» ПАО «Т Плюс» (ВК Кислотные дачи, ВК Новые </w:t>
            </w:r>
            <w:r>
              <w:rPr>
                <w:rFonts w:asciiTheme="minorHAnsi" w:hAnsiTheme="minorHAnsi" w:cstheme="minorHAnsi"/>
                <w:bCs/>
              </w:rPr>
              <w:t xml:space="preserve">Ляды</w:t>
            </w:r>
            <w:r>
              <w:rPr>
                <w:rFonts w:asciiTheme="minorHAnsi" w:hAnsiTheme="minorHAnsi" w:cstheme="minorHAnsi"/>
                <w:bCs/>
              </w:rPr>
              <w:t xml:space="preserve">, ВК </w:t>
            </w:r>
            <w:r>
              <w:rPr>
                <w:rFonts w:asciiTheme="minorHAnsi" w:hAnsiTheme="minorHAnsi" w:cstheme="minorHAnsi"/>
                <w:bCs/>
              </w:rPr>
              <w:t xml:space="preserve">Левшино</w:t>
            </w:r>
            <w:r>
              <w:rPr>
                <w:rFonts w:asciiTheme="minorHAnsi" w:hAnsiTheme="minorHAnsi" w:cstheme="minorHAnsi"/>
                <w:bCs/>
              </w:rPr>
              <w:t xml:space="preserve">, ВК ПДК, ВК Заозерье, ВК Молодежная, ВК Каменского, ВК Запруд, ВК Банная гора, ВК </w:t>
            </w:r>
            <w:r>
              <w:rPr>
                <w:rFonts w:asciiTheme="minorHAnsi" w:hAnsiTheme="minorHAnsi" w:cstheme="minorHAnsi"/>
                <w:bCs/>
              </w:rPr>
              <w:t xml:space="preserve">Окуловский</w:t>
            </w:r>
            <w:r>
              <w:rPr>
                <w:rFonts w:asciiTheme="minorHAnsi" w:hAnsiTheme="minorHAnsi" w:cstheme="minorHAnsi"/>
                <w:bCs/>
              </w:rPr>
              <w:t xml:space="preserve">, ВК Подснежник, ВК ДИПИ, ВК </w:t>
            </w:r>
            <w:r>
              <w:rPr>
                <w:rFonts w:asciiTheme="minorHAnsi" w:hAnsiTheme="minorHAnsi" w:cstheme="minorHAnsi"/>
                <w:bCs/>
              </w:rPr>
              <w:t xml:space="preserve">Пышминская</w:t>
            </w:r>
            <w:r>
              <w:rPr>
                <w:rFonts w:asciiTheme="minorHAnsi" w:hAnsiTheme="minorHAnsi" w:cstheme="minorHAnsi"/>
                <w:bCs/>
              </w:rPr>
              <w:t xml:space="preserve">, ВК Крикетная, ВК Кавказская)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5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2 782,39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3 338,87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9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3 338,87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3 489,50</w:t>
            </w:r>
            <w:r>
              <w:rPr>
                <w:rFonts w:asciiTheme="minorHAnsi" w:hAnsiTheme="minorHAnsi" w:cstheme="minorHAnsi"/>
                <w:bCs/>
              </w:rPr>
            </w:r>
          </w:p>
        </w:tc>
      </w:tr>
      <w:tr>
        <w:tblPrEx/>
        <w:trPr>
          <w:trHeight w:val="20"/>
        </w:trPr>
        <w:tc>
          <w:tcPr>
            <w:tcW w:w="247" w:type="pct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W w:w="792" w:type="pct"/>
            <w:vAlign w:val="center"/>
            <w:vMerge w:val="continue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690" w:type="pct"/>
            <w:textDirection w:val="lrTb"/>
            <w:noWrap w:val="false"/>
          </w:tcPr>
          <w:p>
            <w:pPr>
              <w:pStyle w:val="121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6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340" w:type="pct"/>
            <w:textDirection w:val="lrTb"/>
            <w:noWrap w:val="false"/>
          </w:tcPr>
          <w:p>
            <w:pPr>
              <w:pStyle w:val="1217"/>
              <w:ind w:right="-17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Филиал «Пермский» ПАО «Т Плюс» (потребители, ранее оплачивающие </w:t>
            </w:r>
            <w:r>
              <w:rPr>
                <w:rFonts w:asciiTheme="minorHAnsi" w:hAnsiTheme="minorHAnsi" w:cstheme="minorHAnsi"/>
                <w:bCs/>
              </w:rPr>
              <w:t xml:space="preserve">производство и передачу тепловой энергии по сетям ПАО НПО «Искра»)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5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2 239,55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2 516,22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9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2 995,97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3 019,46</w:t>
            </w:r>
            <w:r>
              <w:rPr>
                <w:rFonts w:asciiTheme="minorHAnsi" w:hAnsiTheme="minorHAnsi" w:cstheme="minorHAnsi"/>
                <w:bCs/>
              </w:rPr>
            </w:r>
          </w:p>
        </w:tc>
      </w:tr>
      <w:tr>
        <w:tblPrEx/>
        <w:trPr>
          <w:trHeight w:val="20"/>
        </w:trPr>
        <w:tc>
          <w:tcPr>
            <w:tcW w:w="247" w:type="pct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tcW w:w="792" w:type="pct"/>
            <w:vAlign w:val="center"/>
            <w:vMerge w:val="continue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690" w:type="pct"/>
            <w:textDirection w:val="lrTb"/>
            <w:noWrap w:val="false"/>
          </w:tcPr>
          <w:p>
            <w:pPr>
              <w:pStyle w:val="121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6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340" w:type="pct"/>
            <w:textDirection w:val="lrTb"/>
            <w:noWrap w:val="false"/>
          </w:tcPr>
          <w:p>
            <w:pPr>
              <w:pStyle w:val="1217"/>
              <w:ind w:right="-104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Филиал «Пермский» ПАО «Т Плюс» (потребители, ранее оплачивающие производство и передачу тепловой энергии по сетям ПАО НПО «Искра», ПМУП «ГКТХ»)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5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2 496,64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2 754,67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9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2 995,97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3 305,60</w:t>
            </w:r>
            <w:r>
              <w:rPr>
                <w:rFonts w:asciiTheme="minorHAnsi" w:hAnsiTheme="minorHAnsi" w:cstheme="minorHAnsi"/>
                <w:bCs/>
              </w:rPr>
            </w:r>
          </w:p>
        </w:tc>
      </w:tr>
      <w:tr>
        <w:tblPrEx/>
        <w:trPr>
          <w:trHeight w:val="20"/>
        </w:trPr>
        <w:tc>
          <w:tcPr>
            <w:tcW w:w="247" w:type="pct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W w:w="792" w:type="pct"/>
            <w:vAlign w:val="center"/>
            <w:vMerge w:val="continue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690" w:type="pct"/>
            <w:textDirection w:val="lrTb"/>
            <w:noWrap w:val="false"/>
          </w:tcPr>
          <w:p>
            <w:pPr>
              <w:pStyle w:val="121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6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340" w:type="pct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Филиал «Пермский» ПАО «Т Плюс» (потребители, ранее оплачивающие производство и передачу тепловой энергии по сетям ООО «ПСК»)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5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2 782,39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2 907,92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9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3 338,87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3 489,50</w:t>
            </w:r>
            <w:r>
              <w:rPr>
                <w:rFonts w:asciiTheme="minorHAnsi" w:hAnsiTheme="minorHAnsi" w:cstheme="minorHAnsi"/>
                <w:bCs/>
              </w:rPr>
            </w:r>
          </w:p>
        </w:tc>
      </w:tr>
      <w:tr>
        <w:tblPrEx/>
        <w:trPr>
          <w:trHeight w:val="20"/>
        </w:trPr>
        <w:tc>
          <w:tcPr>
            <w:tcW w:w="247" w:type="pct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  <w:tc>
          <w:tcPr>
            <w:tcW w:w="792" w:type="pct"/>
            <w:vAlign w:val="center"/>
            <w:vMerge w:val="continue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690" w:type="pct"/>
            <w:textDirection w:val="lrTb"/>
            <w:noWrap w:val="false"/>
          </w:tcPr>
          <w:p>
            <w:pPr>
              <w:pStyle w:val="121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6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340" w:type="pct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Филиал «Пермский» ПАО «Т Плюс» (потребители, ранее оплачивающие производство и передачу тепловой энергии по сетям ООО «ПСК» и ПМУП «ГКТХ»)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5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2 782,39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2 907,92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9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3 338,87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3 489,50</w:t>
            </w:r>
            <w:r>
              <w:rPr>
                <w:rFonts w:asciiTheme="minorHAnsi" w:hAnsiTheme="minorHAnsi" w:cstheme="minorHAnsi"/>
                <w:bCs/>
              </w:rPr>
            </w:r>
          </w:p>
        </w:tc>
      </w:tr>
      <w:tr>
        <w:tblPrEx/>
        <w:trPr>
          <w:trHeight w:val="20"/>
        </w:trPr>
        <w:tc>
          <w:tcPr>
            <w:tcW w:w="247" w:type="pct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tcW w:w="792" w:type="pct"/>
            <w:vAlign w:val="center"/>
            <w:vMerge w:val="continue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690" w:type="pct"/>
            <w:textDirection w:val="lrTb"/>
            <w:noWrap w:val="false"/>
          </w:tcPr>
          <w:p>
            <w:pPr>
              <w:pStyle w:val="121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19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340" w:type="pct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ПАО «Т Плюс» (г. Пермь, зона теплоснабжения ПТЭЦ-14)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5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2 782,39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2 907,92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9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3 338,87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3 489,50</w:t>
            </w:r>
            <w:r>
              <w:rPr>
                <w:rFonts w:asciiTheme="minorHAnsi" w:hAnsiTheme="minorHAnsi" w:cstheme="minorHAnsi"/>
                <w:bCs/>
              </w:rPr>
            </w:r>
          </w:p>
        </w:tc>
      </w:tr>
      <w:tr>
        <w:tblPrEx/>
        <w:trPr>
          <w:trHeight w:val="20"/>
        </w:trPr>
        <w:tc>
          <w:tcPr>
            <w:tcW w:w="247" w:type="pct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tcW w:w="792" w:type="pct"/>
            <w:vAlign w:val="center"/>
            <w:vMerge w:val="continue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690" w:type="pct"/>
            <w:textDirection w:val="lrTb"/>
            <w:noWrap w:val="false"/>
          </w:tcPr>
          <w:p>
            <w:pPr>
              <w:pStyle w:val="121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22-28, 30, 31, 33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340" w:type="pct"/>
            <w:textDirection w:val="lrTb"/>
            <w:noWrap w:val="false"/>
          </w:tcPr>
          <w:p>
            <w:pPr>
              <w:pStyle w:val="1217"/>
              <w:ind w:right="-114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ПАО «Т Плюс» (ВК Криворожская, ВК Лепешинской, ВК Наумова, ВК Чапаева, ВК Бахаревская, ВК Лесопарковая, ВК Б. Революции, ВК Жукова, ВК Чусовская, ВК Березовая роща)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5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2 782,39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2 907,92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9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3 338,87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3 489,50</w:t>
            </w:r>
            <w:r>
              <w:rPr>
                <w:rFonts w:asciiTheme="minorHAnsi" w:hAnsiTheme="minorHAnsi" w:cstheme="minorHAnsi"/>
                <w:bCs/>
              </w:rPr>
            </w:r>
          </w:p>
        </w:tc>
      </w:tr>
      <w:tr>
        <w:tblPrEx/>
        <w:trPr>
          <w:trHeight w:val="20"/>
        </w:trPr>
        <w:tc>
          <w:tcPr>
            <w:tcW w:w="247" w:type="pct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W w:w="792" w:type="pct"/>
            <w:vAlign w:val="center"/>
            <w:vMerge w:val="continue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690" w:type="pct"/>
            <w:textDirection w:val="lrTb"/>
            <w:noWrap w:val="false"/>
          </w:tcPr>
          <w:p>
            <w:pPr>
              <w:pStyle w:val="121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34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340" w:type="pct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ПАО «Т Плюс» (ВК Западная)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5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2 489,96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2 750,89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9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2 987,95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3 301,07</w:t>
            </w:r>
            <w:r>
              <w:rPr>
                <w:rFonts w:asciiTheme="minorHAnsi" w:hAnsiTheme="minorHAnsi" w:cstheme="minorHAnsi"/>
                <w:bCs/>
              </w:rPr>
            </w:r>
          </w:p>
        </w:tc>
      </w:tr>
      <w:tr>
        <w:tblPrEx/>
        <w:trPr>
          <w:trHeight w:val="20"/>
        </w:trPr>
        <w:tc>
          <w:tcPr>
            <w:tcW w:w="247" w:type="pct"/>
            <w:textDirection w:val="lrTb"/>
            <w:noWrap w:val="false"/>
          </w:tcPr>
          <w:p>
            <w:pPr>
              <w:jc w:val="center"/>
            </w:pPr>
            <w:r>
              <w:t xml:space="preserve">13</w:t>
            </w:r>
            <w:r/>
          </w:p>
        </w:tc>
        <w:tc>
          <w:tcPr>
            <w:tcW w:w="792" w:type="pct"/>
            <w:vMerge w:val="restart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ПМУП «ГКТХ»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690" w:type="pct"/>
            <w:textDirection w:val="lrTb"/>
            <w:noWrap w:val="false"/>
          </w:tcPr>
          <w:p>
            <w:pPr>
              <w:pStyle w:val="121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20, 21, 29, 32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340" w:type="pct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ПМУП «ГКТХ» (ВК Вышка-2, ВК Хабаровская, ВК Белозерская, ВК Дементьева)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5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2 782,39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2 907,92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9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3 338,87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3 489,50</w:t>
            </w:r>
            <w:r>
              <w:rPr>
                <w:rFonts w:asciiTheme="minorHAnsi" w:hAnsiTheme="minorHAnsi" w:cstheme="minorHAnsi"/>
                <w:bCs/>
              </w:rPr>
            </w:r>
          </w:p>
        </w:tc>
      </w:tr>
      <w:tr>
        <w:tblPrEx/>
        <w:trPr>
          <w:trHeight w:val="20"/>
        </w:trPr>
        <w:tc>
          <w:tcPr>
            <w:tcW w:w="247" w:type="pct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/>
          </w:p>
        </w:tc>
        <w:tc>
          <w:tcPr>
            <w:tcW w:w="792" w:type="pct"/>
            <w:vMerge w:val="continue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690" w:type="pct"/>
            <w:textDirection w:val="lrTb"/>
            <w:noWrap w:val="false"/>
          </w:tcPr>
          <w:p>
            <w:pPr>
              <w:pStyle w:val="121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35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340" w:type="pct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ПМУП «ГКТХ» (ВК Южная)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5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2 372,54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2 614,80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9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2 847,05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3 137,76</w:t>
            </w:r>
            <w:r>
              <w:rPr>
                <w:rFonts w:asciiTheme="minorHAnsi" w:hAnsiTheme="minorHAnsi" w:cstheme="minorHAnsi"/>
                <w:bCs/>
              </w:rPr>
            </w:r>
          </w:p>
        </w:tc>
      </w:tr>
      <w:tr>
        <w:tblPrEx/>
        <w:trPr>
          <w:trHeight w:val="20"/>
        </w:trPr>
        <w:tc>
          <w:tcPr>
            <w:tcW w:w="247" w:type="pct"/>
            <w:textDirection w:val="lrTb"/>
            <w:noWrap w:val="false"/>
          </w:tcPr>
          <w:p>
            <w:pPr>
              <w:jc w:val="center"/>
            </w:pPr>
            <w:r>
              <w:t xml:space="preserve">15</w:t>
            </w:r>
            <w:r/>
          </w:p>
        </w:tc>
        <w:tc>
          <w:tcPr>
            <w:tcW w:w="792" w:type="pct"/>
            <w:vMerge w:val="restart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АО «ПЗСП»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690" w:type="pct"/>
            <w:textDirection w:val="lrTb"/>
            <w:noWrap w:val="false"/>
          </w:tcPr>
          <w:p>
            <w:pPr>
              <w:pStyle w:val="121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36-37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340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АО «ПЗСП» (ВК Докучаева, ВК </w:t>
            </w:r>
            <w:r>
              <w:rPr>
                <w:rFonts w:asciiTheme="minorHAnsi" w:hAnsiTheme="minorHAnsi" w:cstheme="minorHAnsi"/>
                <w:bCs/>
              </w:rPr>
              <w:t xml:space="preserve">Костычева</w:t>
            </w:r>
            <w:r>
              <w:rPr>
                <w:rFonts w:asciiTheme="minorHAnsi" w:hAnsiTheme="minorHAnsi" w:cstheme="minorHAnsi"/>
                <w:bCs/>
              </w:rPr>
              <w:t xml:space="preserve">)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5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2 347,50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2 596,19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9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2 817,00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3 115,43</w:t>
            </w:r>
            <w:r>
              <w:rPr>
                <w:rFonts w:asciiTheme="minorHAnsi" w:hAnsiTheme="minorHAnsi" w:cstheme="minorHAnsi"/>
                <w:bCs/>
              </w:rPr>
            </w:r>
          </w:p>
        </w:tc>
      </w:tr>
      <w:tr>
        <w:tblPrEx/>
        <w:trPr>
          <w:trHeight w:val="20"/>
        </w:trPr>
        <w:tc>
          <w:tcPr>
            <w:tcW w:w="247" w:type="pct"/>
            <w:textDirection w:val="lrTb"/>
            <w:noWrap w:val="false"/>
          </w:tcPr>
          <w:p>
            <w:pPr>
              <w:jc w:val="center"/>
            </w:pPr>
            <w:r>
              <w:t xml:space="preserve">16</w:t>
            </w:r>
            <w:r/>
          </w:p>
        </w:tc>
        <w:tc>
          <w:tcPr>
            <w:tcW w:w="792" w:type="pct"/>
            <w:vMerge w:val="continue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690" w:type="pct"/>
            <w:textDirection w:val="lrTb"/>
            <w:noWrap w:val="false"/>
          </w:tcPr>
          <w:p>
            <w:pPr>
              <w:pStyle w:val="121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38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340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АО «ПЗСП» (ВК Менжинского)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5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2 635,48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2 907,92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9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3 162,58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3 489,50</w:t>
            </w:r>
            <w:r>
              <w:rPr>
                <w:rFonts w:asciiTheme="minorHAnsi" w:hAnsiTheme="minorHAnsi" w:cstheme="minorHAnsi"/>
                <w:bCs/>
              </w:rPr>
            </w:r>
          </w:p>
        </w:tc>
      </w:tr>
      <w:tr>
        <w:tblPrEx/>
        <w:trPr>
          <w:trHeight w:val="20"/>
        </w:trPr>
        <w:tc>
          <w:tcPr>
            <w:tcW w:w="247" w:type="pct"/>
            <w:textDirection w:val="lrTb"/>
            <w:noWrap w:val="false"/>
          </w:tcPr>
          <w:p>
            <w:pPr>
              <w:jc w:val="center"/>
            </w:pPr>
            <w:r>
              <w:t xml:space="preserve">17</w:t>
            </w:r>
            <w:r/>
          </w:p>
        </w:tc>
        <w:tc>
          <w:tcPr>
            <w:tcW w:w="792" w:type="pct"/>
            <w:vMerge w:val="continue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690" w:type="pct"/>
            <w:textDirection w:val="lrTb"/>
            <w:noWrap w:val="false"/>
          </w:tcPr>
          <w:p>
            <w:pPr>
              <w:pStyle w:val="121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39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340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АО «ПЗСП» (ВК </w:t>
            </w:r>
            <w:r>
              <w:rPr>
                <w:rFonts w:asciiTheme="minorHAnsi" w:hAnsiTheme="minorHAnsi" w:cstheme="minorHAnsi"/>
                <w:bCs/>
              </w:rPr>
              <w:t xml:space="preserve">Баранчинская</w:t>
            </w:r>
            <w:r>
              <w:rPr>
                <w:rFonts w:asciiTheme="minorHAnsi" w:hAnsiTheme="minorHAnsi" w:cstheme="minorHAnsi"/>
                <w:bCs/>
              </w:rPr>
              <w:t xml:space="preserve">)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5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2 782,39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2 907,92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9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3 338,87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3 489,50</w:t>
            </w:r>
            <w:r>
              <w:rPr>
                <w:rFonts w:asciiTheme="minorHAnsi" w:hAnsiTheme="minorHAnsi" w:cstheme="minorHAnsi"/>
                <w:bCs/>
              </w:rPr>
            </w:r>
          </w:p>
        </w:tc>
      </w:tr>
      <w:tr>
        <w:tblPrEx/>
        <w:trPr>
          <w:trHeight w:val="20"/>
        </w:trPr>
        <w:tc>
          <w:tcPr>
            <w:tcW w:w="247" w:type="pct"/>
            <w:textDirection w:val="lrTb"/>
            <w:noWrap w:val="false"/>
          </w:tcPr>
          <w:p>
            <w:pPr>
              <w:jc w:val="center"/>
            </w:pPr>
            <w:r>
              <w:t xml:space="preserve">18</w:t>
            </w:r>
            <w:r/>
          </w:p>
        </w:tc>
        <w:tc>
          <w:tcPr>
            <w:tcW w:w="792" w:type="pct"/>
            <w:vMerge w:val="restart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Пермский ТУ Свердловской дирекции по ТВ ЦДТВ – филиала ОАО «РЖД»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690" w:type="pct"/>
            <w:textDirection w:val="lrTb"/>
            <w:noWrap w:val="false"/>
          </w:tcPr>
          <w:p>
            <w:pPr>
              <w:pStyle w:val="121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41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340" w:type="pct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ОАО «РЖД» (ВК Восточная)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5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2 492,74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2 752,35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9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2 991,29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3 302,82</w:t>
            </w:r>
            <w:r>
              <w:rPr>
                <w:rFonts w:asciiTheme="minorHAnsi" w:hAnsiTheme="minorHAnsi" w:cstheme="minorHAnsi"/>
                <w:bCs/>
              </w:rPr>
            </w:r>
          </w:p>
        </w:tc>
      </w:tr>
      <w:tr>
        <w:tblPrEx/>
        <w:trPr>
          <w:trHeight w:val="20"/>
        </w:trPr>
        <w:tc>
          <w:tcPr>
            <w:tcW w:w="247" w:type="pct"/>
            <w:textDirection w:val="lrTb"/>
            <w:noWrap w:val="false"/>
          </w:tcPr>
          <w:p>
            <w:pPr>
              <w:jc w:val="center"/>
            </w:pPr>
            <w:r>
              <w:t xml:space="preserve">19</w:t>
            </w:r>
            <w:r/>
          </w:p>
        </w:tc>
        <w:tc>
          <w:tcPr>
            <w:tcW w:w="792" w:type="pct"/>
            <w:vMerge w:val="continue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690" w:type="pct"/>
            <w:textDirection w:val="lrTb"/>
            <w:noWrap w:val="false"/>
          </w:tcPr>
          <w:p>
            <w:pPr>
              <w:pStyle w:val="121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42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340" w:type="pct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ОАО «РЖД» (ВК Блочная)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5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2 230,92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2 509,53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9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2 677,11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3 011,44</w:t>
            </w:r>
            <w:r>
              <w:rPr>
                <w:rFonts w:asciiTheme="minorHAnsi" w:hAnsiTheme="minorHAnsi" w:cstheme="minorHAnsi"/>
                <w:bCs/>
              </w:rPr>
            </w:r>
          </w:p>
        </w:tc>
      </w:tr>
      <w:tr>
        <w:tblPrEx/>
        <w:trPr>
          <w:trHeight w:val="20"/>
        </w:trPr>
        <w:tc>
          <w:tcPr>
            <w:tcW w:w="247" w:type="pct"/>
            <w:textDirection w:val="lrTb"/>
            <w:noWrap w:val="false"/>
          </w:tcPr>
          <w:p>
            <w:pPr>
              <w:jc w:val="center"/>
            </w:pPr>
            <w:r>
              <w:t xml:space="preserve">20</w:t>
            </w:r>
            <w:r/>
          </w:p>
        </w:tc>
        <w:tc>
          <w:tcPr>
            <w:tcW w:w="792" w:type="pct"/>
            <w:vMerge w:val="continue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690" w:type="pct"/>
            <w:textDirection w:val="lrTb"/>
            <w:noWrap w:val="false"/>
          </w:tcPr>
          <w:p>
            <w:pPr>
              <w:pStyle w:val="121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43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340" w:type="pct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ОАО «РЖД» (ВК РЖД, Каменского)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5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2 212,28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2 495,58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9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2 654,73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2994,70</w:t>
            </w:r>
            <w:r>
              <w:rPr>
                <w:rFonts w:asciiTheme="minorHAnsi" w:hAnsiTheme="minorHAnsi" w:cstheme="minorHAnsi"/>
                <w:bCs/>
              </w:rPr>
            </w:r>
          </w:p>
        </w:tc>
      </w:tr>
      <w:tr>
        <w:tblPrEx/>
        <w:trPr>
          <w:trHeight w:val="20"/>
        </w:trPr>
        <w:tc>
          <w:tcPr>
            <w:tcW w:w="247" w:type="pct"/>
            <w:textDirection w:val="lrTb"/>
            <w:noWrap w:val="false"/>
          </w:tcPr>
          <w:p>
            <w:pPr>
              <w:jc w:val="center"/>
            </w:pPr>
            <w:r>
              <w:t xml:space="preserve">21</w:t>
            </w:r>
            <w:r/>
          </w:p>
        </w:tc>
        <w:tc>
          <w:tcPr>
            <w:tcW w:w="792" w:type="pct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ООО СК «Вышка-2»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690" w:type="pct"/>
            <w:textDirection w:val="lrTb"/>
            <w:noWrap w:val="false"/>
          </w:tcPr>
          <w:p>
            <w:pPr>
              <w:pStyle w:val="121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44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340" w:type="pct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ООО СК «Вышка-2»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5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2 782,39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2 907,92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9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3 338,87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3 489,50</w:t>
            </w:r>
            <w:r>
              <w:rPr>
                <w:rFonts w:asciiTheme="minorHAnsi" w:hAnsiTheme="minorHAnsi" w:cstheme="minorHAnsi"/>
                <w:bCs/>
              </w:rPr>
            </w:r>
          </w:p>
        </w:tc>
      </w:tr>
      <w:tr>
        <w:tblPrEx/>
        <w:trPr>
          <w:trHeight w:val="20"/>
        </w:trPr>
        <w:tc>
          <w:tcPr>
            <w:tcW w:w="247" w:type="pct"/>
            <w:textDirection w:val="lrTb"/>
            <w:noWrap w:val="false"/>
          </w:tcPr>
          <w:p>
            <w:pPr>
              <w:jc w:val="center"/>
            </w:pPr>
            <w:r>
              <w:t xml:space="preserve">22</w:t>
            </w:r>
            <w:r/>
          </w:p>
        </w:tc>
        <w:tc>
          <w:tcPr>
            <w:tcW w:w="792" w:type="pct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ООО «ТЭК»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690" w:type="pct"/>
            <w:textDirection w:val="lrTb"/>
            <w:noWrap w:val="false"/>
          </w:tcPr>
          <w:p>
            <w:pPr>
              <w:pStyle w:val="121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45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340" w:type="pct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ООО «ТЭК» (ВК Пермский картон)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5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2 640,77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2 907,92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9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3 168,92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3 489,50</w:t>
            </w:r>
            <w:r>
              <w:rPr>
                <w:rFonts w:asciiTheme="minorHAnsi" w:hAnsiTheme="minorHAnsi" w:cstheme="minorHAnsi"/>
                <w:bCs/>
              </w:rPr>
            </w:r>
          </w:p>
        </w:tc>
      </w:tr>
      <w:tr>
        <w:tblPrEx/>
        <w:trPr>
          <w:trHeight w:val="20"/>
        </w:trPr>
        <w:tc>
          <w:tcPr>
            <w:tcW w:w="247" w:type="pct"/>
            <w:textDirection w:val="lrTb"/>
            <w:noWrap w:val="false"/>
          </w:tcPr>
          <w:p>
            <w:pPr>
              <w:jc w:val="center"/>
            </w:pPr>
            <w:r>
              <w:t xml:space="preserve">23</w:t>
            </w:r>
            <w:r/>
          </w:p>
        </w:tc>
        <w:tc>
          <w:tcPr>
            <w:tcW w:w="792" w:type="pct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ФГАОУ ВО «ПНИПУ»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690" w:type="pct"/>
            <w:textDirection w:val="lrTb"/>
            <w:noWrap w:val="false"/>
          </w:tcPr>
          <w:p>
            <w:pPr>
              <w:pStyle w:val="121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46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340" w:type="pct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ФГАОУ ВО «ПНИПУ»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5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2 355,97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2 604,43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9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2 827,16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3 125,32</w:t>
            </w:r>
            <w:r>
              <w:rPr>
                <w:rFonts w:asciiTheme="minorHAnsi" w:hAnsiTheme="minorHAnsi" w:cstheme="minorHAnsi"/>
                <w:bCs/>
              </w:rPr>
            </w:r>
          </w:p>
        </w:tc>
      </w:tr>
      <w:tr>
        <w:tblPrEx/>
        <w:trPr>
          <w:trHeight w:val="20"/>
        </w:trPr>
        <w:tc>
          <w:tcPr>
            <w:tcW w:w="247" w:type="pct"/>
            <w:textDirection w:val="lrTb"/>
            <w:noWrap w:val="false"/>
          </w:tcPr>
          <w:p>
            <w:pPr>
              <w:jc w:val="center"/>
            </w:pPr>
            <w:r>
              <w:t xml:space="preserve">24</w:t>
            </w:r>
            <w:r/>
          </w:p>
        </w:tc>
        <w:tc>
          <w:tcPr>
            <w:tcW w:w="792" w:type="pct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АО «</w:t>
            </w:r>
            <w:r>
              <w:rPr>
                <w:rFonts w:asciiTheme="minorHAnsi" w:hAnsiTheme="minorHAnsi" w:cstheme="minorHAnsi"/>
                <w:bCs/>
              </w:rPr>
              <w:t xml:space="preserve">Новомет</w:t>
            </w:r>
            <w:r>
              <w:rPr>
                <w:rFonts w:asciiTheme="minorHAnsi" w:hAnsiTheme="minorHAnsi" w:cstheme="minorHAnsi"/>
                <w:bCs/>
              </w:rPr>
              <w:t xml:space="preserve">-Пермь»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690" w:type="pct"/>
            <w:textDirection w:val="lrTb"/>
            <w:noWrap w:val="false"/>
          </w:tcPr>
          <w:p>
            <w:pPr>
              <w:pStyle w:val="121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47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340" w:type="pct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АО «</w:t>
            </w:r>
            <w:r>
              <w:rPr>
                <w:rFonts w:asciiTheme="minorHAnsi" w:hAnsiTheme="minorHAnsi" w:cstheme="minorHAnsi"/>
                <w:bCs/>
              </w:rPr>
              <w:t xml:space="preserve">Новомет</w:t>
            </w:r>
            <w:r>
              <w:rPr>
                <w:rFonts w:asciiTheme="minorHAnsi" w:hAnsiTheme="minorHAnsi" w:cstheme="minorHAnsi"/>
                <w:bCs/>
              </w:rPr>
              <w:t xml:space="preserve">-Пермь»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5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2 617,95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2 907,92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9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3 141,54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3 489,50</w:t>
            </w:r>
            <w:r>
              <w:rPr>
                <w:rFonts w:asciiTheme="minorHAnsi" w:hAnsiTheme="minorHAnsi" w:cstheme="minorHAnsi"/>
                <w:bCs/>
              </w:rPr>
            </w:r>
          </w:p>
        </w:tc>
      </w:tr>
      <w:tr>
        <w:tblPrEx/>
        <w:trPr>
          <w:trHeight w:val="20"/>
        </w:trPr>
        <w:tc>
          <w:tcPr>
            <w:tcW w:w="247" w:type="pct"/>
            <w:textDirection w:val="lrTb"/>
            <w:noWrap w:val="false"/>
          </w:tcPr>
          <w:p>
            <w:pPr>
              <w:jc w:val="center"/>
            </w:pPr>
            <w:r>
              <w:t xml:space="preserve">25</w:t>
            </w:r>
            <w:r/>
          </w:p>
        </w:tc>
        <w:tc>
          <w:tcPr>
            <w:tcW w:w="792" w:type="pct"/>
            <w:vMerge w:val="restart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ООО «</w:t>
            </w:r>
            <w:r>
              <w:rPr>
                <w:rFonts w:asciiTheme="minorHAnsi" w:hAnsiTheme="minorHAnsi" w:cstheme="minorHAnsi"/>
                <w:bCs/>
              </w:rPr>
              <w:t xml:space="preserve">Тимсервис</w:t>
            </w:r>
            <w:r>
              <w:rPr>
                <w:rFonts w:asciiTheme="minorHAnsi" w:hAnsiTheme="minorHAnsi" w:cstheme="minorHAnsi"/>
                <w:bCs/>
              </w:rPr>
              <w:t xml:space="preserve">»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690" w:type="pct"/>
            <w:textDirection w:val="lrTb"/>
            <w:noWrap w:val="false"/>
          </w:tcPr>
          <w:p>
            <w:pPr>
              <w:pStyle w:val="121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49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340" w:type="pct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ООО «</w:t>
            </w:r>
            <w:r>
              <w:rPr>
                <w:rFonts w:asciiTheme="minorHAnsi" w:hAnsiTheme="minorHAnsi" w:cstheme="minorHAnsi"/>
                <w:bCs/>
              </w:rPr>
              <w:t xml:space="preserve">Тимсервис</w:t>
            </w:r>
            <w:r>
              <w:rPr>
                <w:rFonts w:asciiTheme="minorHAnsi" w:hAnsiTheme="minorHAnsi" w:cstheme="minorHAnsi"/>
                <w:bCs/>
              </w:rPr>
              <w:t xml:space="preserve">» (ВК Ива)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5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2 782,39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2 907,92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9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3 338,87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3 489,50</w:t>
            </w:r>
            <w:r>
              <w:rPr>
                <w:rFonts w:asciiTheme="minorHAnsi" w:hAnsiTheme="minorHAnsi" w:cstheme="minorHAnsi"/>
                <w:bCs/>
              </w:rPr>
            </w:r>
          </w:p>
        </w:tc>
      </w:tr>
      <w:tr>
        <w:tblPrEx/>
        <w:trPr>
          <w:trHeight w:val="20"/>
        </w:trPr>
        <w:tc>
          <w:tcPr>
            <w:tcW w:w="247" w:type="pct"/>
            <w:textDirection w:val="lrTb"/>
            <w:noWrap w:val="false"/>
          </w:tcPr>
          <w:p>
            <w:pPr>
              <w:jc w:val="center"/>
            </w:pPr>
            <w:r>
              <w:t xml:space="preserve">26</w:t>
            </w:r>
            <w:r/>
          </w:p>
        </w:tc>
        <w:tc>
          <w:tcPr>
            <w:tcW w:w="792" w:type="pct"/>
            <w:vMerge w:val="continue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690" w:type="pct"/>
            <w:textDirection w:val="lrTb"/>
            <w:noWrap w:val="false"/>
          </w:tcPr>
          <w:p>
            <w:pPr>
              <w:pStyle w:val="121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50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340" w:type="pct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ООО «</w:t>
            </w:r>
            <w:r>
              <w:rPr>
                <w:rFonts w:asciiTheme="minorHAnsi" w:hAnsiTheme="minorHAnsi" w:cstheme="minorHAnsi"/>
                <w:bCs/>
              </w:rPr>
              <w:t xml:space="preserve">Тимсервис</w:t>
            </w:r>
            <w:r>
              <w:rPr>
                <w:rFonts w:asciiTheme="minorHAnsi" w:hAnsiTheme="minorHAnsi" w:cstheme="minorHAnsi"/>
                <w:bCs/>
              </w:rPr>
              <w:t xml:space="preserve">» (ВК Делегатская)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5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2 396,98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2 625,82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9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2 878,77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3 150,98</w:t>
            </w:r>
            <w:r>
              <w:rPr>
                <w:rFonts w:asciiTheme="minorHAnsi" w:hAnsiTheme="minorHAnsi" w:cstheme="minorHAnsi"/>
                <w:bCs/>
              </w:rPr>
            </w:r>
          </w:p>
        </w:tc>
      </w:tr>
      <w:tr>
        <w:tblPrEx/>
        <w:trPr>
          <w:trHeight w:val="20"/>
        </w:trPr>
        <w:tc>
          <w:tcPr>
            <w:tcW w:w="247" w:type="pct"/>
            <w:textDirection w:val="lrTb"/>
            <w:noWrap w:val="false"/>
          </w:tcPr>
          <w:p>
            <w:pPr>
              <w:jc w:val="center"/>
            </w:pPr>
            <w:r>
              <w:t xml:space="preserve">27</w:t>
            </w:r>
            <w:r/>
          </w:p>
        </w:tc>
        <w:tc>
          <w:tcPr>
            <w:tcW w:w="792" w:type="pct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ООО «НОВОГОР-</w:t>
            </w:r>
            <w:r>
              <w:rPr>
                <w:rFonts w:asciiTheme="minorHAnsi" w:hAnsiTheme="minorHAnsi" w:cstheme="minorHAnsi"/>
                <w:bCs/>
              </w:rPr>
              <w:t xml:space="preserve">Прикамье</w:t>
            </w:r>
            <w:r>
              <w:rPr>
                <w:rFonts w:asciiTheme="minorHAnsi" w:hAnsiTheme="minorHAnsi" w:cstheme="minorHAnsi"/>
                <w:bCs/>
              </w:rPr>
              <w:t xml:space="preserve">»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690" w:type="pct"/>
            <w:textDirection w:val="lrTb"/>
            <w:noWrap w:val="false"/>
          </w:tcPr>
          <w:p>
            <w:pPr>
              <w:pStyle w:val="121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51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340" w:type="pct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ООО «НОВОГОР-</w:t>
            </w:r>
            <w:r>
              <w:rPr>
                <w:rFonts w:asciiTheme="minorHAnsi" w:hAnsiTheme="minorHAnsi" w:cstheme="minorHAnsi"/>
                <w:bCs/>
              </w:rPr>
              <w:t xml:space="preserve">Прикамье</w:t>
            </w:r>
            <w:r>
              <w:rPr>
                <w:rFonts w:asciiTheme="minorHAnsi" w:hAnsiTheme="minorHAnsi" w:cstheme="minorHAnsi"/>
                <w:bCs/>
              </w:rPr>
              <w:t xml:space="preserve">»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5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2 782,39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2 907,92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9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3 338,87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3 489,50</w:t>
            </w:r>
            <w:r>
              <w:rPr>
                <w:rFonts w:asciiTheme="minorHAnsi" w:hAnsiTheme="minorHAnsi" w:cstheme="minorHAnsi"/>
                <w:bCs/>
              </w:rPr>
            </w:r>
          </w:p>
        </w:tc>
      </w:tr>
      <w:tr>
        <w:tblPrEx/>
        <w:trPr>
          <w:trHeight w:val="20"/>
        </w:trPr>
        <w:tc>
          <w:tcPr>
            <w:tcW w:w="247" w:type="pct"/>
            <w:textDirection w:val="lrTb"/>
            <w:noWrap w:val="false"/>
          </w:tcPr>
          <w:p>
            <w:pPr>
              <w:jc w:val="center"/>
            </w:pPr>
            <w:r>
              <w:t xml:space="preserve">28</w:t>
            </w:r>
            <w:r/>
          </w:p>
        </w:tc>
        <w:tc>
          <w:tcPr>
            <w:tcW w:w="792" w:type="pct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ФКУ «ИК-32 ГУФСИН России по Пермскому краю»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690" w:type="pct"/>
            <w:textDirection w:val="lrTb"/>
            <w:noWrap w:val="false"/>
          </w:tcPr>
          <w:p>
            <w:pPr>
              <w:pStyle w:val="121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52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340" w:type="pct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ФКУ «ИК-32 ГУФСИН России по Пермскому краю»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5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2 129,36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2 433,06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9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2 555,24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2 919,67</w:t>
            </w:r>
            <w:r>
              <w:rPr>
                <w:rFonts w:asciiTheme="minorHAnsi" w:hAnsiTheme="minorHAnsi" w:cstheme="minorHAnsi"/>
                <w:bCs/>
              </w:rPr>
            </w:r>
          </w:p>
        </w:tc>
      </w:tr>
      <w:tr>
        <w:tblPrEx/>
        <w:trPr>
          <w:trHeight w:val="20"/>
        </w:trPr>
        <w:tc>
          <w:tcPr>
            <w:tcW w:w="247" w:type="pct"/>
            <w:textDirection w:val="lrTb"/>
            <w:noWrap w:val="false"/>
          </w:tcPr>
          <w:p>
            <w:pPr>
              <w:jc w:val="center"/>
            </w:pPr>
            <w:r>
              <w:t xml:space="preserve">29</w:t>
            </w:r>
            <w:r/>
          </w:p>
        </w:tc>
        <w:tc>
          <w:tcPr>
            <w:tcW w:w="792" w:type="pct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ООО «Пермский насосный завод»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690" w:type="pct"/>
            <w:textDirection w:val="lrTb"/>
            <w:noWrap w:val="false"/>
          </w:tcPr>
          <w:p>
            <w:pPr>
              <w:pStyle w:val="121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53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340" w:type="pct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ООО «Пермский насосный завод»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5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3 983,73</w:t>
            </w:r>
            <w:r>
              <w:rPr>
                <w:rFonts w:asciiTheme="minorHAnsi" w:hAnsiTheme="minorHAnsi" w:cstheme="minorHAnsi"/>
                <w:bCs/>
                <w:vertAlign w:val="superscript"/>
              </w:rPr>
              <w:t xml:space="preserve">1</w:t>
            </w:r>
            <w:r>
              <w:rPr>
                <w:rFonts w:asciiTheme="minorHAnsi" w:hAnsiTheme="minorHAnsi" w:cstheme="minorHAnsi"/>
                <w:bCs/>
                <w:vertAlign w:val="superscript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3 476,17</w:t>
            </w:r>
            <w:r>
              <w:rPr>
                <w:rFonts w:asciiTheme="minorHAnsi" w:hAnsiTheme="minorHAnsi" w:cstheme="minorHAnsi"/>
                <w:bCs/>
                <w:vertAlign w:val="superscript"/>
              </w:rPr>
              <w:t xml:space="preserve">1</w:t>
            </w:r>
            <w:r>
              <w:rPr>
                <w:rFonts w:asciiTheme="minorHAnsi" w:hAnsiTheme="minorHAnsi" w:cstheme="minorHAnsi"/>
                <w:bCs/>
                <w:vertAlign w:val="superscript"/>
              </w:rPr>
            </w:r>
          </w:p>
        </w:tc>
        <w:tc>
          <w:tcPr>
            <w:tcW w:w="49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3 983,73</w:t>
            </w:r>
            <w:r>
              <w:rPr>
                <w:rFonts w:asciiTheme="minorHAnsi" w:hAnsiTheme="minorHAnsi" w:cstheme="minorHAnsi"/>
                <w:bCs/>
                <w:vertAlign w:val="superscript"/>
              </w:rPr>
              <w:t xml:space="preserve">1</w:t>
            </w:r>
            <w:r>
              <w:rPr>
                <w:rFonts w:asciiTheme="minorHAnsi" w:hAnsiTheme="minorHAnsi" w:cstheme="minorHAnsi"/>
                <w:bCs/>
                <w:vertAlign w:val="superscript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3 476,17</w:t>
            </w:r>
            <w:r>
              <w:rPr>
                <w:rFonts w:asciiTheme="minorHAnsi" w:hAnsiTheme="minorHAnsi" w:cstheme="minorHAnsi"/>
                <w:bCs/>
                <w:vertAlign w:val="superscript"/>
              </w:rPr>
              <w:t xml:space="preserve">1</w:t>
            </w:r>
            <w:r>
              <w:rPr>
                <w:rFonts w:asciiTheme="minorHAnsi" w:hAnsiTheme="minorHAnsi" w:cstheme="minorHAnsi"/>
                <w:bCs/>
                <w:vertAlign w:val="superscript"/>
              </w:rPr>
            </w:r>
          </w:p>
        </w:tc>
      </w:tr>
      <w:tr>
        <w:tblPrEx/>
        <w:trPr>
          <w:trHeight w:val="20"/>
        </w:trPr>
        <w:tc>
          <w:tcPr>
            <w:tcW w:w="247" w:type="pct"/>
            <w:textDirection w:val="lrTb"/>
            <w:noWrap w:val="false"/>
          </w:tcPr>
          <w:p>
            <w:pPr>
              <w:jc w:val="center"/>
            </w:pPr>
            <w:r>
              <w:t xml:space="preserve">30</w:t>
            </w:r>
            <w:r/>
          </w:p>
        </w:tc>
        <w:tc>
          <w:tcPr>
            <w:tcW w:w="792" w:type="pct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ООО «ПТЭК»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690" w:type="pct"/>
            <w:textDirection w:val="lrTb"/>
            <w:noWrap w:val="false"/>
          </w:tcPr>
          <w:p>
            <w:pPr>
              <w:pStyle w:val="121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54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340" w:type="pct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ООО «ПТЭК» (ВК СПК Вышка-2)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5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2 782,39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2 907,92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9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3 338,87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3 489,50</w:t>
            </w:r>
            <w:r>
              <w:rPr>
                <w:rFonts w:asciiTheme="minorHAnsi" w:hAnsiTheme="minorHAnsi" w:cstheme="minorHAnsi"/>
                <w:bCs/>
              </w:rPr>
            </w:r>
          </w:p>
        </w:tc>
      </w:tr>
      <w:tr>
        <w:tblPrEx/>
        <w:trPr>
          <w:trHeight w:val="20"/>
        </w:trPr>
        <w:tc>
          <w:tcPr>
            <w:tcW w:w="247" w:type="pct"/>
            <w:textDirection w:val="lrTb"/>
            <w:noWrap w:val="false"/>
          </w:tcPr>
          <w:p>
            <w:pPr>
              <w:jc w:val="center"/>
            </w:pPr>
            <w:r>
              <w:t xml:space="preserve">31</w:t>
            </w:r>
            <w:r/>
          </w:p>
        </w:tc>
        <w:tc>
          <w:tcPr>
            <w:tcW w:w="792" w:type="pct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ФКП «Пермский пороховой завод»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690" w:type="pct"/>
            <w:textDirection w:val="lrTb"/>
            <w:noWrap w:val="false"/>
          </w:tcPr>
          <w:p>
            <w:pPr>
              <w:pStyle w:val="121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55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340" w:type="pct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ФКП «Пермский пороховой завод»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5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2 609,60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2 896,71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9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3 131,53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3 476,05</w:t>
            </w:r>
            <w:r>
              <w:rPr>
                <w:rFonts w:asciiTheme="minorHAnsi" w:hAnsiTheme="minorHAnsi" w:cstheme="minorHAnsi"/>
                <w:bCs/>
              </w:rPr>
            </w:r>
          </w:p>
        </w:tc>
      </w:tr>
      <w:tr>
        <w:tblPrEx/>
        <w:trPr>
          <w:trHeight w:val="20"/>
        </w:trPr>
        <w:tc>
          <w:tcPr>
            <w:tcW w:w="247" w:type="pct"/>
            <w:textDirection w:val="lrTb"/>
            <w:noWrap w:val="false"/>
          </w:tcPr>
          <w:p>
            <w:pPr>
              <w:jc w:val="center"/>
            </w:pPr>
            <w:r>
              <w:t xml:space="preserve">32</w:t>
            </w:r>
            <w:r/>
          </w:p>
        </w:tc>
        <w:tc>
          <w:tcPr>
            <w:tcW w:w="792" w:type="pct"/>
            <w:textDirection w:val="lrTb"/>
            <w:noWrap w:val="false"/>
          </w:tcPr>
          <w:p>
            <w:pPr>
              <w:pStyle w:val="1217"/>
              <w:ind w:right="-109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АО «Пермский завод «Машиностроитель»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690" w:type="pct"/>
            <w:textDirection w:val="lrTb"/>
            <w:noWrap w:val="false"/>
          </w:tcPr>
          <w:p>
            <w:pPr>
              <w:pStyle w:val="121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58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340" w:type="pct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АО «Пермский завод «Машиностроитель»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5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2 217,82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2 509,90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9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2 661,39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3 011,88</w:t>
            </w:r>
            <w:r>
              <w:rPr>
                <w:rFonts w:asciiTheme="minorHAnsi" w:hAnsiTheme="minorHAnsi" w:cstheme="minorHAnsi"/>
                <w:bCs/>
              </w:rPr>
            </w:r>
          </w:p>
        </w:tc>
      </w:tr>
      <w:tr>
        <w:tblPrEx/>
        <w:trPr>
          <w:trHeight w:val="20"/>
        </w:trPr>
        <w:tc>
          <w:tcPr>
            <w:tcW w:w="247" w:type="pct"/>
            <w:textDirection w:val="lrTb"/>
            <w:noWrap w:val="false"/>
          </w:tcPr>
          <w:p>
            <w:pPr>
              <w:jc w:val="center"/>
            </w:pPr>
            <w:r>
              <w:t xml:space="preserve">33</w:t>
            </w:r>
            <w:r/>
          </w:p>
        </w:tc>
        <w:tc>
          <w:tcPr>
            <w:tcW w:w="792" w:type="pct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Филиал «Свердловская железная дорога» </w:t>
            </w:r>
            <w:r>
              <w:rPr>
                <w:rFonts w:asciiTheme="minorHAnsi" w:hAnsiTheme="minorHAnsi" w:cstheme="minorHAnsi"/>
                <w:bCs/>
              </w:rPr>
              <w:t xml:space="preserve">ОАО «РЖД»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690" w:type="pct"/>
            <w:textDirection w:val="lrTb"/>
            <w:noWrap w:val="false"/>
          </w:tcPr>
          <w:p>
            <w:pPr>
              <w:pStyle w:val="121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60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340" w:type="pct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ОАО «РЖД» (ВК АО «ФПК»)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5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2 782,39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2 907,92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9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3 338,87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3 489,50</w:t>
            </w:r>
            <w:r>
              <w:rPr>
                <w:rFonts w:asciiTheme="minorHAnsi" w:hAnsiTheme="minorHAnsi" w:cstheme="minorHAnsi"/>
                <w:bCs/>
              </w:rPr>
            </w:r>
          </w:p>
        </w:tc>
      </w:tr>
      <w:tr>
        <w:tblPrEx/>
        <w:trPr>
          <w:trHeight w:val="20"/>
        </w:trPr>
        <w:tc>
          <w:tcPr>
            <w:tcW w:w="247" w:type="pct"/>
            <w:textDirection w:val="lrTb"/>
            <w:noWrap w:val="false"/>
          </w:tcPr>
          <w:p>
            <w:pPr>
              <w:jc w:val="center"/>
            </w:pPr>
            <w:r>
              <w:t xml:space="preserve">34</w:t>
            </w:r>
            <w:r/>
          </w:p>
        </w:tc>
        <w:tc>
          <w:tcPr>
            <w:tcW w:w="792" w:type="pct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АО «</w:t>
            </w:r>
            <w:r>
              <w:rPr>
                <w:rFonts w:asciiTheme="minorHAnsi" w:hAnsiTheme="minorHAnsi" w:cstheme="minorHAnsi"/>
                <w:bCs/>
              </w:rPr>
              <w:t xml:space="preserve">Держава-М</w:t>
            </w:r>
            <w:r>
              <w:rPr>
                <w:rFonts w:asciiTheme="minorHAnsi" w:hAnsiTheme="minorHAnsi" w:cstheme="minorHAnsi"/>
                <w:bCs/>
              </w:rPr>
              <w:t xml:space="preserve">»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690" w:type="pct"/>
            <w:textDirection w:val="lrTb"/>
            <w:noWrap w:val="false"/>
          </w:tcPr>
          <w:p>
            <w:pPr>
              <w:pStyle w:val="121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61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340" w:type="pct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АО «</w:t>
            </w:r>
            <w:r>
              <w:rPr>
                <w:rFonts w:asciiTheme="minorHAnsi" w:hAnsiTheme="minorHAnsi" w:cstheme="minorHAnsi"/>
                <w:bCs/>
              </w:rPr>
              <w:t xml:space="preserve">Держава-М</w:t>
            </w:r>
            <w:r>
              <w:rPr>
                <w:rFonts w:asciiTheme="minorHAnsi" w:hAnsiTheme="minorHAnsi" w:cstheme="minorHAnsi"/>
                <w:bCs/>
              </w:rPr>
              <w:t xml:space="preserve">»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5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2 782,39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2 762,97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9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3 338,87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3 315,56</w:t>
            </w:r>
            <w:r>
              <w:rPr>
                <w:rFonts w:asciiTheme="minorHAnsi" w:hAnsiTheme="minorHAnsi" w:cstheme="minorHAnsi"/>
                <w:bCs/>
              </w:rPr>
            </w:r>
          </w:p>
        </w:tc>
      </w:tr>
      <w:tr>
        <w:tblPrEx/>
        <w:trPr>
          <w:trHeight w:val="20"/>
        </w:trPr>
        <w:tc>
          <w:tcPr>
            <w:tcW w:w="247" w:type="pct"/>
            <w:textDirection w:val="lrTb"/>
            <w:noWrap w:val="false"/>
          </w:tcPr>
          <w:p>
            <w:pPr>
              <w:jc w:val="center"/>
            </w:pPr>
            <w:r>
              <w:t xml:space="preserve">35</w:t>
            </w:r>
            <w:r/>
          </w:p>
        </w:tc>
        <w:tc>
          <w:tcPr>
            <w:tcW w:w="792" w:type="pct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ООО «Армейский Обоз»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690" w:type="pct"/>
            <w:textDirection w:val="lrTb"/>
            <w:noWrap w:val="false"/>
          </w:tcPr>
          <w:p>
            <w:pPr>
              <w:pStyle w:val="121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66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340" w:type="pct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ООО «Армейский Обоз»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5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2 788,54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3 496,49</w:t>
            </w:r>
            <w:r>
              <w:rPr>
                <w:rFonts w:asciiTheme="minorHAnsi" w:hAnsiTheme="minorHAnsi" w:cstheme="minorHAnsi"/>
                <w:bCs/>
                <w:vertAlign w:val="superscript"/>
              </w:rPr>
              <w:t xml:space="preserve">1</w:t>
            </w:r>
            <w:r>
              <w:rPr>
                <w:rFonts w:asciiTheme="minorHAnsi" w:hAnsiTheme="minorHAnsi" w:cstheme="minorHAnsi"/>
                <w:bCs/>
                <w:vertAlign w:val="superscript"/>
              </w:rPr>
            </w:r>
          </w:p>
        </w:tc>
        <w:tc>
          <w:tcPr>
            <w:tcW w:w="49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3 346,25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3 496,49</w:t>
            </w:r>
            <w:r>
              <w:rPr>
                <w:rFonts w:asciiTheme="minorHAnsi" w:hAnsiTheme="minorHAnsi" w:cstheme="minorHAnsi"/>
                <w:bCs/>
                <w:vertAlign w:val="superscript"/>
              </w:rPr>
              <w:t xml:space="preserve">1</w:t>
            </w:r>
            <w:r>
              <w:rPr>
                <w:rFonts w:asciiTheme="minorHAnsi" w:hAnsiTheme="minorHAnsi" w:cstheme="minorHAnsi"/>
                <w:bCs/>
                <w:vertAlign w:val="superscript"/>
              </w:rPr>
            </w:r>
          </w:p>
        </w:tc>
      </w:tr>
      <w:tr>
        <w:tblPrEx/>
        <w:trPr>
          <w:trHeight w:val="20"/>
        </w:trPr>
        <w:tc>
          <w:tcPr>
            <w:tcW w:w="247" w:type="pct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</w:p>
        </w:tc>
        <w:tc>
          <w:tcPr>
            <w:tcW w:w="792" w:type="pct"/>
            <w:textDirection w:val="lrTb"/>
            <w:noWrap w:val="false"/>
          </w:tcPr>
          <w:p>
            <w:pPr>
              <w:pStyle w:val="1217"/>
              <w:ind w:right="-243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Филиал «</w:t>
            </w:r>
            <w:r>
              <w:rPr>
                <w:rFonts w:asciiTheme="minorHAnsi" w:hAnsiTheme="minorHAnsi" w:cstheme="minorHAnsi"/>
                <w:bCs/>
              </w:rPr>
              <w:t xml:space="preserve">ЗиД</w:t>
            </w:r>
            <w:r>
              <w:rPr>
                <w:rFonts w:asciiTheme="minorHAnsi" w:hAnsiTheme="minorHAnsi" w:cstheme="minorHAnsi"/>
                <w:bCs/>
              </w:rPr>
              <w:t xml:space="preserve">» </w:t>
            </w:r>
            <w:r>
              <w:rPr>
                <w:rFonts w:asciiTheme="minorHAnsi" w:hAnsiTheme="minorHAnsi" w:cstheme="minorHAnsi"/>
                <w:bCs/>
              </w:rPr>
              <w:t xml:space="preserve">АО «НПО «</w:t>
            </w:r>
            <w:r>
              <w:rPr>
                <w:rFonts w:asciiTheme="minorHAnsi" w:hAnsiTheme="minorHAnsi" w:cstheme="minorHAnsi"/>
                <w:bCs/>
              </w:rPr>
              <w:t xml:space="preserve">Курганприбор</w:t>
            </w:r>
            <w:r>
              <w:rPr>
                <w:rFonts w:asciiTheme="minorHAnsi" w:hAnsiTheme="minorHAnsi" w:cstheme="minorHAnsi"/>
                <w:bCs/>
              </w:rPr>
              <w:t xml:space="preserve">»</w:t>
            </w:r>
            <w:r>
              <w:rPr>
                <w:rFonts w:asciiTheme="minorHAnsi" w:hAnsiTheme="minorHAnsi" w:cstheme="minorHAnsi"/>
                <w:bCs/>
              </w:rPr>
            </w:r>
          </w:p>
          <w:p>
            <w:pPr>
              <w:pStyle w:val="1217"/>
              <w:ind w:right="-243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г. Пермь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690" w:type="pct"/>
            <w:textDirection w:val="lrTb"/>
            <w:noWrap w:val="false"/>
          </w:tcPr>
          <w:p>
            <w:pPr>
              <w:pStyle w:val="121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69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340" w:type="pct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Филиал «</w:t>
            </w:r>
            <w:r>
              <w:rPr>
                <w:rFonts w:asciiTheme="minorHAnsi" w:hAnsiTheme="minorHAnsi" w:cstheme="minorHAnsi"/>
                <w:bCs/>
              </w:rPr>
              <w:t xml:space="preserve">ЗиД</w:t>
            </w:r>
            <w:r>
              <w:rPr>
                <w:rFonts w:asciiTheme="minorHAnsi" w:hAnsiTheme="minorHAnsi" w:cstheme="minorHAnsi"/>
                <w:bCs/>
              </w:rPr>
              <w:t xml:space="preserve">» АО «НПО </w:t>
            </w:r>
            <w:r>
              <w:rPr>
                <w:rFonts w:asciiTheme="minorHAnsi" w:hAnsiTheme="minorHAnsi" w:cstheme="minorHAnsi"/>
                <w:bCs/>
              </w:rPr>
              <w:t xml:space="preserve">«</w:t>
            </w:r>
            <w:r>
              <w:rPr>
                <w:rFonts w:asciiTheme="minorHAnsi" w:hAnsiTheme="minorHAnsi" w:cstheme="minorHAnsi"/>
                <w:bCs/>
              </w:rPr>
              <w:t xml:space="preserve">Курганприбор</w:t>
            </w:r>
            <w:r>
              <w:rPr>
                <w:rFonts w:asciiTheme="minorHAnsi" w:hAnsiTheme="minorHAnsi" w:cstheme="minorHAnsi"/>
                <w:bCs/>
              </w:rPr>
              <w:t xml:space="preserve">» г. Пермь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5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3 338,87</w:t>
            </w:r>
            <w:r>
              <w:rPr>
                <w:rFonts w:asciiTheme="minorHAnsi" w:hAnsiTheme="minorHAnsi" w:cstheme="minorHAnsi"/>
                <w:bCs/>
                <w:vertAlign w:val="superscript"/>
              </w:rPr>
              <w:t xml:space="preserve">1</w:t>
            </w:r>
            <w:r>
              <w:rPr>
                <w:rFonts w:asciiTheme="minorHAnsi" w:hAnsiTheme="minorHAnsi" w:cstheme="minorHAnsi"/>
                <w:bCs/>
                <w:vertAlign w:val="superscript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3 489,50</w:t>
            </w:r>
            <w:r>
              <w:rPr>
                <w:rFonts w:asciiTheme="minorHAnsi" w:hAnsiTheme="minorHAnsi" w:cstheme="minorHAnsi"/>
                <w:bCs/>
                <w:vertAlign w:val="superscript"/>
              </w:rPr>
              <w:t xml:space="preserve">1</w:t>
            </w:r>
            <w:r>
              <w:rPr>
                <w:rFonts w:asciiTheme="minorHAnsi" w:hAnsiTheme="minorHAnsi" w:cstheme="minorHAnsi"/>
                <w:bCs/>
                <w:vertAlign w:val="superscript"/>
              </w:rPr>
            </w:r>
          </w:p>
        </w:tc>
        <w:tc>
          <w:tcPr>
            <w:tcW w:w="49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3 338,87</w:t>
            </w:r>
            <w:r>
              <w:rPr>
                <w:rFonts w:asciiTheme="minorHAnsi" w:hAnsiTheme="minorHAnsi" w:cstheme="minorHAnsi"/>
                <w:bCs/>
                <w:vertAlign w:val="superscript"/>
              </w:rPr>
              <w:t xml:space="preserve">1</w:t>
            </w:r>
            <w:r>
              <w:rPr>
                <w:rFonts w:asciiTheme="minorHAnsi" w:hAnsiTheme="minorHAnsi" w:cstheme="minorHAnsi"/>
                <w:bCs/>
                <w:vertAlign w:val="superscript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3 489,50</w:t>
            </w:r>
            <w:r>
              <w:rPr>
                <w:rFonts w:asciiTheme="minorHAnsi" w:hAnsiTheme="minorHAnsi" w:cstheme="minorHAnsi"/>
                <w:bCs/>
                <w:vertAlign w:val="superscript"/>
              </w:rPr>
              <w:t xml:space="preserve">1</w:t>
            </w:r>
            <w:r>
              <w:rPr>
                <w:rFonts w:asciiTheme="minorHAnsi" w:hAnsiTheme="minorHAnsi" w:cstheme="minorHAnsi"/>
                <w:bCs/>
                <w:vertAlign w:val="superscript"/>
              </w:rPr>
            </w:r>
          </w:p>
        </w:tc>
      </w:tr>
      <w:tr>
        <w:tblPrEx/>
        <w:trPr>
          <w:trHeight w:val="20"/>
        </w:trPr>
        <w:tc>
          <w:tcPr>
            <w:tcW w:w="247" w:type="pct"/>
            <w:textDirection w:val="lrTb"/>
            <w:noWrap w:val="false"/>
          </w:tcPr>
          <w:p>
            <w:pPr>
              <w:jc w:val="center"/>
            </w:pPr>
            <w:r>
              <w:t xml:space="preserve">37</w:t>
            </w:r>
            <w:r/>
          </w:p>
        </w:tc>
        <w:tc>
          <w:tcPr>
            <w:tcW w:w="792" w:type="pct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АО «Протон-ПМ»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690" w:type="pct"/>
            <w:textDirection w:val="lrTb"/>
            <w:noWrap w:val="false"/>
          </w:tcPr>
          <w:p>
            <w:pPr>
              <w:pStyle w:val="121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71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340" w:type="pct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АО «Протон-ПМ»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5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2 782,39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2 895,39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9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3 338,87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3 474,47</w:t>
            </w:r>
            <w:r>
              <w:rPr>
                <w:rFonts w:asciiTheme="minorHAnsi" w:hAnsiTheme="minorHAnsi" w:cstheme="minorHAnsi"/>
                <w:bCs/>
              </w:rPr>
            </w:r>
          </w:p>
        </w:tc>
      </w:tr>
      <w:tr>
        <w:tblPrEx/>
        <w:trPr>
          <w:trHeight w:val="20"/>
        </w:trPr>
        <w:tc>
          <w:tcPr>
            <w:tcW w:w="247" w:type="pct"/>
            <w:textDirection w:val="lrTb"/>
            <w:noWrap w:val="false"/>
          </w:tcPr>
          <w:p>
            <w:pPr>
              <w:jc w:val="center"/>
            </w:pPr>
            <w:r>
              <w:t xml:space="preserve">38</w:t>
            </w:r>
            <w:r/>
          </w:p>
        </w:tc>
        <w:tc>
          <w:tcPr>
            <w:tcW w:w="792" w:type="pct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ФКУ «ИК-29 ГУФСИН России по Пермскому краю»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690" w:type="pct"/>
            <w:textDirection w:val="lrTb"/>
            <w:noWrap w:val="false"/>
          </w:tcPr>
          <w:p>
            <w:pPr>
              <w:pStyle w:val="121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72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340" w:type="pct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ФКУ «ИК-29 ГУФСИН России по Пермскому краю»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5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2 391,74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2 628,91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9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2 870,09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3 154,59</w:t>
            </w:r>
            <w:r>
              <w:rPr>
                <w:rFonts w:asciiTheme="minorHAnsi" w:hAnsiTheme="minorHAnsi" w:cstheme="minorHAnsi"/>
                <w:bCs/>
              </w:rPr>
            </w:r>
          </w:p>
        </w:tc>
      </w:tr>
      <w:tr>
        <w:tblPrEx/>
        <w:trPr>
          <w:trHeight w:val="20"/>
        </w:trPr>
        <w:tc>
          <w:tcPr>
            <w:tcW w:w="247" w:type="pct"/>
            <w:textDirection w:val="lrTb"/>
            <w:noWrap w:val="false"/>
          </w:tcPr>
          <w:p>
            <w:pPr>
              <w:jc w:val="center"/>
            </w:pPr>
            <w:r>
              <w:t xml:space="preserve">39</w:t>
            </w:r>
            <w:r/>
          </w:p>
        </w:tc>
        <w:tc>
          <w:tcPr>
            <w:tcW w:w="792" w:type="pct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АО «СПК»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690" w:type="pct"/>
            <w:textDirection w:val="lrTb"/>
            <w:noWrap w:val="false"/>
          </w:tcPr>
          <w:p>
            <w:pPr>
              <w:pStyle w:val="121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73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340" w:type="pct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АО «СПК» (ВК СПК </w:t>
            </w:r>
            <w:r>
              <w:rPr>
                <w:rFonts w:asciiTheme="minorHAnsi" w:hAnsiTheme="minorHAnsi" w:cstheme="minorHAnsi"/>
                <w:bCs/>
              </w:rPr>
            </w:r>
          </w:p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по ул. Ракитная)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5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2 776,96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2 902,80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9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3 332,37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3 483,36</w:t>
            </w:r>
            <w:r>
              <w:rPr>
                <w:rFonts w:asciiTheme="minorHAnsi" w:hAnsiTheme="minorHAnsi" w:cstheme="minorHAnsi"/>
                <w:bCs/>
              </w:rPr>
            </w:r>
          </w:p>
        </w:tc>
      </w:tr>
      <w:tr>
        <w:tblPrEx/>
        <w:trPr>
          <w:trHeight w:val="20"/>
        </w:trPr>
        <w:tc>
          <w:tcPr>
            <w:tcW w:w="247" w:type="pct"/>
            <w:textDirection w:val="lrTb"/>
            <w:noWrap w:val="false"/>
          </w:tcPr>
          <w:p>
            <w:pPr>
              <w:jc w:val="center"/>
            </w:pPr>
            <w:r>
              <w:t xml:space="preserve">40</w:t>
            </w:r>
            <w:r/>
          </w:p>
        </w:tc>
        <w:tc>
          <w:tcPr>
            <w:tcW w:w="792" w:type="pct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ООО «РЭМ-Сервис»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690" w:type="pct"/>
            <w:textDirection w:val="lrTb"/>
            <w:noWrap w:val="false"/>
          </w:tcPr>
          <w:p>
            <w:pPr>
              <w:pStyle w:val="121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74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340" w:type="pct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ООО «РЭМ-Сервис»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5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3 338,87</w:t>
            </w:r>
            <w:r>
              <w:rPr>
                <w:rFonts w:asciiTheme="minorHAnsi" w:hAnsiTheme="minorHAnsi" w:cstheme="minorHAnsi"/>
                <w:bCs/>
                <w:vertAlign w:val="superscript"/>
              </w:rPr>
              <w:t xml:space="preserve">1</w:t>
            </w:r>
            <w:r>
              <w:rPr>
                <w:rFonts w:asciiTheme="minorHAnsi" w:hAnsiTheme="minorHAnsi" w:cstheme="minorHAnsi"/>
                <w:bCs/>
                <w:vertAlign w:val="superscript"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3 489,50</w:t>
            </w:r>
            <w:r>
              <w:rPr>
                <w:rFonts w:asciiTheme="minorHAnsi" w:hAnsiTheme="minorHAnsi" w:cstheme="minorHAnsi"/>
                <w:bCs/>
                <w:vertAlign w:val="superscript"/>
              </w:rPr>
              <w:t xml:space="preserve">1</w:t>
            </w:r>
            <w:r>
              <w:rPr>
                <w:rFonts w:asciiTheme="minorHAnsi" w:hAnsiTheme="minorHAnsi" w:cstheme="minorHAnsi"/>
                <w:bCs/>
                <w:vertAlign w:val="superscript"/>
              </w:rPr>
            </w:r>
          </w:p>
        </w:tc>
        <w:tc>
          <w:tcPr>
            <w:tcW w:w="49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3 338,87</w:t>
            </w:r>
            <w:r>
              <w:rPr>
                <w:rFonts w:asciiTheme="minorHAnsi" w:hAnsiTheme="minorHAnsi" w:cstheme="minorHAnsi"/>
                <w:bCs/>
                <w:vertAlign w:val="superscript"/>
              </w:rPr>
              <w:t xml:space="preserve">1</w:t>
            </w:r>
            <w:r>
              <w:rPr>
                <w:rFonts w:asciiTheme="minorHAnsi" w:hAnsiTheme="minorHAnsi" w:cstheme="minorHAnsi"/>
                <w:bCs/>
                <w:vertAlign w:val="superscript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3 489,50</w:t>
            </w:r>
            <w:r>
              <w:rPr>
                <w:rFonts w:asciiTheme="minorHAnsi" w:hAnsiTheme="minorHAnsi" w:cstheme="minorHAnsi"/>
                <w:bCs/>
                <w:vertAlign w:val="superscript"/>
              </w:rPr>
              <w:t xml:space="preserve">1</w:t>
            </w:r>
            <w:r>
              <w:rPr>
                <w:rFonts w:asciiTheme="minorHAnsi" w:hAnsiTheme="minorHAnsi" w:cstheme="minorHAnsi"/>
                <w:bCs/>
                <w:vertAlign w:val="superscript"/>
              </w:rPr>
            </w:r>
          </w:p>
        </w:tc>
      </w:tr>
      <w:tr>
        <w:tblPrEx/>
        <w:trPr>
          <w:trHeight w:val="20"/>
        </w:trPr>
        <w:tc>
          <w:tcPr>
            <w:tcW w:w="247" w:type="pct"/>
            <w:textDirection w:val="lrTb"/>
            <w:noWrap w:val="false"/>
          </w:tcPr>
          <w:p>
            <w:pPr>
              <w:jc w:val="center"/>
            </w:pPr>
            <w:r>
              <w:t xml:space="preserve">41</w:t>
            </w:r>
            <w:r/>
          </w:p>
        </w:tc>
        <w:tc>
          <w:tcPr>
            <w:tcW w:w="792" w:type="pct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АО «Пермский мукомольный завод»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690" w:type="pct"/>
            <w:textDirection w:val="lrTb"/>
            <w:noWrap w:val="false"/>
          </w:tcPr>
          <w:p>
            <w:pPr>
              <w:pStyle w:val="121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77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340" w:type="pct"/>
            <w:textDirection w:val="lrTb"/>
            <w:noWrap w:val="false"/>
          </w:tcPr>
          <w:p>
            <w:pPr>
              <w:pStyle w:val="12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АО «Пермский мукомольный завод»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5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3 338,87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446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3 489,50</w:t>
            </w:r>
            <w:r>
              <w:rPr>
                <w:rFonts w:asciiTheme="minorHAnsi" w:hAnsiTheme="minorHAnsi" w:cstheme="minorHAnsi"/>
                <w:bCs/>
                <w:vertAlign w:val="superscript"/>
              </w:rPr>
              <w:t xml:space="preserve">1</w:t>
            </w:r>
            <w:r>
              <w:rPr>
                <w:rFonts w:asciiTheme="minorHAnsi" w:hAnsiTheme="minorHAnsi" w:cstheme="minorHAnsi"/>
                <w:bCs/>
                <w:vertAlign w:val="superscript"/>
              </w:rPr>
            </w:r>
          </w:p>
        </w:tc>
        <w:tc>
          <w:tcPr>
            <w:tcW w:w="49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3 338,87</w:t>
            </w:r>
            <w:r>
              <w:rPr>
                <w:rFonts w:asciiTheme="minorHAnsi" w:hAnsiTheme="minorHAnsi" w:cstheme="minorHAnsi"/>
                <w:bCs/>
                <w:vertAlign w:val="superscript"/>
              </w:rPr>
              <w:t xml:space="preserve">1</w:t>
            </w:r>
            <w:r>
              <w:rPr>
                <w:rFonts w:asciiTheme="minorHAnsi" w:hAnsiTheme="minorHAnsi" w:cstheme="minorHAnsi"/>
                <w:bCs/>
                <w:vertAlign w:val="superscript"/>
              </w:rPr>
            </w:r>
          </w:p>
        </w:tc>
        <w:tc>
          <w:tcPr>
            <w:tcW w:w="445" w:type="pct"/>
            <w:textDirection w:val="lrTb"/>
            <w:noWrap w:val="false"/>
          </w:tcPr>
          <w:p>
            <w:pPr>
              <w:pStyle w:val="1217"/>
              <w:ind w:left="-102" w:right="-110"/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>
              <w:rPr>
                <w:rFonts w:asciiTheme="minorHAnsi" w:hAnsiTheme="minorHAnsi" w:cstheme="minorHAnsi"/>
                <w:bCs/>
              </w:rPr>
              <w:t xml:space="preserve">3 489,50</w:t>
            </w:r>
            <w:r>
              <w:rPr>
                <w:rFonts w:asciiTheme="minorHAnsi" w:hAnsiTheme="minorHAnsi" w:cstheme="minorHAnsi"/>
                <w:bCs/>
                <w:vertAlign w:val="superscript"/>
              </w:rPr>
              <w:t xml:space="preserve">1</w:t>
            </w:r>
            <w:r>
              <w:rPr>
                <w:rFonts w:asciiTheme="minorHAnsi" w:hAnsiTheme="minorHAnsi" w:cstheme="minorHAnsi"/>
                <w:bCs/>
                <w:vertAlign w:val="superscript"/>
              </w:rPr>
            </w:r>
          </w:p>
        </w:tc>
      </w:tr>
    </w:tbl>
    <w:p>
      <w:pPr>
        <w:pStyle w:val="1570"/>
        <w:jc w:val="left"/>
        <w:rPr>
          <w:rFonts w:asciiTheme="minorHAnsi" w:hAnsiTheme="minorHAnsi" w:cstheme="minorHAnsi"/>
          <w:i/>
          <w:iCs w:val="0"/>
          <w:sz w:val="28"/>
          <w:szCs w:val="28"/>
        </w:rPr>
      </w:pPr>
      <w:r/>
      <w:bookmarkStart w:id="84" w:name="_Hlk176273558"/>
      <w:r/>
      <w:r>
        <w:rPr>
          <w:rFonts w:asciiTheme="minorHAnsi" w:hAnsiTheme="minorHAnsi" w:cstheme="minorHAnsi"/>
          <w:i/>
          <w:iCs w:val="0"/>
          <w:sz w:val="28"/>
          <w:szCs w:val="28"/>
        </w:rPr>
      </w:r>
    </w:p>
    <w:p>
      <w:pPr>
        <w:pStyle w:val="1570"/>
        <w:jc w:val="left"/>
        <w:rPr>
          <w:rFonts w:asciiTheme="minorHAnsi" w:hAnsiTheme="minorHAnsi" w:cstheme="minorHAnsi"/>
          <w:i/>
          <w:iCs w:val="0"/>
          <w:sz w:val="28"/>
          <w:szCs w:val="28"/>
        </w:rPr>
      </w:pPr>
      <w:r>
        <w:rPr>
          <w:rFonts w:asciiTheme="minorHAnsi" w:hAnsiTheme="minorHAnsi" w:cstheme="minorHAnsi"/>
          <w:i/>
          <w:iCs w:val="0"/>
          <w:sz w:val="28"/>
          <w:szCs w:val="28"/>
        </w:rPr>
        <w:t xml:space="preserve">---------------------------</w:t>
      </w:r>
      <w:r>
        <w:rPr>
          <w:rFonts w:asciiTheme="minorHAnsi" w:hAnsiTheme="minorHAnsi" w:cstheme="minorHAnsi"/>
          <w:i/>
          <w:iCs w:val="0"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1. </w:t>
      </w:r>
      <w:r>
        <w:rPr>
          <w:szCs w:val="24"/>
        </w:rPr>
        <w:t xml:space="preserve">НДС не облагается</w:t>
      </w:r>
      <w:r>
        <w:rPr>
          <w:rFonts w:asciiTheme="minorHAnsi" w:hAnsiTheme="minorHAnsi" w:cstheme="minorHAnsi"/>
          <w:szCs w:val="24"/>
        </w:rPr>
        <w:t xml:space="preserve">.</w:t>
      </w:r>
      <w:r>
        <w:rPr>
          <w:rFonts w:asciiTheme="minorHAnsi" w:hAnsiTheme="minorHAnsi" w:cstheme="minorHAnsi"/>
          <w:szCs w:val="24"/>
        </w:rPr>
      </w:r>
    </w:p>
    <w:p>
      <w:pPr>
        <w:pStyle w:val="157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Примечание. Источник информации – постановление Министерства тарифного регулирования и энергетики Пермского края</w:t>
      </w:r>
      <w:r>
        <w:rPr>
          <w:rFonts w:asciiTheme="minorHAnsi" w:hAnsiTheme="minorHAnsi" w:cstheme="minorHAnsi"/>
        </w:rPr>
        <w:t xml:space="preserve"> </w:t>
      </w:r>
      <w:r>
        <w:rPr>
          <w:iCs w:val="0"/>
        </w:rPr>
        <w:t xml:space="preserve">об утверждении тарифов на тепловую энергию (мощность), поставляемую потребителям теплоснабжающими организациями согласно схеме теплоснабжения в административных границах города Перми</w:t>
      </w:r>
      <w:r>
        <w:rPr>
          <w:rFonts w:asciiTheme="minorHAnsi" w:hAnsiTheme="minorHAnsi" w:cstheme="minorHAnsi"/>
          <w:szCs w:val="24"/>
        </w:rPr>
        <w:t xml:space="preserve">.</w:t>
      </w:r>
      <w:r>
        <w:rPr>
          <w:rFonts w:asciiTheme="minorHAnsi" w:hAnsiTheme="minorHAnsi" w:cstheme="minorHAnsi"/>
          <w:szCs w:val="24"/>
        </w:rPr>
      </w:r>
    </w:p>
    <w:p>
      <w:pPr>
        <w:spacing w:after="200" w:line="276" w:lineRule="auto"/>
        <w:rPr>
          <w:rFonts w:asciiTheme="minorHAnsi" w:hAnsiTheme="minorHAnsi" w:eastAsiaTheme="minorHAnsi" w:cstheme="minorHAnsi"/>
          <w:iCs/>
          <w:lang w:eastAsia="en-US"/>
        </w:rPr>
      </w:pPr>
      <w:r>
        <w:rPr>
          <w:rFonts w:asciiTheme="minorHAnsi" w:hAnsiTheme="minorHAnsi" w:cstheme="minorHAnsi"/>
        </w:rPr>
        <w:br w:type="page" w:clear="all"/>
      </w:r>
      <w:r>
        <w:rPr>
          <w:rFonts w:asciiTheme="minorHAnsi" w:hAnsiTheme="minorHAnsi" w:eastAsiaTheme="minorHAnsi" w:cstheme="minorHAnsi"/>
          <w:iCs/>
          <w:lang w:eastAsia="en-US"/>
        </w:rPr>
      </w:r>
    </w:p>
    <w:p>
      <w:pPr>
        <w:pStyle w:val="1544"/>
        <w:jc w:val="right"/>
        <w:rPr>
          <w:b/>
          <w:bCs/>
          <w:sz w:val="28"/>
          <w:szCs w:val="28"/>
        </w:rPr>
      </w:pPr>
      <w:r/>
      <w:bookmarkStart w:id="85" w:name="_Ref163045828"/>
      <w:r/>
      <w:bookmarkStart w:id="86" w:name="_Toc175216090"/>
      <w:r/>
      <w:bookmarkEnd w:id="84"/>
      <w:r>
        <w:rPr>
          <w:b/>
          <w:bCs/>
          <w:sz w:val="28"/>
          <w:szCs w:val="28"/>
        </w:rPr>
        <w:t xml:space="preserve">Таблица </w:t>
      </w:r>
      <w:bookmarkEnd w:id="85"/>
      <w:r>
        <w:rPr>
          <w:b/>
          <w:bCs/>
          <w:sz w:val="28"/>
          <w:szCs w:val="28"/>
        </w:rPr>
        <w:t xml:space="preserve">2.14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Тарифы на горячую воду (без НДС, кроме указанных) в 2020-2024 год</w:t>
      </w:r>
      <w:bookmarkEnd w:id="86"/>
      <w:r>
        <w:rPr>
          <w:b/>
          <w:bCs/>
          <w:sz w:val="28"/>
          <w:szCs w:val="28"/>
        </w:rPr>
        <w:t xml:space="preserve">ах</w:t>
      </w:r>
      <w:r>
        <w:rPr>
          <w:b/>
          <w:bCs/>
          <w:sz w:val="28"/>
          <w:szCs w:val="28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417"/>
        <w:gridCol w:w="851"/>
        <w:gridCol w:w="991"/>
        <w:gridCol w:w="850"/>
        <w:gridCol w:w="853"/>
        <w:gridCol w:w="849"/>
        <w:gridCol w:w="851"/>
        <w:gridCol w:w="995"/>
        <w:gridCol w:w="992"/>
        <w:gridCol w:w="850"/>
        <w:gridCol w:w="1067"/>
      </w:tblGrid>
      <w:tr>
        <w:tblPrEx/>
        <w:trPr>
          <w:trHeight w:val="20"/>
          <w:tblHeader/>
        </w:trPr>
        <w:tc>
          <w:tcPr>
            <w:shd w:val="clear" w:color="auto" w:fill="auto"/>
            <w:tcW w:w="4503" w:type="dxa"/>
            <w:vMerge w:val="restart"/>
            <w:textDirection w:val="lrTb"/>
            <w:noWrap/>
          </w:tcPr>
          <w:p>
            <w:pPr>
              <w:jc w:val="center"/>
              <w:spacing w:before="20" w:after="20"/>
            </w:pPr>
            <w:r>
              <w:t xml:space="preserve">Поставщики/услуги</w:t>
            </w:r>
            <w:r/>
          </w:p>
        </w:tc>
        <w:tc>
          <w:tcPr>
            <w:shd w:val="clear" w:color="auto" w:fill="auto"/>
            <w:tcW w:w="1417" w:type="dxa"/>
            <w:vMerge w:val="restart"/>
            <w:textDirection w:val="lrTb"/>
            <w:noWrap/>
          </w:tcPr>
          <w:p>
            <w:pPr>
              <w:jc w:val="center"/>
              <w:spacing w:before="20" w:after="20"/>
            </w:pPr>
            <w:r>
              <w:t xml:space="preserve">Ед. изм.</w:t>
            </w:r>
            <w:r/>
          </w:p>
        </w:tc>
        <w:tc>
          <w:tcPr>
            <w:gridSpan w:val="2"/>
            <w:shd w:val="clear" w:color="auto" w:fill="auto"/>
            <w:tcW w:w="1842" w:type="dxa"/>
            <w:textDirection w:val="lrTb"/>
            <w:noWrap/>
          </w:tcPr>
          <w:p>
            <w:pPr>
              <w:jc w:val="center"/>
              <w:spacing w:before="20" w:after="20"/>
            </w:pPr>
            <w:r>
              <w:t xml:space="preserve">2020</w:t>
            </w:r>
            <w:r/>
          </w:p>
        </w:tc>
        <w:tc>
          <w:tcPr>
            <w:gridSpan w:val="2"/>
            <w:tcW w:w="1703" w:type="dxa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2021</w:t>
            </w:r>
            <w:r/>
          </w:p>
        </w:tc>
        <w:tc>
          <w:tcPr>
            <w:gridSpan w:val="3"/>
            <w:tcW w:w="2695" w:type="dxa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202</w:t>
            </w:r>
            <w:r>
              <w:rPr>
                <w:lang w:val="en-US"/>
              </w:rPr>
              <w:t xml:space="preserve">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2023</w:t>
            </w:r>
            <w:r/>
          </w:p>
        </w:tc>
        <w:tc>
          <w:tcPr>
            <w:gridSpan w:val="2"/>
            <w:tcW w:w="1917" w:type="dxa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2024</w:t>
            </w:r>
            <w:r/>
          </w:p>
        </w:tc>
      </w:tr>
      <w:tr>
        <w:tblPrEx/>
        <w:trPr>
          <w:trHeight w:val="20"/>
          <w:tblHeader/>
        </w:trPr>
        <w:tc>
          <w:tcPr>
            <w:shd w:val="clear" w:color="auto" w:fill="auto"/>
            <w:tcW w:w="4503" w:type="dxa"/>
            <w:vMerge w:val="continue"/>
            <w:textDirection w:val="lrTb"/>
            <w:noWrap/>
          </w:tcPr>
          <w:p>
            <w:pPr>
              <w:jc w:val="center"/>
              <w:spacing w:before="20" w:after="20"/>
            </w:pPr>
            <w:r/>
            <w:r/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/>
          </w:tcPr>
          <w:p>
            <w:pPr>
              <w:jc w:val="center"/>
              <w:spacing w:before="20" w:after="20"/>
            </w:pPr>
            <w:r/>
            <w:r/>
          </w:p>
        </w:tc>
        <w:tc>
          <w:tcPr>
            <w:shd w:val="clear" w:color="auto" w:fill="auto"/>
            <w:tcW w:w="851" w:type="dxa"/>
            <w:textDirection w:val="lrTb"/>
            <w:noWrap/>
          </w:tcPr>
          <w:p>
            <w:pPr>
              <w:jc w:val="center"/>
              <w:spacing w:before="20" w:after="20"/>
            </w:pPr>
            <w:r>
              <w:t xml:space="preserve">I пол.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ind w:left="-131" w:right="-102"/>
              <w:jc w:val="center"/>
              <w:spacing w:before="20" w:after="20"/>
            </w:pPr>
            <w:r>
              <w:t xml:space="preserve">II пол.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I пол.</w:t>
            </w:r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ind w:left="-109" w:right="-105"/>
              <w:jc w:val="center"/>
              <w:spacing w:before="20" w:after="20"/>
            </w:pPr>
            <w:r>
              <w:t xml:space="preserve">I</w:t>
            </w:r>
            <w:r>
              <w:rPr>
                <w:lang w:val="en-US"/>
              </w:rPr>
              <w:t xml:space="preserve">I</w:t>
            </w:r>
            <w:r>
              <w:t xml:space="preserve"> пол.</w:t>
            </w:r>
            <w:r/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I пол.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106" w:right="-107"/>
              <w:jc w:val="center"/>
              <w:spacing w:before="20" w:after="20"/>
            </w:pPr>
            <w:r>
              <w:t xml:space="preserve">II пол.</w:t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ind w:left="-104" w:right="-108"/>
              <w:jc w:val="center"/>
              <w:spacing w:before="20" w:after="20"/>
            </w:pPr>
            <w:r>
              <w:t xml:space="preserve">с 01.12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год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I пол.</w:t>
            </w:r>
            <w:r/>
          </w:p>
        </w:tc>
        <w:tc>
          <w:tcPr>
            <w:tcW w:w="1067" w:type="dxa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II пол.</w:t>
            </w:r>
            <w:r/>
          </w:p>
        </w:tc>
      </w:tr>
    </w:tbl>
    <w:p>
      <w:pPr>
        <w:spacing w:line="48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419"/>
        <w:gridCol w:w="850"/>
        <w:gridCol w:w="952"/>
        <w:gridCol w:w="877"/>
        <w:gridCol w:w="877"/>
        <w:gridCol w:w="835"/>
        <w:gridCol w:w="853"/>
        <w:gridCol w:w="970"/>
        <w:gridCol w:w="1025"/>
        <w:gridCol w:w="838"/>
        <w:gridCol w:w="1070"/>
      </w:tblGrid>
      <w:tr>
        <w:tblPrEx/>
        <w:trPr>
          <w:trHeight w:val="20"/>
          <w:tblHeader/>
        </w:trPr>
        <w:tc>
          <w:tcPr>
            <w:shd w:val="clear" w:color="auto" w:fill="auto"/>
            <w:tcW w:w="1494" w:type="pct"/>
            <w:vAlign w:val="center"/>
            <w:textDirection w:val="lrTb"/>
            <w:noWrap/>
          </w:tcPr>
          <w:p>
            <w:pPr>
              <w:jc w:val="center"/>
              <w:spacing w:before="20" w:after="20"/>
            </w:pPr>
            <w:r>
              <w:t xml:space="preserve">1</w:t>
            </w:r>
            <w:r/>
          </w:p>
        </w:tc>
        <w:tc>
          <w:tcPr>
            <w:shd w:val="clear" w:color="auto" w:fill="auto"/>
            <w:tcW w:w="471" w:type="pct"/>
            <w:vAlign w:val="center"/>
            <w:textDirection w:val="lrTb"/>
            <w:noWrap/>
          </w:tcPr>
          <w:p>
            <w:pPr>
              <w:jc w:val="center"/>
              <w:spacing w:before="20" w:after="20"/>
            </w:pPr>
            <w:r>
              <w:t xml:space="preserve">2</w:t>
            </w:r>
            <w:r/>
          </w:p>
        </w:tc>
        <w:tc>
          <w:tcPr>
            <w:shd w:val="clear" w:color="auto" w:fill="auto"/>
            <w:tcW w:w="282" w:type="pct"/>
            <w:vAlign w:val="center"/>
            <w:textDirection w:val="lrTb"/>
            <w:noWrap/>
          </w:tcPr>
          <w:p>
            <w:pPr>
              <w:jc w:val="center"/>
              <w:spacing w:before="20" w:after="20"/>
            </w:pPr>
            <w:r>
              <w:t xml:space="preserve">3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4</w:t>
            </w:r>
            <w:r/>
          </w:p>
        </w:tc>
        <w:tc>
          <w:tcPr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5</w:t>
            </w:r>
            <w:r/>
          </w:p>
        </w:tc>
        <w:tc>
          <w:tcPr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6</w:t>
            </w:r>
            <w:r/>
          </w:p>
        </w:tc>
        <w:tc>
          <w:tcPr>
            <w:tcW w:w="277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7</w:t>
            </w:r>
            <w:r/>
          </w:p>
        </w:tc>
        <w:tc>
          <w:tcPr>
            <w:tcBorders>
              <w:right w:val="single" w:color="auto" w:sz="4" w:space="0"/>
            </w:tcBorders>
            <w:tcW w:w="283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8</w:t>
            </w:r>
            <w:r/>
          </w:p>
        </w:tc>
        <w:tc>
          <w:tcPr>
            <w:tcBorders>
              <w:right w:val="single" w:color="auto" w:sz="4" w:space="0"/>
            </w:tcBorders>
            <w:tcW w:w="322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9</w:t>
            </w:r>
            <w:r/>
          </w:p>
        </w:tc>
        <w:tc>
          <w:tcPr>
            <w:tcBorders>
              <w:left w:val="single" w:color="auto" w:sz="4" w:space="0"/>
            </w:tcBorders>
            <w:tcW w:w="340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10</w:t>
            </w:r>
            <w:r/>
          </w:p>
        </w:tc>
        <w:tc>
          <w:tcPr>
            <w:tcW w:w="278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11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12</w:t>
            </w:r>
            <w:r/>
          </w:p>
        </w:tc>
      </w:tr>
      <w:tr>
        <w:tblPrEx/>
        <w:trPr>
          <w:trHeight w:val="20"/>
        </w:trPr>
        <w:tc>
          <w:tcPr>
            <w:gridSpan w:val="12"/>
            <w:tcW w:w="5000" w:type="pct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ПАО «Т Плюс» в системе централизованного теплоснабжения (далее – СЦТ) № 1 (зона теплоснабжения ПТЭЦ-9, микрорайон </w:t>
            </w:r>
            <w:r>
              <w:rPr>
                <w:bCs/>
              </w:rPr>
              <w:t xml:space="preserve">Заостровка</w:t>
            </w:r>
            <w:r>
              <w:rPr>
                <w:bCs/>
              </w:rPr>
              <w:t xml:space="preserve">)</w:t>
            </w:r>
            <w:r>
              <w:rPr>
                <w:bCs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94" w:type="pct"/>
            <w:vAlign w:val="center"/>
            <w:textDirection w:val="lrTb"/>
            <w:noWrap/>
          </w:tcPr>
          <w:p>
            <w:pPr>
              <w:ind w:left="30"/>
            </w:pPr>
            <w:r>
              <w:t xml:space="preserve">тариф на горячую воду (население)</w:t>
            </w:r>
            <w:r/>
          </w:p>
        </w:tc>
        <w:tc>
          <w:tcPr>
            <w:shd w:val="clear" w:color="auto" w:fill="auto"/>
            <w:tcW w:w="471" w:type="pct"/>
            <w:vAlign w:val="center"/>
            <w:textDirection w:val="lrTb"/>
            <w:noWrap/>
          </w:tcPr>
          <w:p>
            <w:pPr>
              <w:jc w:val="center"/>
              <w:spacing w:before="20" w:after="20"/>
              <w:rPr>
                <w:vertAlign w:val="superscript"/>
              </w:rPr>
            </w:pPr>
            <w:r>
              <w:t xml:space="preserve">руб./куб. м</w:t>
            </w:r>
            <w:r>
              <w:rPr>
                <w:vertAlign w:val="superscript"/>
              </w:rPr>
            </w:r>
          </w:p>
        </w:tc>
        <w:tc>
          <w:tcPr>
            <w:shd w:val="clear" w:color="auto" w:fill="auto"/>
            <w:tcW w:w="282" w:type="pct"/>
            <w:vAlign w:val="center"/>
            <w:textDirection w:val="lrTb"/>
            <w:noWrap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77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102,28</w:t>
            </w:r>
            <w:r/>
          </w:p>
        </w:tc>
        <w:tc>
          <w:tcPr>
            <w:tcW w:w="283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107,51</w:t>
            </w:r>
            <w:r/>
          </w:p>
        </w:tc>
        <w:tc>
          <w:tcPr>
            <w:tcW w:w="322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117,18</w:t>
            </w:r>
            <w:r/>
          </w:p>
        </w:tc>
        <w:tc>
          <w:tcPr>
            <w:tcW w:w="340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117,18</w:t>
            </w:r>
            <w:r/>
          </w:p>
        </w:tc>
        <w:tc>
          <w:tcPr>
            <w:tcW w:w="278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117,18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129,13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94" w:type="pct"/>
            <w:vAlign w:val="center"/>
            <w:textDirection w:val="lrTb"/>
            <w:noWrap/>
          </w:tcPr>
          <w:p>
            <w:pPr>
              <w:ind w:left="30"/>
            </w:pPr>
            <w:r>
              <w:t xml:space="preserve">тариф на горячую воду (прочие)</w:t>
            </w:r>
            <w:r/>
          </w:p>
        </w:tc>
        <w:tc>
          <w:tcPr>
            <w:shd w:val="clear" w:color="auto" w:fill="auto"/>
            <w:tcW w:w="471" w:type="pct"/>
            <w:vAlign w:val="center"/>
            <w:textDirection w:val="lrTb"/>
            <w:noWrap/>
          </w:tcPr>
          <w:p>
            <w:pPr>
              <w:jc w:val="center"/>
              <w:spacing w:before="20" w:after="20"/>
              <w:rPr>
                <w:vertAlign w:val="superscript"/>
              </w:rPr>
            </w:pPr>
            <w:r>
              <w:t xml:space="preserve">руб./куб. м</w:t>
            </w:r>
            <w:r>
              <w:rPr>
                <w:vertAlign w:val="superscript"/>
              </w:rPr>
            </w:r>
          </w:p>
        </w:tc>
        <w:tc>
          <w:tcPr>
            <w:shd w:val="clear" w:color="auto" w:fill="auto"/>
            <w:tcW w:w="282" w:type="pct"/>
            <w:vAlign w:val="center"/>
            <w:textDirection w:val="lrTb"/>
            <w:noWrap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77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114,98</w:t>
            </w:r>
            <w:r/>
          </w:p>
        </w:tc>
        <w:tc>
          <w:tcPr>
            <w:tcW w:w="283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120,21</w:t>
            </w:r>
            <w:r/>
          </w:p>
        </w:tc>
        <w:tc>
          <w:tcPr>
            <w:tcW w:w="322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131,03</w:t>
            </w:r>
            <w:r/>
          </w:p>
        </w:tc>
        <w:tc>
          <w:tcPr>
            <w:tcW w:w="340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131,03</w:t>
            </w:r>
            <w:r/>
          </w:p>
        </w:tc>
        <w:tc>
          <w:tcPr>
            <w:tcW w:w="278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131,03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154,96</w:t>
            </w:r>
            <w:r/>
          </w:p>
        </w:tc>
      </w:tr>
      <w:tr>
        <w:tblPrEx/>
        <w:trPr>
          <w:trHeight w:val="20"/>
        </w:trPr>
        <w:tc>
          <w:tcPr>
            <w:gridSpan w:val="12"/>
            <w:tcW w:w="5000" w:type="pct"/>
            <w:vAlign w:val="center"/>
            <w:textDirection w:val="lrTb"/>
            <w:noWrap w:val="false"/>
          </w:tcPr>
          <w:p>
            <w:pPr>
              <w:rPr>
                <w:bCs/>
                <w:iCs/>
              </w:rPr>
            </w:pPr>
            <w:r>
              <w:rPr>
                <w:bCs/>
              </w:rPr>
              <w:t xml:space="preserve">ПАО «Т Плюс» в СЦТ № 1-3 (за исключением зоны теплоснабжения ПТЭЦ-14)</w:t>
            </w:r>
            <w:r>
              <w:rPr>
                <w:bCs/>
                <w:iCs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494" w:type="pct"/>
            <w:textDirection w:val="lrTb"/>
            <w:noWrap/>
          </w:tcPr>
          <w:p>
            <w:pPr>
              <w:ind w:left="30"/>
            </w:pPr>
            <w:r>
              <w:t xml:space="preserve">тариф на горячую воду (население)</w:t>
            </w:r>
            <w:r/>
          </w:p>
        </w:tc>
        <w:tc>
          <w:tcPr>
            <w:shd w:val="clear" w:color="auto" w:fill="auto"/>
            <w:tcW w:w="471" w:type="pct"/>
            <w:vAlign w:val="center"/>
            <w:textDirection w:val="lrTb"/>
            <w:noWrap/>
          </w:tcPr>
          <w:p>
            <w:pPr>
              <w:jc w:val="center"/>
              <w:spacing w:before="20" w:after="20"/>
              <w:rPr>
                <w:vertAlign w:val="superscript"/>
              </w:rPr>
            </w:pPr>
            <w:r>
              <w:t xml:space="preserve">руб./куб. м</w:t>
            </w:r>
            <w:r>
              <w:rPr>
                <w:vertAlign w:val="superscript"/>
              </w:rPr>
            </w:r>
          </w:p>
        </w:tc>
        <w:tc>
          <w:tcPr>
            <w:shd w:val="clear" w:color="auto" w:fill="auto"/>
            <w:tcW w:w="282" w:type="pct"/>
            <w:vAlign w:val="center"/>
            <w:textDirection w:val="lrTb"/>
            <w:noWrap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77" w:type="pct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108,59</w:t>
            </w:r>
            <w:r/>
          </w:p>
        </w:tc>
        <w:tc>
          <w:tcPr>
            <w:tcW w:w="283" w:type="pct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114,26</w:t>
            </w:r>
            <w:r/>
          </w:p>
        </w:tc>
        <w:tc>
          <w:tcPr>
            <w:tcW w:w="322" w:type="pct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124,54</w:t>
            </w:r>
            <w:r/>
          </w:p>
        </w:tc>
        <w:tc>
          <w:tcPr>
            <w:tcW w:w="340" w:type="pct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124,54</w:t>
            </w:r>
            <w:r/>
          </w:p>
        </w:tc>
        <w:tc>
          <w:tcPr>
            <w:tcW w:w="278" w:type="pct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124,54</w:t>
            </w:r>
            <w:r/>
          </w:p>
        </w:tc>
        <w:tc>
          <w:tcPr>
            <w:tcW w:w="355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137,24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494" w:type="pct"/>
            <w:vAlign w:val="center"/>
            <w:textDirection w:val="lrTb"/>
            <w:noWrap/>
          </w:tcPr>
          <w:p>
            <w:pPr>
              <w:ind w:left="30"/>
            </w:pPr>
            <w:r>
              <w:t xml:space="preserve">тариф на горячую воду (прочие)</w:t>
            </w:r>
            <w:r/>
          </w:p>
        </w:tc>
        <w:tc>
          <w:tcPr>
            <w:shd w:val="clear" w:color="auto" w:fill="auto"/>
            <w:tcW w:w="471" w:type="pct"/>
            <w:vAlign w:val="center"/>
            <w:textDirection w:val="lrTb"/>
            <w:noWrap/>
          </w:tcPr>
          <w:p>
            <w:pPr>
              <w:jc w:val="center"/>
              <w:spacing w:before="20" w:after="20"/>
              <w:rPr>
                <w:vertAlign w:val="superscript"/>
              </w:rPr>
            </w:pPr>
            <w:r>
              <w:t xml:space="preserve">руб./куб. м</w:t>
            </w:r>
            <w:r>
              <w:rPr>
                <w:vertAlign w:val="superscript"/>
              </w:rPr>
            </w:r>
          </w:p>
        </w:tc>
        <w:tc>
          <w:tcPr>
            <w:shd w:val="clear" w:color="auto" w:fill="auto"/>
            <w:tcW w:w="282" w:type="pct"/>
            <w:vAlign w:val="center"/>
            <w:textDirection w:val="lrTb"/>
            <w:noWrap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77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121,29</w:t>
            </w:r>
            <w:r/>
          </w:p>
        </w:tc>
        <w:tc>
          <w:tcPr>
            <w:tcW w:w="283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126,97</w:t>
            </w:r>
            <w:r/>
          </w:p>
        </w:tc>
        <w:tc>
          <w:tcPr>
            <w:tcW w:w="322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138,39</w:t>
            </w:r>
            <w:r/>
          </w:p>
        </w:tc>
        <w:tc>
          <w:tcPr>
            <w:tcW w:w="340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138,39</w:t>
            </w:r>
            <w:r/>
          </w:p>
        </w:tc>
        <w:tc>
          <w:tcPr>
            <w:tcW w:w="278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138,39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164,69</w:t>
            </w:r>
            <w:r/>
          </w:p>
        </w:tc>
      </w:tr>
      <w:tr>
        <w:tblPrEx/>
        <w:trPr>
          <w:trHeight w:val="20"/>
        </w:trPr>
        <w:tc>
          <w:tcPr>
            <w:gridSpan w:val="12"/>
            <w:tcW w:w="5000" w:type="pct"/>
            <w:vAlign w:val="center"/>
            <w:textDirection w:val="lrTb"/>
            <w:noWrap w:val="false"/>
          </w:tcPr>
          <w:p>
            <w:pPr>
              <w:rPr>
                <w:bCs/>
                <w:iCs/>
              </w:rPr>
            </w:pPr>
            <w:r>
              <w:rPr>
                <w:bCs/>
              </w:rPr>
              <w:t xml:space="preserve">ПАО «Т Плюс» в СЦТ № 1-3 (за исключением зоны теплоснабжения ПТЭЦ-14)</w:t>
            </w:r>
            <w:r>
              <w:rPr>
                <w:bCs/>
                <w:iCs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494" w:type="pct"/>
            <w:vAlign w:val="center"/>
            <w:textDirection w:val="lrTb"/>
            <w:noWrap/>
          </w:tcPr>
          <w:p>
            <w:pPr>
              <w:ind w:left="30"/>
            </w:pPr>
            <w:r>
              <w:t xml:space="preserve">тариф на горячую воду (население)</w:t>
            </w:r>
            <w:r/>
          </w:p>
        </w:tc>
        <w:tc>
          <w:tcPr>
            <w:shd w:val="clear" w:color="auto" w:fill="auto"/>
            <w:tcW w:w="471" w:type="pct"/>
            <w:vAlign w:val="center"/>
            <w:textDirection w:val="lrTb"/>
            <w:noWrap/>
          </w:tcPr>
          <w:p>
            <w:pPr>
              <w:jc w:val="center"/>
              <w:spacing w:before="20" w:after="20"/>
              <w:rPr>
                <w:vertAlign w:val="superscript"/>
              </w:rPr>
            </w:pPr>
            <w:r>
              <w:t xml:space="preserve">руб./куб. м</w:t>
            </w:r>
            <w:r>
              <w:rPr>
                <w:vertAlign w:val="superscript"/>
              </w:rPr>
            </w:r>
          </w:p>
        </w:tc>
        <w:tc>
          <w:tcPr>
            <w:shd w:val="clear" w:color="auto" w:fill="auto"/>
            <w:tcW w:w="282" w:type="pct"/>
            <w:vAlign w:val="center"/>
            <w:textDirection w:val="lrTb"/>
            <w:noWrap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77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135,57</w:t>
            </w:r>
            <w:r/>
          </w:p>
        </w:tc>
        <w:tc>
          <w:tcPr>
            <w:tcW w:w="283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135,57</w:t>
            </w:r>
            <w:r/>
          </w:p>
        </w:tc>
        <w:tc>
          <w:tcPr>
            <w:tcW w:w="322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143,45</w:t>
            </w:r>
            <w:r/>
          </w:p>
        </w:tc>
        <w:tc>
          <w:tcPr>
            <w:tcW w:w="340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143,45</w:t>
            </w:r>
            <w:r/>
          </w:p>
        </w:tc>
        <w:tc>
          <w:tcPr>
            <w:tcW w:w="278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143,45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158,08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494" w:type="pct"/>
            <w:vAlign w:val="center"/>
            <w:textDirection w:val="lrTb"/>
            <w:noWrap/>
          </w:tcPr>
          <w:p>
            <w:pPr>
              <w:ind w:left="30"/>
            </w:pPr>
            <w:r>
              <w:t xml:space="preserve">тариф на горячую воду (прочие)</w:t>
            </w:r>
            <w:r/>
          </w:p>
        </w:tc>
        <w:tc>
          <w:tcPr>
            <w:shd w:val="clear" w:color="auto" w:fill="auto"/>
            <w:tcW w:w="471" w:type="pct"/>
            <w:vAlign w:val="center"/>
            <w:textDirection w:val="lrTb"/>
            <w:noWrap/>
          </w:tcPr>
          <w:p>
            <w:pPr>
              <w:jc w:val="center"/>
              <w:spacing w:before="20" w:after="20"/>
              <w:rPr>
                <w:vertAlign w:val="superscript"/>
              </w:rPr>
            </w:pPr>
            <w:r>
              <w:t xml:space="preserve">руб./куб. м</w:t>
            </w:r>
            <w:r>
              <w:rPr>
                <w:vertAlign w:val="superscript"/>
              </w:rPr>
            </w:r>
          </w:p>
        </w:tc>
        <w:tc>
          <w:tcPr>
            <w:shd w:val="clear" w:color="auto" w:fill="auto"/>
            <w:tcW w:w="282" w:type="pct"/>
            <w:vAlign w:val="center"/>
            <w:textDirection w:val="lrTb"/>
            <w:noWrap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77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148,28</w:t>
            </w:r>
            <w:r/>
          </w:p>
        </w:tc>
        <w:tc>
          <w:tcPr>
            <w:tcW w:w="283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148,28</w:t>
            </w:r>
            <w:r/>
          </w:p>
        </w:tc>
        <w:tc>
          <w:tcPr>
            <w:tcW w:w="322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157,30</w:t>
            </w:r>
            <w:r/>
          </w:p>
        </w:tc>
        <w:tc>
          <w:tcPr>
            <w:tcW w:w="340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157,30</w:t>
            </w:r>
            <w:r/>
          </w:p>
        </w:tc>
        <w:tc>
          <w:tcPr>
            <w:tcW w:w="278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157,30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189,70</w:t>
            </w:r>
            <w:r/>
          </w:p>
        </w:tc>
      </w:tr>
      <w:tr>
        <w:tblPrEx/>
        <w:trPr>
          <w:trHeight w:val="20"/>
        </w:trPr>
        <w:tc>
          <w:tcPr>
            <w:gridSpan w:val="12"/>
            <w:tcW w:w="5000" w:type="pct"/>
            <w:vAlign w:val="center"/>
            <w:textDirection w:val="lrTb"/>
            <w:noWrap w:val="false"/>
          </w:tcPr>
          <w:p>
            <w:pPr>
              <w:spacing w:before="20" w:after="20"/>
            </w:pPr>
            <w:r>
              <w:rPr>
                <w:bCs/>
              </w:rPr>
              <w:t xml:space="preserve">ПАО «Т Плюс» в СЦТ № 4-18 (ВК Кислотные дачи, ВК Новые </w:t>
            </w:r>
            <w:r>
              <w:rPr>
                <w:bCs/>
              </w:rPr>
              <w:t xml:space="preserve">Ляды</w:t>
            </w:r>
            <w:r>
              <w:rPr>
                <w:bCs/>
              </w:rPr>
              <w:t xml:space="preserve"> и т.д.)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494" w:type="pct"/>
            <w:vAlign w:val="center"/>
            <w:textDirection w:val="lrTb"/>
            <w:noWrap/>
          </w:tcPr>
          <w:p>
            <w:pPr>
              <w:ind w:left="30"/>
            </w:pPr>
            <w:r>
              <w:t xml:space="preserve">тариф на горячую воду (население)</w:t>
            </w:r>
            <w:r/>
          </w:p>
        </w:tc>
        <w:tc>
          <w:tcPr>
            <w:shd w:val="clear" w:color="auto" w:fill="auto"/>
            <w:tcW w:w="471" w:type="pct"/>
            <w:vAlign w:val="center"/>
            <w:textDirection w:val="lrTb"/>
            <w:noWrap/>
          </w:tcPr>
          <w:p>
            <w:pPr>
              <w:jc w:val="center"/>
              <w:spacing w:before="20" w:after="20"/>
              <w:rPr>
                <w:vertAlign w:val="superscript"/>
              </w:rPr>
            </w:pPr>
            <w:r>
              <w:t xml:space="preserve">руб./куб. м</w:t>
            </w:r>
            <w:r>
              <w:rPr>
                <w:vertAlign w:val="superscript"/>
              </w:rPr>
            </w:r>
          </w:p>
        </w:tc>
        <w:tc>
          <w:tcPr>
            <w:shd w:val="clear" w:color="auto" w:fill="auto"/>
            <w:tcW w:w="282" w:type="pct"/>
            <w:vAlign w:val="center"/>
            <w:textDirection w:val="lrTb"/>
            <w:noWrap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77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135,57</w:t>
            </w:r>
            <w:r/>
          </w:p>
        </w:tc>
        <w:tc>
          <w:tcPr>
            <w:tcW w:w="283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135,57</w:t>
            </w:r>
            <w:r/>
          </w:p>
        </w:tc>
        <w:tc>
          <w:tcPr>
            <w:tcW w:w="322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143,45</w:t>
            </w:r>
            <w:r/>
          </w:p>
        </w:tc>
        <w:tc>
          <w:tcPr>
            <w:tcW w:w="340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143,45</w:t>
            </w:r>
            <w:r/>
          </w:p>
        </w:tc>
        <w:tc>
          <w:tcPr>
            <w:tcW w:w="278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143,45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158,08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494" w:type="pct"/>
            <w:vAlign w:val="center"/>
            <w:textDirection w:val="lrTb"/>
            <w:noWrap/>
          </w:tcPr>
          <w:p>
            <w:pPr>
              <w:ind w:left="30"/>
            </w:pPr>
            <w:r>
              <w:t xml:space="preserve">тариф на горячую воду (прочие)</w:t>
            </w:r>
            <w:r/>
          </w:p>
        </w:tc>
        <w:tc>
          <w:tcPr>
            <w:shd w:val="clear" w:color="auto" w:fill="auto"/>
            <w:tcW w:w="471" w:type="pct"/>
            <w:vAlign w:val="center"/>
            <w:textDirection w:val="lrTb"/>
            <w:noWrap/>
          </w:tcPr>
          <w:p>
            <w:pPr>
              <w:jc w:val="center"/>
              <w:spacing w:before="20" w:after="20"/>
              <w:rPr>
                <w:vertAlign w:val="superscript"/>
              </w:rPr>
            </w:pPr>
            <w:r>
              <w:t xml:space="preserve">руб./куб. м</w:t>
            </w:r>
            <w:r>
              <w:rPr>
                <w:vertAlign w:val="superscript"/>
              </w:rPr>
            </w:r>
          </w:p>
        </w:tc>
        <w:tc>
          <w:tcPr>
            <w:shd w:val="clear" w:color="auto" w:fill="auto"/>
            <w:tcW w:w="282" w:type="pct"/>
            <w:vAlign w:val="center"/>
            <w:textDirection w:val="lrTb"/>
            <w:noWrap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77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148,28</w:t>
            </w:r>
            <w:r/>
          </w:p>
        </w:tc>
        <w:tc>
          <w:tcPr>
            <w:tcW w:w="283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148,28</w:t>
            </w:r>
            <w:r/>
          </w:p>
        </w:tc>
        <w:tc>
          <w:tcPr>
            <w:tcW w:w="322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157,30</w:t>
            </w:r>
            <w:r/>
          </w:p>
        </w:tc>
        <w:tc>
          <w:tcPr>
            <w:tcW w:w="340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157,30</w:t>
            </w:r>
            <w:r/>
          </w:p>
        </w:tc>
        <w:tc>
          <w:tcPr>
            <w:tcW w:w="278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157,30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189,70</w:t>
            </w:r>
            <w:r/>
          </w:p>
        </w:tc>
      </w:tr>
      <w:tr>
        <w:tblPrEx/>
        <w:trPr>
          <w:trHeight w:val="20"/>
        </w:trPr>
        <w:tc>
          <w:tcPr>
            <w:gridSpan w:val="12"/>
            <w:tcW w:w="5000" w:type="pct"/>
            <w:vAlign w:val="center"/>
            <w:textDirection w:val="lrTb"/>
            <w:noWrap w:val="false"/>
          </w:tcPr>
          <w:p>
            <w:pPr>
              <w:spacing w:before="20" w:after="20"/>
            </w:pPr>
            <w:r>
              <w:rPr>
                <w:bCs/>
              </w:rPr>
              <w:t xml:space="preserve">ПАО НПО «Искра» в СЦТ № 6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494" w:type="pct"/>
            <w:vAlign w:val="center"/>
            <w:textDirection w:val="lrTb"/>
            <w:noWrap/>
          </w:tcPr>
          <w:p>
            <w:r>
              <w:t xml:space="preserve">тариф на горячую воду (население)</w:t>
            </w:r>
            <w:r/>
          </w:p>
        </w:tc>
        <w:tc>
          <w:tcPr>
            <w:shd w:val="clear" w:color="auto" w:fill="auto"/>
            <w:tcW w:w="471" w:type="pct"/>
            <w:vAlign w:val="center"/>
            <w:textDirection w:val="lrTb"/>
            <w:noWrap/>
          </w:tcPr>
          <w:p>
            <w:pPr>
              <w:jc w:val="center"/>
              <w:spacing w:before="20" w:after="20"/>
              <w:rPr>
                <w:vertAlign w:val="superscript"/>
              </w:rPr>
            </w:pPr>
            <w:r>
              <w:t xml:space="preserve">руб./куб. м</w:t>
            </w:r>
            <w:r>
              <w:rPr>
                <w:vertAlign w:val="superscript"/>
              </w:rPr>
            </w:r>
          </w:p>
        </w:tc>
        <w:tc>
          <w:tcPr>
            <w:shd w:val="clear" w:color="auto" w:fill="auto"/>
            <w:tcW w:w="282" w:type="pct"/>
            <w:vAlign w:val="center"/>
            <w:textDirection w:val="lrTb"/>
            <w:noWrap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77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106,55</w:t>
            </w:r>
            <w:r/>
          </w:p>
        </w:tc>
        <w:tc>
          <w:tcPr>
            <w:tcW w:w="283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112,08</w:t>
            </w:r>
            <w:r/>
          </w:p>
        </w:tc>
        <w:tc>
          <w:tcPr>
            <w:tcW w:w="322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122,17</w:t>
            </w:r>
            <w:r/>
          </w:p>
        </w:tc>
        <w:tc>
          <w:tcPr>
            <w:tcW w:w="340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122,17</w:t>
            </w:r>
            <w:r/>
          </w:p>
        </w:tc>
        <w:tc>
          <w:tcPr>
            <w:tcW w:w="278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122,17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134,63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494" w:type="pct"/>
            <w:vAlign w:val="center"/>
            <w:textDirection w:val="lrTb"/>
            <w:noWrap/>
          </w:tcPr>
          <w:p>
            <w:r>
              <w:t xml:space="preserve">тариф на горячую воду (прочие)</w:t>
            </w:r>
            <w:r/>
          </w:p>
        </w:tc>
        <w:tc>
          <w:tcPr>
            <w:shd w:val="clear" w:color="auto" w:fill="auto"/>
            <w:tcW w:w="471" w:type="pct"/>
            <w:vAlign w:val="center"/>
            <w:textDirection w:val="lrTb"/>
            <w:noWrap/>
          </w:tcPr>
          <w:p>
            <w:pPr>
              <w:jc w:val="center"/>
              <w:spacing w:before="20" w:after="20"/>
              <w:rPr>
                <w:vertAlign w:val="superscript"/>
              </w:rPr>
            </w:pPr>
            <w:r>
              <w:t xml:space="preserve">руб./куб. м</w:t>
            </w:r>
            <w:r>
              <w:rPr>
                <w:vertAlign w:val="superscript"/>
              </w:rPr>
            </w:r>
          </w:p>
        </w:tc>
        <w:tc>
          <w:tcPr>
            <w:shd w:val="clear" w:color="auto" w:fill="auto"/>
            <w:tcW w:w="282" w:type="pct"/>
            <w:vAlign w:val="center"/>
            <w:textDirection w:val="lrTb"/>
            <w:noWrap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77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119,25</w:t>
            </w:r>
            <w:r/>
          </w:p>
        </w:tc>
        <w:tc>
          <w:tcPr>
            <w:tcW w:w="283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124,78</w:t>
            </w:r>
            <w:r/>
          </w:p>
        </w:tc>
        <w:tc>
          <w:tcPr>
            <w:tcW w:w="322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136,02</w:t>
            </w:r>
            <w:r/>
          </w:p>
        </w:tc>
        <w:tc>
          <w:tcPr>
            <w:tcW w:w="340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136,02</w:t>
            </w:r>
            <w:r/>
          </w:p>
        </w:tc>
        <w:tc>
          <w:tcPr>
            <w:tcW w:w="278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136,02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148,36</w:t>
            </w:r>
            <w:r/>
          </w:p>
        </w:tc>
      </w:tr>
      <w:tr>
        <w:tblPrEx/>
        <w:trPr>
          <w:trHeight w:val="20"/>
        </w:trPr>
        <w:tc>
          <w:tcPr>
            <w:gridSpan w:val="12"/>
            <w:tcW w:w="5000" w:type="pct"/>
            <w:vAlign w:val="center"/>
            <w:textDirection w:val="lrTb"/>
            <w:noWrap w:val="false"/>
          </w:tcPr>
          <w:p>
            <w:pPr>
              <w:spacing w:before="20" w:after="20"/>
            </w:pPr>
            <w:r>
              <w:rPr>
                <w:bCs/>
              </w:rPr>
              <w:t xml:space="preserve">ПАО НПО «Искра» в СЦТ № 6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494" w:type="pct"/>
            <w:vAlign w:val="center"/>
            <w:textDirection w:val="lrTb"/>
            <w:noWrap/>
          </w:tcPr>
          <w:p>
            <w:r>
              <w:t xml:space="preserve">тариф на горячую воду (население)</w:t>
            </w:r>
            <w:r/>
          </w:p>
        </w:tc>
        <w:tc>
          <w:tcPr>
            <w:shd w:val="clear" w:color="auto" w:fill="auto"/>
            <w:tcW w:w="471" w:type="pct"/>
            <w:vAlign w:val="center"/>
            <w:textDirection w:val="lrTb"/>
            <w:noWrap/>
          </w:tcPr>
          <w:p>
            <w:pPr>
              <w:jc w:val="center"/>
              <w:spacing w:before="20" w:after="20"/>
              <w:rPr>
                <w:vertAlign w:val="superscript"/>
              </w:rPr>
            </w:pPr>
            <w:r>
              <w:t xml:space="preserve">руб./куб. м</w:t>
            </w:r>
            <w:r>
              <w:rPr>
                <w:vertAlign w:val="superscript"/>
              </w:rPr>
            </w:r>
          </w:p>
        </w:tc>
        <w:tc>
          <w:tcPr>
            <w:shd w:val="clear" w:color="auto" w:fill="auto"/>
            <w:tcW w:w="282" w:type="pct"/>
            <w:vAlign w:val="center"/>
            <w:textDirection w:val="lrTb"/>
            <w:noWrap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77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118,88</w:t>
            </w:r>
            <w:r/>
          </w:p>
        </w:tc>
        <w:tc>
          <w:tcPr>
            <w:tcW w:w="283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128,48</w:t>
            </w:r>
            <w:r/>
          </w:p>
        </w:tc>
        <w:tc>
          <w:tcPr>
            <w:tcW w:w="322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136,55</w:t>
            </w:r>
            <w:r/>
          </w:p>
        </w:tc>
        <w:tc>
          <w:tcPr>
            <w:tcW w:w="340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136,55</w:t>
            </w:r>
            <w:r/>
          </w:p>
        </w:tc>
        <w:tc>
          <w:tcPr>
            <w:tcW w:w="278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136,55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150,48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494" w:type="pct"/>
            <w:vAlign w:val="center"/>
            <w:textDirection w:val="lrTb"/>
            <w:noWrap/>
          </w:tcPr>
          <w:p>
            <w:r>
              <w:t xml:space="preserve">тариф на горячую воду (прочие)</w:t>
            </w:r>
            <w:r/>
          </w:p>
        </w:tc>
        <w:tc>
          <w:tcPr>
            <w:shd w:val="clear" w:color="auto" w:fill="auto"/>
            <w:tcW w:w="471" w:type="pct"/>
            <w:vAlign w:val="center"/>
            <w:textDirection w:val="lrTb"/>
            <w:noWrap/>
          </w:tcPr>
          <w:p>
            <w:pPr>
              <w:jc w:val="center"/>
              <w:spacing w:before="20" w:after="20"/>
              <w:rPr>
                <w:vertAlign w:val="superscript"/>
              </w:rPr>
            </w:pPr>
            <w:r>
              <w:t xml:space="preserve">руб./куб. м</w:t>
            </w:r>
            <w:r>
              <w:rPr>
                <w:vertAlign w:val="superscript"/>
              </w:rPr>
            </w:r>
          </w:p>
        </w:tc>
        <w:tc>
          <w:tcPr>
            <w:shd w:val="clear" w:color="auto" w:fill="auto"/>
            <w:tcW w:w="282" w:type="pct"/>
            <w:vAlign w:val="center"/>
            <w:textDirection w:val="lrTb"/>
            <w:noWrap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77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131,59</w:t>
            </w:r>
            <w:r/>
          </w:p>
        </w:tc>
        <w:tc>
          <w:tcPr>
            <w:tcW w:w="283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141,18</w:t>
            </w:r>
            <w:r/>
          </w:p>
        </w:tc>
        <w:tc>
          <w:tcPr>
            <w:tcW w:w="322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150,40</w:t>
            </w:r>
            <w:r/>
          </w:p>
        </w:tc>
        <w:tc>
          <w:tcPr>
            <w:tcW w:w="340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150,40</w:t>
            </w:r>
            <w:r/>
          </w:p>
        </w:tc>
        <w:tc>
          <w:tcPr>
            <w:tcW w:w="278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150,40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180,58</w:t>
            </w:r>
            <w:r/>
          </w:p>
        </w:tc>
      </w:tr>
      <w:tr>
        <w:tblPrEx/>
        <w:trPr>
          <w:trHeight w:val="20"/>
        </w:trPr>
        <w:tc>
          <w:tcPr>
            <w:gridSpan w:val="12"/>
            <w:tcW w:w="5000" w:type="pct"/>
            <w:vAlign w:val="center"/>
            <w:textDirection w:val="lrTb"/>
            <w:noWrap w:val="false"/>
          </w:tcPr>
          <w:p>
            <w:pPr>
              <w:spacing w:before="20" w:after="20"/>
            </w:pPr>
            <w:r>
              <w:rPr>
                <w:bCs/>
              </w:rPr>
              <w:t xml:space="preserve">ПАО НПО «Искра» в СЦТ № 6, оплата передачи тепловой энергии ПАО «Т Плюс»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494" w:type="pct"/>
            <w:vAlign w:val="center"/>
            <w:textDirection w:val="lrTb"/>
            <w:noWrap/>
          </w:tcPr>
          <w:p>
            <w:pPr>
              <w:ind w:left="30"/>
            </w:pPr>
            <w:r>
              <w:t xml:space="preserve">тариф на горячую воду (население)</w:t>
            </w:r>
            <w:r/>
          </w:p>
        </w:tc>
        <w:tc>
          <w:tcPr>
            <w:shd w:val="clear" w:color="auto" w:fill="auto"/>
            <w:tcW w:w="471" w:type="pct"/>
            <w:vAlign w:val="center"/>
            <w:textDirection w:val="lrTb"/>
            <w:noWrap/>
          </w:tcPr>
          <w:p>
            <w:pPr>
              <w:jc w:val="center"/>
              <w:spacing w:before="20" w:after="20"/>
              <w:rPr>
                <w:vertAlign w:val="superscript"/>
              </w:rPr>
            </w:pPr>
            <w:r>
              <w:t xml:space="preserve">руб./куб. м</w:t>
            </w:r>
            <w:r>
              <w:rPr>
                <w:vertAlign w:val="superscript"/>
              </w:rPr>
            </w:r>
          </w:p>
        </w:tc>
        <w:tc>
          <w:tcPr>
            <w:shd w:val="clear" w:color="auto" w:fill="auto"/>
            <w:tcW w:w="282" w:type="pct"/>
            <w:vAlign w:val="center"/>
            <w:textDirection w:val="lrTb"/>
            <w:noWrap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77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132,00</w:t>
            </w:r>
            <w:r/>
          </w:p>
        </w:tc>
        <w:tc>
          <w:tcPr>
            <w:tcW w:w="283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139,31</w:t>
            </w:r>
            <w:r/>
          </w:p>
        </w:tc>
        <w:tc>
          <w:tcPr>
            <w:tcW w:w="322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147,38</w:t>
            </w:r>
            <w:r/>
          </w:p>
        </w:tc>
        <w:tc>
          <w:tcPr>
            <w:tcW w:w="340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147,38</w:t>
            </w:r>
            <w:r/>
          </w:p>
        </w:tc>
        <w:tc>
          <w:tcPr>
            <w:tcW w:w="278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147,38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162,41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494" w:type="pct"/>
            <w:vAlign w:val="center"/>
            <w:textDirection w:val="lrTb"/>
            <w:noWrap/>
          </w:tcPr>
          <w:p>
            <w:pPr>
              <w:ind w:left="30"/>
            </w:pPr>
            <w:r>
              <w:t xml:space="preserve">тариф на горячую воду (прочие)</w:t>
            </w:r>
            <w:r/>
          </w:p>
        </w:tc>
        <w:tc>
          <w:tcPr>
            <w:shd w:val="clear" w:color="auto" w:fill="auto"/>
            <w:tcW w:w="471" w:type="pct"/>
            <w:vAlign w:val="center"/>
            <w:textDirection w:val="lrTb"/>
            <w:noWrap/>
          </w:tcPr>
          <w:p>
            <w:pPr>
              <w:jc w:val="center"/>
              <w:spacing w:before="20" w:after="20"/>
              <w:rPr>
                <w:vertAlign w:val="superscript"/>
              </w:rPr>
            </w:pPr>
            <w:r>
              <w:t xml:space="preserve">руб./куб. м</w:t>
            </w:r>
            <w:r>
              <w:rPr>
                <w:vertAlign w:val="superscript"/>
              </w:rPr>
            </w:r>
          </w:p>
        </w:tc>
        <w:tc>
          <w:tcPr>
            <w:shd w:val="clear" w:color="auto" w:fill="auto"/>
            <w:tcW w:w="282" w:type="pct"/>
            <w:vAlign w:val="center"/>
            <w:textDirection w:val="lrTb"/>
            <w:noWrap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77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144,71</w:t>
            </w:r>
            <w:r/>
          </w:p>
        </w:tc>
        <w:tc>
          <w:tcPr>
            <w:tcW w:w="283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152,02</w:t>
            </w:r>
            <w:r/>
          </w:p>
        </w:tc>
        <w:tc>
          <w:tcPr>
            <w:tcW w:w="322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161,23</w:t>
            </w:r>
            <w:r/>
          </w:p>
        </w:tc>
        <w:tc>
          <w:tcPr>
            <w:tcW w:w="340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161,23</w:t>
            </w:r>
            <w:r/>
          </w:p>
        </w:tc>
        <w:tc>
          <w:tcPr>
            <w:tcW w:w="278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161,23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194,89</w:t>
            </w:r>
            <w:r/>
          </w:p>
        </w:tc>
      </w:tr>
      <w:tr>
        <w:tblPrEx/>
        <w:trPr>
          <w:trHeight w:val="20"/>
        </w:trPr>
        <w:tc>
          <w:tcPr>
            <w:gridSpan w:val="12"/>
            <w:tcW w:w="5000" w:type="pct"/>
            <w:vAlign w:val="center"/>
            <w:textDirection w:val="lrTb"/>
            <w:noWrap w:val="false"/>
          </w:tcPr>
          <w:p>
            <w:pPr>
              <w:spacing w:before="20" w:after="20"/>
            </w:pPr>
            <w:r>
              <w:rPr>
                <w:bCs/>
              </w:rPr>
              <w:t xml:space="preserve">ПАО НПО «Искра» в СЦТ № 6, оплата передачи тепловой энергии ПАО «Т Плюс» и ПМУП «ГКТХ»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494" w:type="pct"/>
            <w:vAlign w:val="center"/>
            <w:textDirection w:val="lrTb"/>
            <w:noWrap/>
          </w:tcPr>
          <w:p>
            <w:pPr>
              <w:ind w:left="30" w:firstLine="7"/>
            </w:pPr>
            <w:r>
              <w:t xml:space="preserve">тариф на горячую воду (население)</w:t>
            </w:r>
            <w:r/>
          </w:p>
        </w:tc>
        <w:tc>
          <w:tcPr>
            <w:shd w:val="clear" w:color="auto" w:fill="auto"/>
            <w:tcW w:w="471" w:type="pct"/>
            <w:vAlign w:val="center"/>
            <w:textDirection w:val="lrTb"/>
            <w:noWrap/>
          </w:tcPr>
          <w:p>
            <w:pPr>
              <w:jc w:val="center"/>
              <w:spacing w:before="20" w:after="20"/>
              <w:rPr>
                <w:vertAlign w:val="superscript"/>
              </w:rPr>
            </w:pPr>
            <w:r>
              <w:t xml:space="preserve">руб./куб. м</w:t>
            </w:r>
            <w:r>
              <w:rPr>
                <w:vertAlign w:val="superscript"/>
              </w:rPr>
            </w:r>
          </w:p>
        </w:tc>
        <w:tc>
          <w:tcPr>
            <w:shd w:val="clear" w:color="auto" w:fill="auto"/>
            <w:tcW w:w="282" w:type="pct"/>
            <w:vAlign w:val="center"/>
            <w:textDirection w:val="lrTb"/>
            <w:noWrap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77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144,33</w:t>
            </w:r>
            <w:r/>
          </w:p>
        </w:tc>
        <w:tc>
          <w:tcPr>
            <w:tcW w:w="283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144,33</w:t>
            </w:r>
            <w:r/>
          </w:p>
        </w:tc>
        <w:tc>
          <w:tcPr>
            <w:tcW w:w="322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152,65</w:t>
            </w:r>
            <w:r/>
          </w:p>
        </w:tc>
        <w:tc>
          <w:tcPr>
            <w:tcW w:w="340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152,65</w:t>
            </w:r>
            <w:r/>
          </w:p>
        </w:tc>
        <w:tc>
          <w:tcPr>
            <w:tcW w:w="278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152,65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168,20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494" w:type="pct"/>
            <w:vAlign w:val="center"/>
            <w:textDirection w:val="lrTb"/>
            <w:noWrap/>
          </w:tcPr>
          <w:p>
            <w:pPr>
              <w:ind w:left="30" w:firstLine="7"/>
            </w:pPr>
            <w:r>
              <w:t xml:space="preserve">тариф на горячую воду (прочие)</w:t>
            </w:r>
            <w:r/>
          </w:p>
        </w:tc>
        <w:tc>
          <w:tcPr>
            <w:shd w:val="clear" w:color="auto" w:fill="auto"/>
            <w:tcW w:w="471" w:type="pct"/>
            <w:vAlign w:val="center"/>
            <w:textDirection w:val="lrTb"/>
            <w:noWrap/>
          </w:tcPr>
          <w:p>
            <w:pPr>
              <w:jc w:val="center"/>
              <w:spacing w:before="20" w:after="20"/>
              <w:rPr>
                <w:vertAlign w:val="superscript"/>
              </w:rPr>
            </w:pPr>
            <w:r>
              <w:t xml:space="preserve">руб./куб. м</w:t>
            </w:r>
            <w:r>
              <w:rPr>
                <w:vertAlign w:val="superscript"/>
              </w:rPr>
            </w:r>
          </w:p>
        </w:tc>
        <w:tc>
          <w:tcPr>
            <w:shd w:val="clear" w:color="auto" w:fill="auto"/>
            <w:tcW w:w="282" w:type="pct"/>
            <w:vAlign w:val="center"/>
            <w:textDirection w:val="lrTb"/>
            <w:noWrap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77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157,04</w:t>
            </w:r>
            <w:r/>
          </w:p>
        </w:tc>
        <w:tc>
          <w:tcPr>
            <w:tcW w:w="283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157,04</w:t>
            </w:r>
            <w:r/>
          </w:p>
        </w:tc>
        <w:tc>
          <w:tcPr>
            <w:tcW w:w="322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166,50</w:t>
            </w:r>
            <w:r/>
          </w:p>
        </w:tc>
        <w:tc>
          <w:tcPr>
            <w:tcW w:w="340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166,50</w:t>
            </w:r>
            <w:r/>
          </w:p>
        </w:tc>
        <w:tc>
          <w:tcPr>
            <w:tcW w:w="278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166,50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201,84</w:t>
            </w:r>
            <w:r/>
          </w:p>
        </w:tc>
      </w:tr>
      <w:tr>
        <w:tblPrEx/>
        <w:trPr>
          <w:trHeight w:val="20"/>
        </w:trPr>
        <w:tc>
          <w:tcPr>
            <w:gridSpan w:val="12"/>
            <w:tcW w:w="5000" w:type="pct"/>
            <w:vAlign w:val="center"/>
            <w:textDirection w:val="lrTb"/>
            <w:noWrap w:val="false"/>
          </w:tcPr>
          <w:p>
            <w:pPr>
              <w:spacing w:before="20" w:after="20"/>
            </w:pPr>
            <w:r>
              <w:rPr>
                <w:bCs/>
              </w:rPr>
              <w:t xml:space="preserve">ПАО «Т Плюс» в СЦТ № 19 (зона теплоснабжения ПТЭЦ-14)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494" w:type="pct"/>
            <w:vAlign w:val="center"/>
            <w:textDirection w:val="lrTb"/>
            <w:noWrap/>
          </w:tcPr>
          <w:p>
            <w:pPr>
              <w:ind w:left="30" w:firstLine="7"/>
            </w:pPr>
            <w:r>
              <w:t xml:space="preserve">тариф на горячую воду (население)</w:t>
            </w:r>
            <w:r/>
          </w:p>
        </w:tc>
        <w:tc>
          <w:tcPr>
            <w:shd w:val="clear" w:color="auto" w:fill="auto"/>
            <w:tcW w:w="471" w:type="pct"/>
            <w:vAlign w:val="center"/>
            <w:textDirection w:val="lrTb"/>
            <w:noWrap/>
          </w:tcPr>
          <w:p>
            <w:pPr>
              <w:jc w:val="center"/>
              <w:spacing w:before="20" w:after="20"/>
              <w:rPr>
                <w:vertAlign w:val="superscript"/>
              </w:rPr>
            </w:pPr>
            <w:r>
              <w:t xml:space="preserve">руб./куб. м</w:t>
            </w:r>
            <w:r>
              <w:rPr>
                <w:vertAlign w:val="superscript"/>
              </w:rPr>
            </w:r>
          </w:p>
        </w:tc>
        <w:tc>
          <w:tcPr>
            <w:shd w:val="clear" w:color="auto" w:fill="auto"/>
            <w:tcW w:w="282" w:type="pct"/>
            <w:vAlign w:val="center"/>
            <w:textDirection w:val="lrTb"/>
            <w:noWrap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77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130,11</w:t>
            </w:r>
            <w:r/>
          </w:p>
        </w:tc>
        <w:tc>
          <w:tcPr>
            <w:tcW w:w="283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135,57</w:t>
            </w:r>
            <w:r/>
          </w:p>
        </w:tc>
        <w:tc>
          <w:tcPr>
            <w:tcW w:w="322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143,42</w:t>
            </w:r>
            <w:r/>
          </w:p>
        </w:tc>
        <w:tc>
          <w:tcPr>
            <w:tcW w:w="340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143,42</w:t>
            </w:r>
            <w:r/>
          </w:p>
        </w:tc>
        <w:tc>
          <w:tcPr>
            <w:tcW w:w="278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143,42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158,05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494" w:type="pct"/>
            <w:vAlign w:val="center"/>
            <w:textDirection w:val="lrTb"/>
            <w:noWrap/>
          </w:tcPr>
          <w:p>
            <w:pPr>
              <w:ind w:left="30" w:firstLine="7"/>
            </w:pPr>
            <w:r>
              <w:t xml:space="preserve">тариф на горячую воду (прочие)</w:t>
            </w:r>
            <w:r/>
          </w:p>
        </w:tc>
        <w:tc>
          <w:tcPr>
            <w:shd w:val="clear" w:color="auto" w:fill="auto"/>
            <w:tcW w:w="471" w:type="pct"/>
            <w:vAlign w:val="center"/>
            <w:textDirection w:val="lrTb"/>
            <w:noWrap/>
          </w:tcPr>
          <w:p>
            <w:pPr>
              <w:jc w:val="center"/>
              <w:spacing w:before="20" w:after="20"/>
              <w:rPr>
                <w:vertAlign w:val="superscript"/>
              </w:rPr>
            </w:pPr>
            <w:r>
              <w:t xml:space="preserve">руб./куб. м</w:t>
            </w:r>
            <w:r>
              <w:rPr>
                <w:vertAlign w:val="superscript"/>
              </w:rPr>
            </w:r>
          </w:p>
        </w:tc>
        <w:tc>
          <w:tcPr>
            <w:shd w:val="clear" w:color="auto" w:fill="auto"/>
            <w:tcW w:w="282" w:type="pct"/>
            <w:vAlign w:val="center"/>
            <w:textDirection w:val="lrTb"/>
            <w:noWrap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77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142,82</w:t>
            </w:r>
            <w:r/>
          </w:p>
        </w:tc>
        <w:tc>
          <w:tcPr>
            <w:tcW w:w="283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148,28</w:t>
            </w:r>
            <w:r/>
          </w:p>
        </w:tc>
        <w:tc>
          <w:tcPr>
            <w:tcW w:w="322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157,27</w:t>
            </w:r>
            <w:r/>
          </w:p>
        </w:tc>
        <w:tc>
          <w:tcPr>
            <w:tcW w:w="340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157,27</w:t>
            </w:r>
            <w:r/>
          </w:p>
        </w:tc>
        <w:tc>
          <w:tcPr>
            <w:tcW w:w="278" w:type="pct"/>
            <w:vAlign w:val="center"/>
            <w:textDirection w:val="lrTb"/>
            <w:noWrap w:val="false"/>
          </w:tcPr>
          <w:p>
            <w:pPr>
              <w:ind w:left="-123" w:right="-111"/>
              <w:jc w:val="center"/>
              <w:spacing w:before="20" w:after="20"/>
            </w:pPr>
            <w:r>
              <w:t xml:space="preserve">157,27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189,66</w:t>
            </w:r>
            <w:r/>
          </w:p>
        </w:tc>
      </w:tr>
      <w:tr>
        <w:tblPrEx/>
        <w:trPr>
          <w:trHeight w:val="20"/>
        </w:trPr>
        <w:tc>
          <w:tcPr>
            <w:gridSpan w:val="12"/>
            <w:tcW w:w="5000" w:type="pct"/>
            <w:vAlign w:val="center"/>
            <w:textDirection w:val="lrTb"/>
            <w:noWrap w:val="false"/>
          </w:tcPr>
          <w:p>
            <w:pPr>
              <w:spacing w:before="20" w:after="20"/>
            </w:pPr>
            <w:r>
              <w:rPr>
                <w:bCs/>
                <w:color w:val="000000"/>
              </w:rPr>
              <w:t xml:space="preserve">Филиал «Свердловская железная дорога» </w:t>
            </w:r>
            <w:r>
              <w:t xml:space="preserve">ОАО «РЖД» в СЦТ № 1-3 (ЦТП по адресам: ул. </w:t>
            </w:r>
            <w:r>
              <w:t xml:space="preserve">Генкеля</w:t>
            </w:r>
            <w:r>
              <w:t xml:space="preserve">; ул. Каменского и т.д.)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494" w:type="pct"/>
            <w:vAlign w:val="center"/>
            <w:textDirection w:val="lrTb"/>
            <w:noWrap/>
          </w:tcPr>
          <w:p>
            <w:r>
              <w:t xml:space="preserve">тариф на горячую воду (население)</w:t>
            </w:r>
            <w:r/>
          </w:p>
        </w:tc>
        <w:tc>
          <w:tcPr>
            <w:shd w:val="clear" w:color="auto" w:fill="auto"/>
            <w:tcW w:w="471" w:type="pct"/>
            <w:vAlign w:val="center"/>
            <w:textDirection w:val="lrTb"/>
            <w:noWrap/>
          </w:tcPr>
          <w:p>
            <w:pPr>
              <w:jc w:val="center"/>
              <w:spacing w:before="20" w:after="20"/>
              <w:rPr>
                <w:vertAlign w:val="superscript"/>
              </w:rPr>
            </w:pPr>
            <w:r>
              <w:t xml:space="preserve">руб./куб. м</w:t>
            </w:r>
            <w:r>
              <w:rPr>
                <w:vertAlign w:val="superscript"/>
              </w:rPr>
            </w:r>
          </w:p>
        </w:tc>
        <w:tc>
          <w:tcPr>
            <w:shd w:val="clear" w:color="auto" w:fill="auto"/>
            <w:tcW w:w="282" w:type="pct"/>
            <w:vAlign w:val="center"/>
            <w:textDirection w:val="lrTb"/>
            <w:noWrap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77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83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22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138,69</w:t>
            </w:r>
            <w:r/>
          </w:p>
        </w:tc>
        <w:tc>
          <w:tcPr>
            <w:tcW w:w="340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138,69</w:t>
            </w:r>
            <w:r/>
          </w:p>
        </w:tc>
        <w:tc>
          <w:tcPr>
            <w:tcW w:w="278" w:type="pct"/>
            <w:vAlign w:val="center"/>
            <w:textDirection w:val="lrTb"/>
            <w:noWrap w:val="false"/>
          </w:tcPr>
          <w:p>
            <w:pPr>
              <w:ind w:left="-113" w:right="-107"/>
              <w:jc w:val="center"/>
              <w:spacing w:before="20" w:after="20"/>
            </w:pPr>
            <w:r>
              <w:t xml:space="preserve">138,69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152,84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494" w:type="pct"/>
            <w:vAlign w:val="center"/>
            <w:textDirection w:val="lrTb"/>
            <w:noWrap/>
          </w:tcPr>
          <w:p>
            <w:r>
              <w:t xml:space="preserve">тариф на горячую воду (прочие)</w:t>
            </w:r>
            <w:r/>
          </w:p>
        </w:tc>
        <w:tc>
          <w:tcPr>
            <w:shd w:val="clear" w:color="auto" w:fill="auto"/>
            <w:tcW w:w="471" w:type="pct"/>
            <w:vAlign w:val="center"/>
            <w:textDirection w:val="lrTb"/>
            <w:noWrap/>
          </w:tcPr>
          <w:p>
            <w:pPr>
              <w:jc w:val="center"/>
              <w:spacing w:before="20" w:after="20"/>
              <w:rPr>
                <w:vertAlign w:val="superscript"/>
              </w:rPr>
            </w:pPr>
            <w:r>
              <w:t xml:space="preserve">руб./куб. м</w:t>
            </w:r>
            <w:r>
              <w:rPr>
                <w:vertAlign w:val="superscript"/>
              </w:rPr>
            </w:r>
          </w:p>
        </w:tc>
        <w:tc>
          <w:tcPr>
            <w:shd w:val="clear" w:color="auto" w:fill="auto"/>
            <w:tcW w:w="282" w:type="pct"/>
            <w:vAlign w:val="center"/>
            <w:textDirection w:val="lrTb"/>
            <w:noWrap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77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83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22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157,27</w:t>
            </w:r>
            <w:r/>
          </w:p>
        </w:tc>
        <w:tc>
          <w:tcPr>
            <w:tcW w:w="340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157,27</w:t>
            </w:r>
            <w:r/>
          </w:p>
        </w:tc>
        <w:tc>
          <w:tcPr>
            <w:tcW w:w="278" w:type="pct"/>
            <w:vAlign w:val="center"/>
            <w:textDirection w:val="lrTb"/>
            <w:noWrap w:val="false"/>
          </w:tcPr>
          <w:p>
            <w:pPr>
              <w:ind w:left="-113" w:right="-107"/>
              <w:jc w:val="center"/>
              <w:spacing w:before="20" w:after="20"/>
            </w:pPr>
            <w:r>
              <w:t xml:space="preserve">157,27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183,41</w:t>
            </w:r>
            <w:r/>
          </w:p>
        </w:tc>
      </w:tr>
      <w:tr>
        <w:tblPrEx/>
        <w:trPr>
          <w:trHeight w:val="20"/>
        </w:trPr>
        <w:tc>
          <w:tcPr>
            <w:gridSpan w:val="12"/>
            <w:tcW w:w="5000" w:type="pct"/>
            <w:vAlign w:val="center"/>
            <w:textDirection w:val="lrTb"/>
            <w:noWrap w:val="false"/>
          </w:tcPr>
          <w:p>
            <w:pPr>
              <w:spacing w:before="20" w:after="20"/>
            </w:pPr>
            <w:r>
              <w:t xml:space="preserve">ПМУП «ГКТХ» в СЦТ № 20, 21, 29, 32 (ПМУП «ГКТХ» (ВК Вышка-2, ВК Хабаровская, ВК Белозерская, ВК Дементьева)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494" w:type="pct"/>
            <w:vAlign w:val="center"/>
            <w:textDirection w:val="lrTb"/>
            <w:noWrap/>
          </w:tcPr>
          <w:p>
            <w:r>
              <w:t xml:space="preserve">тариф на горячую воду (население)</w:t>
            </w:r>
            <w:r/>
          </w:p>
        </w:tc>
        <w:tc>
          <w:tcPr>
            <w:shd w:val="clear" w:color="auto" w:fill="auto"/>
            <w:tcW w:w="471" w:type="pct"/>
            <w:vAlign w:val="center"/>
            <w:textDirection w:val="lrTb"/>
            <w:noWrap/>
          </w:tcPr>
          <w:p>
            <w:pPr>
              <w:jc w:val="center"/>
              <w:spacing w:before="20" w:after="20"/>
              <w:rPr>
                <w:vertAlign w:val="superscript"/>
              </w:rPr>
            </w:pPr>
            <w:r>
              <w:t xml:space="preserve">руб./куб. м</w:t>
            </w:r>
            <w:r>
              <w:rPr>
                <w:vertAlign w:val="superscript"/>
              </w:rPr>
            </w:r>
          </w:p>
        </w:tc>
        <w:tc>
          <w:tcPr>
            <w:shd w:val="clear" w:color="auto" w:fill="auto"/>
            <w:tcW w:w="282" w:type="pct"/>
            <w:vAlign w:val="center"/>
            <w:textDirection w:val="lrTb"/>
            <w:noWrap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77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83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22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194,20</w:t>
            </w:r>
            <w:r/>
          </w:p>
        </w:tc>
        <w:tc>
          <w:tcPr>
            <w:tcW w:w="340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194,20</w:t>
            </w:r>
            <w:r/>
          </w:p>
        </w:tc>
        <w:tc>
          <w:tcPr>
            <w:tcW w:w="278" w:type="pct"/>
            <w:vAlign w:val="center"/>
            <w:textDirection w:val="lrTb"/>
            <w:noWrap w:val="false"/>
          </w:tcPr>
          <w:p>
            <w:pPr>
              <w:ind w:left="-113" w:right="-107"/>
              <w:jc w:val="center"/>
              <w:spacing w:before="20" w:after="20"/>
            </w:pPr>
            <w:r>
              <w:t xml:space="preserve">194,20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220,53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494" w:type="pct"/>
            <w:vAlign w:val="center"/>
            <w:textDirection w:val="lrTb"/>
            <w:noWrap/>
          </w:tcPr>
          <w:p>
            <w:r>
              <w:t xml:space="preserve">тариф на горячую воду (прочие)</w:t>
            </w:r>
            <w:r/>
          </w:p>
        </w:tc>
        <w:tc>
          <w:tcPr>
            <w:shd w:val="clear" w:color="auto" w:fill="auto"/>
            <w:tcW w:w="471" w:type="pct"/>
            <w:vAlign w:val="center"/>
            <w:textDirection w:val="lrTb"/>
            <w:noWrap/>
          </w:tcPr>
          <w:p>
            <w:pPr>
              <w:jc w:val="center"/>
              <w:spacing w:before="20" w:after="20"/>
              <w:rPr>
                <w:vertAlign w:val="superscript"/>
              </w:rPr>
            </w:pPr>
            <w:r>
              <w:t xml:space="preserve">руб./куб. м</w:t>
            </w:r>
            <w:r>
              <w:rPr>
                <w:vertAlign w:val="superscript"/>
              </w:rPr>
            </w:r>
          </w:p>
        </w:tc>
        <w:tc>
          <w:tcPr>
            <w:shd w:val="clear" w:color="auto" w:fill="auto"/>
            <w:tcW w:w="282" w:type="pct"/>
            <w:vAlign w:val="center"/>
            <w:textDirection w:val="lrTb"/>
            <w:noWrap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77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83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22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175,68</w:t>
            </w:r>
            <w:r/>
          </w:p>
        </w:tc>
        <w:tc>
          <w:tcPr>
            <w:tcW w:w="340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175,68</w:t>
            </w:r>
            <w:r/>
          </w:p>
        </w:tc>
        <w:tc>
          <w:tcPr>
            <w:tcW w:w="278" w:type="pct"/>
            <w:vAlign w:val="center"/>
            <w:textDirection w:val="lrTb"/>
            <w:noWrap w:val="false"/>
          </w:tcPr>
          <w:p>
            <w:pPr>
              <w:ind w:left="-113" w:right="-107"/>
              <w:jc w:val="center"/>
              <w:spacing w:before="20" w:after="20"/>
            </w:pPr>
            <w:r>
              <w:t xml:space="preserve">175,68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196,01</w:t>
            </w:r>
            <w:r/>
          </w:p>
        </w:tc>
      </w:tr>
      <w:tr>
        <w:tblPrEx/>
        <w:trPr>
          <w:trHeight w:val="20"/>
        </w:trPr>
        <w:tc>
          <w:tcPr>
            <w:gridSpan w:val="12"/>
            <w:tcW w:w="5000" w:type="pct"/>
            <w:vAlign w:val="center"/>
            <w:textDirection w:val="lrTb"/>
            <w:noWrap w:val="false"/>
          </w:tcPr>
          <w:p>
            <w:pPr>
              <w:spacing w:before="20" w:after="20"/>
            </w:pPr>
            <w:r>
              <w:t xml:space="preserve">ПМУП «ГКТХ» в СЦТ № 35 (ВК Южная)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494" w:type="pct"/>
            <w:vAlign w:val="center"/>
            <w:textDirection w:val="lrTb"/>
            <w:noWrap/>
          </w:tcPr>
          <w:p>
            <w:r>
              <w:t xml:space="preserve">тариф на горячую воду (население)</w:t>
            </w:r>
            <w:r/>
          </w:p>
        </w:tc>
        <w:tc>
          <w:tcPr>
            <w:shd w:val="clear" w:color="auto" w:fill="auto"/>
            <w:tcW w:w="471" w:type="pct"/>
            <w:vAlign w:val="center"/>
            <w:textDirection w:val="lrTb"/>
            <w:noWrap/>
          </w:tcPr>
          <w:p>
            <w:pPr>
              <w:jc w:val="center"/>
              <w:spacing w:before="20" w:after="20"/>
              <w:rPr>
                <w:vertAlign w:val="superscript"/>
              </w:rPr>
            </w:pPr>
            <w:r>
              <w:t xml:space="preserve">руб./куб. м</w:t>
            </w:r>
            <w:r>
              <w:rPr>
                <w:vertAlign w:val="superscript"/>
              </w:rPr>
            </w:r>
          </w:p>
        </w:tc>
        <w:tc>
          <w:tcPr>
            <w:shd w:val="clear" w:color="auto" w:fill="auto"/>
            <w:tcW w:w="282" w:type="pct"/>
            <w:vAlign w:val="center"/>
            <w:textDirection w:val="lrTb"/>
            <w:noWrap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77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83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22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170,36</w:t>
            </w:r>
            <w:r/>
          </w:p>
        </w:tc>
        <w:tc>
          <w:tcPr>
            <w:tcW w:w="340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170,36</w:t>
            </w:r>
            <w:r/>
          </w:p>
        </w:tc>
        <w:tc>
          <w:tcPr>
            <w:tcW w:w="278" w:type="pct"/>
            <w:vAlign w:val="center"/>
            <w:textDirection w:val="lrTb"/>
            <w:noWrap w:val="false"/>
          </w:tcPr>
          <w:p>
            <w:pPr>
              <w:ind w:left="-113" w:right="-107"/>
              <w:jc w:val="center"/>
              <w:spacing w:before="20" w:after="20"/>
            </w:pPr>
            <w:r>
              <w:t xml:space="preserve">170,36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193,54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494" w:type="pct"/>
            <w:vAlign w:val="center"/>
            <w:textDirection w:val="lrTb"/>
            <w:noWrap/>
          </w:tcPr>
          <w:p>
            <w:r>
              <w:t xml:space="preserve">тариф на горячую воду (прочие)</w:t>
            </w:r>
            <w:r/>
          </w:p>
        </w:tc>
        <w:tc>
          <w:tcPr>
            <w:shd w:val="clear" w:color="auto" w:fill="auto"/>
            <w:tcW w:w="471" w:type="pct"/>
            <w:vAlign w:val="center"/>
            <w:textDirection w:val="lrTb"/>
            <w:noWrap/>
          </w:tcPr>
          <w:p>
            <w:pPr>
              <w:jc w:val="center"/>
              <w:spacing w:before="20" w:after="20"/>
              <w:rPr>
                <w:vertAlign w:val="superscript"/>
              </w:rPr>
            </w:pPr>
            <w:r>
              <w:t xml:space="preserve">руб./куб. м</w:t>
            </w:r>
            <w:r>
              <w:rPr>
                <w:vertAlign w:val="superscript"/>
              </w:rPr>
            </w:r>
          </w:p>
        </w:tc>
        <w:tc>
          <w:tcPr>
            <w:shd w:val="clear" w:color="auto" w:fill="auto"/>
            <w:tcW w:w="282" w:type="pct"/>
            <w:vAlign w:val="center"/>
            <w:textDirection w:val="lrTb"/>
            <w:noWrap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77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83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22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155,82</w:t>
            </w:r>
            <w:r/>
          </w:p>
        </w:tc>
        <w:tc>
          <w:tcPr>
            <w:tcW w:w="340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155,82</w:t>
            </w:r>
            <w:r/>
          </w:p>
        </w:tc>
        <w:tc>
          <w:tcPr>
            <w:tcW w:w="278" w:type="pct"/>
            <w:textDirection w:val="lrTb"/>
            <w:noWrap w:val="false"/>
          </w:tcPr>
          <w:p>
            <w:pPr>
              <w:ind w:left="-113" w:right="-107"/>
              <w:jc w:val="center"/>
              <w:spacing w:before="20" w:after="20"/>
            </w:pPr>
            <w:r>
              <w:t xml:space="preserve">155,82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173,52</w:t>
            </w:r>
            <w:r/>
          </w:p>
        </w:tc>
      </w:tr>
      <w:tr>
        <w:tblPrEx/>
        <w:trPr>
          <w:trHeight w:val="20"/>
        </w:trPr>
        <w:tc>
          <w:tcPr>
            <w:gridSpan w:val="12"/>
            <w:tcW w:w="5000" w:type="pct"/>
            <w:vAlign w:val="center"/>
            <w:textDirection w:val="lrTb"/>
            <w:noWrap w:val="false"/>
          </w:tcPr>
          <w:p>
            <w:pPr>
              <w:spacing w:before="20" w:after="20"/>
            </w:pPr>
            <w:r>
              <w:rPr>
                <w:bCs/>
                <w:color w:val="000000"/>
              </w:rPr>
              <w:t xml:space="preserve">Филиал «Свердловская железная дорога» </w:t>
            </w:r>
            <w:r>
              <w:t xml:space="preserve">ОАО «РЖД» в СЦТ № 1 (Котельная Боровая)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494" w:type="pct"/>
            <w:vAlign w:val="center"/>
            <w:textDirection w:val="lrTb"/>
            <w:noWrap/>
          </w:tcPr>
          <w:p>
            <w:r>
              <w:t xml:space="preserve">тариф на горячую воду (население)</w:t>
            </w:r>
            <w:r/>
          </w:p>
        </w:tc>
        <w:tc>
          <w:tcPr>
            <w:shd w:val="clear" w:color="auto" w:fill="auto"/>
            <w:tcW w:w="471" w:type="pct"/>
            <w:vAlign w:val="center"/>
            <w:textDirection w:val="lrTb"/>
            <w:noWrap/>
          </w:tcPr>
          <w:p>
            <w:pPr>
              <w:jc w:val="center"/>
              <w:spacing w:before="20" w:after="20"/>
              <w:rPr>
                <w:vertAlign w:val="superscript"/>
              </w:rPr>
            </w:pPr>
            <w:r>
              <w:t xml:space="preserve">руб./куб. м</w:t>
            </w:r>
            <w:r>
              <w:rPr>
                <w:vertAlign w:val="superscript"/>
              </w:rPr>
            </w:r>
          </w:p>
        </w:tc>
        <w:tc>
          <w:tcPr>
            <w:shd w:val="clear" w:color="auto" w:fill="auto"/>
            <w:tcW w:w="282" w:type="pct"/>
            <w:vAlign w:val="center"/>
            <w:textDirection w:val="lrTb"/>
            <w:noWrap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77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83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22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124,60</w:t>
            </w:r>
            <w:r/>
          </w:p>
        </w:tc>
        <w:tc>
          <w:tcPr>
            <w:tcW w:w="340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124,60</w:t>
            </w:r>
            <w:r/>
          </w:p>
        </w:tc>
        <w:tc>
          <w:tcPr>
            <w:tcW w:w="278" w:type="pct"/>
            <w:vAlign w:val="center"/>
            <w:textDirection w:val="lrTb"/>
            <w:noWrap w:val="false"/>
          </w:tcPr>
          <w:p>
            <w:pPr>
              <w:ind w:left="-113" w:right="-107"/>
              <w:jc w:val="center"/>
              <w:spacing w:before="20" w:after="20"/>
            </w:pPr>
            <w:r>
              <w:t xml:space="preserve">124,60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137,31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494" w:type="pct"/>
            <w:vAlign w:val="center"/>
            <w:textDirection w:val="lrTb"/>
            <w:noWrap/>
          </w:tcPr>
          <w:p>
            <w:r>
              <w:t xml:space="preserve">тариф на горячую воду (прочие)</w:t>
            </w:r>
            <w:r/>
          </w:p>
        </w:tc>
        <w:tc>
          <w:tcPr>
            <w:shd w:val="clear" w:color="auto" w:fill="auto"/>
            <w:tcW w:w="471" w:type="pct"/>
            <w:vAlign w:val="center"/>
            <w:textDirection w:val="lrTb"/>
            <w:noWrap/>
          </w:tcPr>
          <w:p>
            <w:pPr>
              <w:jc w:val="center"/>
              <w:spacing w:before="20" w:after="20"/>
              <w:rPr>
                <w:vertAlign w:val="superscript"/>
              </w:rPr>
            </w:pPr>
            <w:r>
              <w:t xml:space="preserve">руб./куб. м</w:t>
            </w:r>
            <w:r>
              <w:rPr>
                <w:vertAlign w:val="superscript"/>
              </w:rPr>
            </w:r>
          </w:p>
        </w:tc>
        <w:tc>
          <w:tcPr>
            <w:shd w:val="clear" w:color="auto" w:fill="auto"/>
            <w:tcW w:w="282" w:type="pct"/>
            <w:vAlign w:val="center"/>
            <w:textDirection w:val="lrTb"/>
            <w:noWrap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16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91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77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83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22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138,45</w:t>
            </w:r>
            <w:r/>
          </w:p>
        </w:tc>
        <w:tc>
          <w:tcPr>
            <w:tcW w:w="340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138,45</w:t>
            </w:r>
            <w:r/>
          </w:p>
        </w:tc>
        <w:tc>
          <w:tcPr>
            <w:tcW w:w="278" w:type="pct"/>
            <w:vAlign w:val="center"/>
            <w:textDirection w:val="lrTb"/>
            <w:noWrap w:val="false"/>
          </w:tcPr>
          <w:p>
            <w:pPr>
              <w:ind w:left="-113" w:right="-107"/>
              <w:jc w:val="center"/>
              <w:spacing w:before="20" w:after="20"/>
            </w:pPr>
            <w:r>
              <w:t xml:space="preserve">138,45</w:t>
            </w:r>
            <w:r/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164,77</w:t>
            </w:r>
            <w:r/>
          </w:p>
        </w:tc>
      </w:tr>
      <w:tr>
        <w:tblPrEx/>
        <w:trPr>
          <w:trHeight w:val="20"/>
        </w:trPr>
        <w:tc>
          <w:tcPr>
            <w:gridSpan w:val="12"/>
            <w:tcW w:w="5000" w:type="pct"/>
            <w:vAlign w:val="center"/>
            <w:textDirection w:val="lrTb"/>
            <w:noWrap w:val="false"/>
          </w:tcPr>
          <w:p>
            <w:pPr>
              <w:spacing w:before="20" w:after="20"/>
            </w:pPr>
            <w:r>
              <w:t xml:space="preserve">ПАО «Т Плюс» (за исключением зоны теплоснабжения ПТЭЦ-14)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494" w:type="pct"/>
            <w:vAlign w:val="center"/>
            <w:textDirection w:val="lrTb"/>
            <w:noWrap/>
          </w:tcPr>
          <w:p>
            <w:r>
              <w:t xml:space="preserve">тариф на горячую воду (население с НДС)</w:t>
            </w:r>
            <w:r/>
          </w:p>
        </w:tc>
        <w:tc>
          <w:tcPr>
            <w:shd w:val="clear" w:color="auto" w:fill="auto"/>
            <w:tcW w:w="471" w:type="pct"/>
            <w:textDirection w:val="lrTb"/>
            <w:noWrap/>
          </w:tcPr>
          <w:p>
            <w:pPr>
              <w:jc w:val="center"/>
              <w:spacing w:before="20" w:after="20"/>
              <w:rPr>
                <w:vertAlign w:val="superscript"/>
              </w:rPr>
            </w:pPr>
            <w:r>
              <w:t xml:space="preserve">руб./куб. м</w:t>
            </w:r>
            <w:r>
              <w:rPr>
                <w:vertAlign w:val="superscript"/>
              </w:rPr>
            </w:r>
          </w:p>
        </w:tc>
        <w:tc>
          <w:tcPr>
            <w:shd w:val="clear" w:color="auto" w:fill="auto"/>
            <w:tcW w:w="282" w:type="pct"/>
            <w:textDirection w:val="lrTb"/>
            <w:noWrap/>
          </w:tcPr>
          <w:p>
            <w:pPr>
              <w:ind w:left="-112" w:right="-108"/>
              <w:jc w:val="center"/>
              <w:spacing w:before="20" w:after="20"/>
            </w:pPr>
            <w:r>
              <w:t xml:space="preserve">127,01</w:t>
            </w:r>
            <w:r/>
          </w:p>
        </w:tc>
        <w:tc>
          <w:tcPr>
            <w:tcW w:w="316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129,55</w:t>
            </w:r>
            <w:r/>
          </w:p>
        </w:tc>
        <w:tc>
          <w:tcPr>
            <w:tcW w:w="291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129,55</w:t>
            </w:r>
            <w:r/>
          </w:p>
        </w:tc>
        <w:tc>
          <w:tcPr>
            <w:tcW w:w="291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130,31</w:t>
            </w:r>
            <w:r/>
          </w:p>
        </w:tc>
        <w:tc>
          <w:tcPr>
            <w:tcW w:w="277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83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22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40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78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55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494" w:type="pct"/>
            <w:vAlign w:val="center"/>
            <w:textDirection w:val="lrTb"/>
            <w:noWrap/>
          </w:tcPr>
          <w:p>
            <w:r>
              <w:t xml:space="preserve">тариф на горячую воду (прочие)</w:t>
            </w:r>
            <w:r/>
          </w:p>
        </w:tc>
        <w:tc>
          <w:tcPr>
            <w:shd w:val="clear" w:color="auto" w:fill="auto"/>
            <w:tcW w:w="471" w:type="pct"/>
            <w:textDirection w:val="lrTb"/>
            <w:noWrap/>
          </w:tcPr>
          <w:p>
            <w:pPr>
              <w:jc w:val="center"/>
              <w:spacing w:before="20" w:after="20"/>
              <w:rPr>
                <w:vertAlign w:val="superscript"/>
              </w:rPr>
            </w:pPr>
            <w:r>
              <w:t xml:space="preserve">руб./куб. м</w:t>
            </w:r>
            <w:r>
              <w:rPr>
                <w:vertAlign w:val="superscript"/>
              </w:rPr>
            </w:r>
          </w:p>
        </w:tc>
        <w:tc>
          <w:tcPr>
            <w:shd w:val="clear" w:color="auto" w:fill="auto"/>
            <w:tcW w:w="282" w:type="pct"/>
            <w:textDirection w:val="lrTb"/>
            <w:noWrap/>
          </w:tcPr>
          <w:p>
            <w:pPr>
              <w:ind w:left="-112" w:right="-108"/>
              <w:jc w:val="center"/>
              <w:spacing w:before="20" w:after="20"/>
            </w:pPr>
            <w:r>
              <w:t xml:space="preserve">114,96</w:t>
            </w:r>
            <w:r/>
          </w:p>
        </w:tc>
        <w:tc>
          <w:tcPr>
            <w:tcW w:w="316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116,99</w:t>
            </w:r>
            <w:r/>
          </w:p>
        </w:tc>
        <w:tc>
          <w:tcPr>
            <w:tcW w:w="291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116,99</w:t>
            </w:r>
            <w:r/>
          </w:p>
        </w:tc>
        <w:tc>
          <w:tcPr>
            <w:tcW w:w="291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121,29</w:t>
            </w:r>
            <w:r/>
          </w:p>
        </w:tc>
        <w:tc>
          <w:tcPr>
            <w:tcW w:w="277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83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22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40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78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55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</w:tr>
      <w:tr>
        <w:tblPrEx/>
        <w:trPr>
          <w:trHeight w:val="20"/>
        </w:trPr>
        <w:tc>
          <w:tcPr>
            <w:gridSpan w:val="12"/>
            <w:tcW w:w="5000" w:type="pct"/>
            <w:vAlign w:val="center"/>
            <w:textDirection w:val="lrTb"/>
            <w:noWrap w:val="false"/>
          </w:tcPr>
          <w:p>
            <w:pPr>
              <w:spacing w:before="20" w:after="20"/>
            </w:pPr>
            <w:r>
              <w:t xml:space="preserve">ПАО «Т Плюс» (зона теплоснабжения ПТЭЦ-14)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494" w:type="pct"/>
            <w:vAlign w:val="center"/>
            <w:textDirection w:val="lrTb"/>
            <w:noWrap/>
          </w:tcPr>
          <w:p>
            <w:r>
              <w:t xml:space="preserve">тариф на горячую воду (население с НДС)</w:t>
            </w:r>
            <w:r/>
          </w:p>
        </w:tc>
        <w:tc>
          <w:tcPr>
            <w:shd w:val="clear" w:color="auto" w:fill="auto"/>
            <w:tcW w:w="471" w:type="pct"/>
            <w:textDirection w:val="lrTb"/>
            <w:noWrap/>
          </w:tcPr>
          <w:p>
            <w:pPr>
              <w:jc w:val="center"/>
              <w:spacing w:before="20" w:after="20"/>
              <w:rPr>
                <w:vertAlign w:val="superscript"/>
              </w:rPr>
            </w:pPr>
            <w:r>
              <w:t xml:space="preserve">руб./куб. м</w:t>
            </w:r>
            <w:r>
              <w:rPr>
                <w:vertAlign w:val="superscript"/>
              </w:rPr>
            </w:r>
          </w:p>
        </w:tc>
        <w:tc>
          <w:tcPr>
            <w:shd w:val="clear" w:color="auto" w:fill="auto"/>
            <w:tcW w:w="282" w:type="pct"/>
            <w:textDirection w:val="lrTb"/>
            <w:noWrap/>
          </w:tcPr>
          <w:p>
            <w:pPr>
              <w:ind w:left="-112" w:right="-108"/>
              <w:jc w:val="center"/>
              <w:spacing w:before="20" w:after="20"/>
            </w:pPr>
            <w:r>
              <w:t xml:space="preserve">160,99</w:t>
            </w:r>
            <w:r/>
          </w:p>
        </w:tc>
        <w:tc>
          <w:tcPr>
            <w:tcW w:w="316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160,99</w:t>
            </w:r>
            <w:r/>
          </w:p>
        </w:tc>
        <w:tc>
          <w:tcPr>
            <w:tcW w:w="291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160,99</w:t>
            </w:r>
            <w:r/>
          </w:p>
        </w:tc>
        <w:tc>
          <w:tcPr>
            <w:tcW w:w="291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156,13</w:t>
            </w:r>
            <w:r/>
          </w:p>
        </w:tc>
        <w:tc>
          <w:tcPr>
            <w:tcW w:w="277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83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22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40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78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55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494" w:type="pct"/>
            <w:vAlign w:val="center"/>
            <w:textDirection w:val="lrTb"/>
            <w:noWrap/>
          </w:tcPr>
          <w:p>
            <w:r>
              <w:t xml:space="preserve">тариф на горячую воду (прочие)</w:t>
            </w:r>
            <w:r/>
          </w:p>
        </w:tc>
        <w:tc>
          <w:tcPr>
            <w:shd w:val="clear" w:color="auto" w:fill="auto"/>
            <w:tcW w:w="471" w:type="pct"/>
            <w:textDirection w:val="lrTb"/>
            <w:noWrap/>
          </w:tcPr>
          <w:p>
            <w:pPr>
              <w:jc w:val="center"/>
              <w:spacing w:before="20" w:after="20"/>
              <w:rPr>
                <w:vertAlign w:val="superscript"/>
              </w:rPr>
            </w:pPr>
            <w:r>
              <w:t xml:space="preserve">руб./куб. м</w:t>
            </w:r>
            <w:r>
              <w:rPr>
                <w:vertAlign w:val="superscript"/>
              </w:rPr>
            </w:r>
          </w:p>
        </w:tc>
        <w:tc>
          <w:tcPr>
            <w:shd w:val="clear" w:color="auto" w:fill="auto"/>
            <w:tcW w:w="282" w:type="pct"/>
            <w:textDirection w:val="lrTb"/>
            <w:noWrap/>
          </w:tcPr>
          <w:p>
            <w:pPr>
              <w:ind w:left="-112" w:right="-108"/>
              <w:jc w:val="center"/>
              <w:spacing w:before="20" w:after="20"/>
            </w:pPr>
            <w:r>
              <w:t xml:space="preserve">146,86</w:t>
            </w:r>
            <w:r/>
          </w:p>
        </w:tc>
        <w:tc>
          <w:tcPr>
            <w:tcW w:w="316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146,86</w:t>
            </w:r>
            <w:r/>
          </w:p>
        </w:tc>
        <w:tc>
          <w:tcPr>
            <w:tcW w:w="291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146,86</w:t>
            </w:r>
            <w:r/>
          </w:p>
        </w:tc>
        <w:tc>
          <w:tcPr>
            <w:tcW w:w="291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142,82</w:t>
            </w:r>
            <w:r/>
          </w:p>
        </w:tc>
        <w:tc>
          <w:tcPr>
            <w:tcW w:w="277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83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22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40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78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55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</w:tr>
      <w:tr>
        <w:tblPrEx/>
        <w:trPr>
          <w:trHeight w:val="20"/>
        </w:trPr>
        <w:tc>
          <w:tcPr>
            <w:gridSpan w:val="12"/>
            <w:tcW w:w="5000" w:type="pct"/>
            <w:vAlign w:val="center"/>
            <w:textDirection w:val="lrTb"/>
            <w:noWrap w:val="false"/>
          </w:tcPr>
          <w:p>
            <w:pPr>
              <w:spacing w:before="20" w:after="20"/>
            </w:pPr>
            <w:r>
              <w:t xml:space="preserve">ООО «Пермская сетевая компания» (обособленное подразделение «Котельные»)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494" w:type="pct"/>
            <w:vAlign w:val="center"/>
            <w:textDirection w:val="lrTb"/>
            <w:noWrap/>
          </w:tcPr>
          <w:p>
            <w:r>
              <w:t xml:space="preserve">тариф на горячую воду (население с НДС)</w:t>
            </w:r>
            <w:r/>
          </w:p>
        </w:tc>
        <w:tc>
          <w:tcPr>
            <w:shd w:val="clear" w:color="auto" w:fill="auto"/>
            <w:tcW w:w="471" w:type="pct"/>
            <w:textDirection w:val="lrTb"/>
            <w:noWrap/>
          </w:tcPr>
          <w:p>
            <w:pPr>
              <w:jc w:val="center"/>
              <w:spacing w:before="20" w:after="20"/>
              <w:rPr>
                <w:vertAlign w:val="superscript"/>
              </w:rPr>
            </w:pPr>
            <w:r>
              <w:t xml:space="preserve">руб./куб. м</w:t>
            </w:r>
            <w:r>
              <w:rPr>
                <w:vertAlign w:val="superscript"/>
              </w:rPr>
            </w:r>
          </w:p>
        </w:tc>
        <w:tc>
          <w:tcPr>
            <w:shd w:val="clear" w:color="auto" w:fill="auto"/>
            <w:tcW w:w="282" w:type="pct"/>
            <w:textDirection w:val="lrTb"/>
            <w:noWrap/>
          </w:tcPr>
          <w:p>
            <w:pPr>
              <w:ind w:left="-112" w:right="-108"/>
              <w:jc w:val="center"/>
              <w:spacing w:before="20" w:after="20"/>
            </w:pPr>
            <w:r>
              <w:t xml:space="preserve">162,08</w:t>
            </w:r>
            <w:r/>
          </w:p>
        </w:tc>
        <w:tc>
          <w:tcPr>
            <w:tcW w:w="316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167,95</w:t>
            </w:r>
            <w:r/>
          </w:p>
        </w:tc>
        <w:tc>
          <w:tcPr>
            <w:tcW w:w="291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167,95</w:t>
            </w:r>
            <w:r/>
          </w:p>
        </w:tc>
        <w:tc>
          <w:tcPr>
            <w:tcW w:w="291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162,68</w:t>
            </w:r>
            <w:r/>
          </w:p>
        </w:tc>
        <w:tc>
          <w:tcPr>
            <w:tcW w:w="277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83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22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40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78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55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494" w:type="pct"/>
            <w:vAlign w:val="center"/>
            <w:textDirection w:val="lrTb"/>
            <w:noWrap/>
          </w:tcPr>
          <w:p>
            <w:r>
              <w:t xml:space="preserve">тариф на горячую воду (прочие)</w:t>
            </w:r>
            <w:r/>
          </w:p>
        </w:tc>
        <w:tc>
          <w:tcPr>
            <w:shd w:val="clear" w:color="auto" w:fill="auto"/>
            <w:tcW w:w="471" w:type="pct"/>
            <w:textDirection w:val="lrTb"/>
            <w:noWrap/>
          </w:tcPr>
          <w:p>
            <w:pPr>
              <w:jc w:val="center"/>
              <w:spacing w:before="20" w:after="20"/>
              <w:rPr>
                <w:vertAlign w:val="superscript"/>
              </w:rPr>
            </w:pPr>
            <w:r>
              <w:t xml:space="preserve">руб./куб. м</w:t>
            </w:r>
            <w:r>
              <w:rPr>
                <w:vertAlign w:val="superscript"/>
              </w:rPr>
            </w:r>
          </w:p>
        </w:tc>
        <w:tc>
          <w:tcPr>
            <w:shd w:val="clear" w:color="auto" w:fill="auto"/>
            <w:tcW w:w="282" w:type="pct"/>
            <w:textDirection w:val="lrTb"/>
            <w:noWrap/>
          </w:tcPr>
          <w:p>
            <w:pPr>
              <w:ind w:left="-112" w:right="-108"/>
              <w:jc w:val="center"/>
              <w:spacing w:before="20" w:after="20"/>
            </w:pPr>
            <w:r>
              <w:t xml:space="preserve">142,05</w:t>
            </w:r>
            <w:r/>
          </w:p>
        </w:tc>
        <w:tc>
          <w:tcPr>
            <w:tcW w:w="316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146,68</w:t>
            </w:r>
            <w:r/>
          </w:p>
        </w:tc>
        <w:tc>
          <w:tcPr>
            <w:tcW w:w="291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146,68</w:t>
            </w:r>
            <w:r/>
          </w:p>
        </w:tc>
        <w:tc>
          <w:tcPr>
            <w:tcW w:w="291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148,28</w:t>
            </w:r>
            <w:r/>
          </w:p>
        </w:tc>
        <w:tc>
          <w:tcPr>
            <w:tcW w:w="277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83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22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40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78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55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</w:tr>
      <w:tr>
        <w:tblPrEx/>
        <w:trPr>
          <w:trHeight w:val="20"/>
        </w:trPr>
        <w:tc>
          <w:tcPr>
            <w:gridSpan w:val="12"/>
            <w:tcW w:w="5000" w:type="pct"/>
            <w:vAlign w:val="center"/>
            <w:textDirection w:val="lrTb"/>
            <w:noWrap w:val="false"/>
          </w:tcPr>
          <w:p>
            <w:pPr>
              <w:spacing w:before="20" w:after="20"/>
            </w:pPr>
            <w:r>
              <w:t xml:space="preserve">ООО «Пермская сетевая компания» (тепловая энергия от ПАО НПО «Искра»)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494" w:type="pct"/>
            <w:vAlign w:val="center"/>
            <w:textDirection w:val="lrTb"/>
            <w:noWrap/>
          </w:tcPr>
          <w:p>
            <w:r>
              <w:t xml:space="preserve">тариф на горячую воду (население с НДС)</w:t>
            </w:r>
            <w:r/>
          </w:p>
        </w:tc>
        <w:tc>
          <w:tcPr>
            <w:shd w:val="clear" w:color="auto" w:fill="auto"/>
            <w:tcW w:w="471" w:type="pct"/>
            <w:textDirection w:val="lrTb"/>
            <w:noWrap/>
          </w:tcPr>
          <w:p>
            <w:pPr>
              <w:jc w:val="center"/>
              <w:spacing w:before="20" w:after="20"/>
              <w:rPr>
                <w:vertAlign w:val="superscript"/>
              </w:rPr>
            </w:pPr>
            <w:r>
              <w:t xml:space="preserve">руб./куб. м</w:t>
            </w:r>
            <w:r>
              <w:rPr>
                <w:vertAlign w:val="superscript"/>
              </w:rPr>
            </w:r>
          </w:p>
        </w:tc>
        <w:tc>
          <w:tcPr>
            <w:shd w:val="clear" w:color="auto" w:fill="auto"/>
            <w:tcW w:w="282" w:type="pct"/>
            <w:textDirection w:val="lrTb"/>
            <w:noWrap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16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91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125,35</w:t>
            </w:r>
            <w:r/>
          </w:p>
        </w:tc>
        <w:tc>
          <w:tcPr>
            <w:tcW w:w="291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127,86</w:t>
            </w:r>
            <w:r/>
          </w:p>
        </w:tc>
        <w:tc>
          <w:tcPr>
            <w:tcW w:w="277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83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22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40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78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55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494" w:type="pct"/>
            <w:vAlign w:val="center"/>
            <w:textDirection w:val="lrTb"/>
            <w:noWrap/>
          </w:tcPr>
          <w:p>
            <w:r>
              <w:t xml:space="preserve">тариф на горячую воду (прочие)</w:t>
            </w:r>
            <w:r/>
          </w:p>
        </w:tc>
        <w:tc>
          <w:tcPr>
            <w:shd w:val="clear" w:color="auto" w:fill="auto"/>
            <w:tcW w:w="471" w:type="pct"/>
            <w:textDirection w:val="lrTb"/>
            <w:noWrap/>
          </w:tcPr>
          <w:p>
            <w:pPr>
              <w:jc w:val="center"/>
              <w:spacing w:before="20" w:after="20"/>
              <w:rPr>
                <w:vertAlign w:val="superscript"/>
              </w:rPr>
            </w:pPr>
            <w:r>
              <w:t xml:space="preserve">руб./куб. м</w:t>
            </w:r>
            <w:r>
              <w:rPr>
                <w:vertAlign w:val="superscript"/>
              </w:rPr>
            </w:r>
          </w:p>
        </w:tc>
        <w:tc>
          <w:tcPr>
            <w:shd w:val="clear" w:color="auto" w:fill="auto"/>
            <w:tcW w:w="282" w:type="pct"/>
            <w:textDirection w:val="lrTb"/>
            <w:noWrap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16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91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113,06</w:t>
            </w:r>
            <w:r/>
          </w:p>
        </w:tc>
        <w:tc>
          <w:tcPr>
            <w:tcW w:w="291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119,25</w:t>
            </w:r>
            <w:r/>
          </w:p>
        </w:tc>
        <w:tc>
          <w:tcPr>
            <w:tcW w:w="277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83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22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40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78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55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</w:tr>
      <w:tr>
        <w:tblPrEx/>
        <w:trPr>
          <w:trHeight w:val="20"/>
        </w:trPr>
        <w:tc>
          <w:tcPr>
            <w:gridSpan w:val="12"/>
            <w:tcW w:w="5000" w:type="pct"/>
            <w:vAlign w:val="center"/>
            <w:textDirection w:val="lrTb"/>
            <w:noWrap w:val="false"/>
          </w:tcPr>
          <w:p>
            <w:pPr>
              <w:spacing w:before="20" w:after="20"/>
            </w:pPr>
            <w:r>
              <w:t xml:space="preserve">ООО «Пермская сетевая компания» (открытая схема горячего водоснабжения)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494" w:type="pct"/>
            <w:vAlign w:val="center"/>
            <w:textDirection w:val="lrTb"/>
            <w:noWrap/>
          </w:tcPr>
          <w:p>
            <w:r>
              <w:t xml:space="preserve">тариф на горячую воду (население с НДС)</w:t>
            </w:r>
            <w:r/>
          </w:p>
        </w:tc>
        <w:tc>
          <w:tcPr>
            <w:shd w:val="clear" w:color="auto" w:fill="auto"/>
            <w:tcW w:w="471" w:type="pct"/>
            <w:textDirection w:val="lrTb"/>
            <w:noWrap/>
          </w:tcPr>
          <w:p>
            <w:pPr>
              <w:jc w:val="center"/>
              <w:spacing w:before="20" w:after="20"/>
              <w:rPr>
                <w:vertAlign w:val="superscript"/>
              </w:rPr>
            </w:pPr>
            <w:r>
              <w:t xml:space="preserve">руб./ куб. м</w:t>
            </w:r>
            <w:r>
              <w:rPr>
                <w:vertAlign w:val="superscript"/>
              </w:rPr>
            </w:r>
          </w:p>
        </w:tc>
        <w:tc>
          <w:tcPr>
            <w:shd w:val="clear" w:color="auto" w:fill="auto"/>
            <w:tcW w:w="282" w:type="pct"/>
            <w:textDirection w:val="lrTb"/>
            <w:noWrap/>
          </w:tcPr>
          <w:p>
            <w:pPr>
              <w:ind w:left="-112" w:right="-108"/>
              <w:jc w:val="center"/>
              <w:spacing w:before="20" w:after="20"/>
            </w:pPr>
            <w:r>
              <w:t xml:space="preserve">157,04</w:t>
            </w:r>
            <w:r/>
          </w:p>
        </w:tc>
        <w:tc>
          <w:tcPr>
            <w:tcW w:w="316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162,68</w:t>
            </w:r>
            <w:r/>
          </w:p>
        </w:tc>
        <w:tc>
          <w:tcPr>
            <w:tcW w:w="291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162,68</w:t>
            </w:r>
            <w:r/>
          </w:p>
        </w:tc>
        <w:tc>
          <w:tcPr>
            <w:tcW w:w="291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162,68</w:t>
            </w:r>
            <w:r/>
          </w:p>
        </w:tc>
        <w:tc>
          <w:tcPr>
            <w:tcW w:w="277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83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22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40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78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55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494" w:type="pct"/>
            <w:vAlign w:val="center"/>
            <w:textDirection w:val="lrTb"/>
            <w:noWrap/>
          </w:tcPr>
          <w:p>
            <w:r>
              <w:t xml:space="preserve">тариф на горячую воду (прочие)</w:t>
            </w:r>
            <w:r/>
          </w:p>
        </w:tc>
        <w:tc>
          <w:tcPr>
            <w:shd w:val="clear" w:color="auto" w:fill="auto"/>
            <w:tcW w:w="471" w:type="pct"/>
            <w:textDirection w:val="lrTb"/>
            <w:noWrap/>
          </w:tcPr>
          <w:p>
            <w:pPr>
              <w:jc w:val="center"/>
              <w:spacing w:before="20" w:after="20"/>
              <w:rPr>
                <w:vertAlign w:val="superscript"/>
              </w:rPr>
            </w:pPr>
            <w:r>
              <w:t xml:space="preserve">руб./ куб. м</w:t>
            </w:r>
            <w:r>
              <w:rPr>
                <w:vertAlign w:val="superscript"/>
              </w:rPr>
            </w:r>
          </w:p>
        </w:tc>
        <w:tc>
          <w:tcPr>
            <w:shd w:val="clear" w:color="auto" w:fill="auto"/>
            <w:tcW w:w="282" w:type="pct"/>
            <w:textDirection w:val="lrTb"/>
            <w:noWrap/>
          </w:tcPr>
          <w:p>
            <w:pPr>
              <w:ind w:left="-112" w:right="-108"/>
              <w:jc w:val="center"/>
              <w:spacing w:before="20" w:after="20"/>
            </w:pPr>
            <w:r>
              <w:t xml:space="preserve">143,57</w:t>
            </w:r>
            <w:r/>
          </w:p>
        </w:tc>
        <w:tc>
          <w:tcPr>
            <w:tcW w:w="316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148,28</w:t>
            </w:r>
            <w:r/>
          </w:p>
        </w:tc>
        <w:tc>
          <w:tcPr>
            <w:tcW w:w="291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148,28</w:t>
            </w:r>
            <w:r/>
          </w:p>
        </w:tc>
        <w:tc>
          <w:tcPr>
            <w:tcW w:w="291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148,28</w:t>
            </w:r>
            <w:r/>
          </w:p>
        </w:tc>
        <w:tc>
          <w:tcPr>
            <w:tcW w:w="277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83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22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40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78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55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</w:tr>
      <w:tr>
        <w:tblPrEx/>
        <w:trPr>
          <w:trHeight w:val="20"/>
        </w:trPr>
        <w:tc>
          <w:tcPr>
            <w:gridSpan w:val="12"/>
            <w:tcW w:w="5000" w:type="pct"/>
            <w:vAlign w:val="center"/>
            <w:textDirection w:val="lrTb"/>
            <w:noWrap w:val="false"/>
          </w:tcPr>
          <w:p>
            <w:pPr>
              <w:spacing w:before="20" w:after="20"/>
            </w:pPr>
            <w:r>
              <w:t xml:space="preserve">ООО «Пермская сетевая компания» (за исключением зоны теплоснабжения ПТЭЦ-14)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494" w:type="pct"/>
            <w:vAlign w:val="center"/>
            <w:textDirection w:val="lrTb"/>
            <w:noWrap/>
          </w:tcPr>
          <w:p>
            <w:r>
              <w:t xml:space="preserve">тариф на горячую воду (население с НДС)</w:t>
            </w:r>
            <w:r/>
          </w:p>
        </w:tc>
        <w:tc>
          <w:tcPr>
            <w:shd w:val="clear" w:color="auto" w:fill="auto"/>
            <w:tcW w:w="471" w:type="pct"/>
            <w:textDirection w:val="lrTb"/>
            <w:noWrap/>
          </w:tcPr>
          <w:p>
            <w:pPr>
              <w:jc w:val="center"/>
              <w:spacing w:before="20" w:after="20"/>
              <w:rPr>
                <w:vertAlign w:val="superscript"/>
              </w:rPr>
            </w:pPr>
            <w:r>
              <w:t xml:space="preserve">руб./куб. м</w:t>
            </w:r>
            <w:r>
              <w:rPr>
                <w:vertAlign w:val="superscript"/>
              </w:rPr>
            </w:r>
          </w:p>
        </w:tc>
        <w:tc>
          <w:tcPr>
            <w:shd w:val="clear" w:color="auto" w:fill="auto"/>
            <w:tcW w:w="282" w:type="pct"/>
            <w:textDirection w:val="lrTb"/>
            <w:noWrap/>
          </w:tcPr>
          <w:p>
            <w:pPr>
              <w:ind w:left="-112" w:right="-108"/>
              <w:jc w:val="center"/>
              <w:spacing w:before="20" w:after="20"/>
            </w:pPr>
            <w:r>
              <w:t xml:space="preserve">162,31</w:t>
            </w:r>
            <w:r/>
          </w:p>
        </w:tc>
        <w:tc>
          <w:tcPr>
            <w:tcW w:w="316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167,51</w:t>
            </w:r>
            <w:r/>
          </w:p>
        </w:tc>
        <w:tc>
          <w:tcPr>
            <w:tcW w:w="291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167,51</w:t>
            </w:r>
            <w:r/>
          </w:p>
        </w:tc>
        <w:tc>
          <w:tcPr>
            <w:tcW w:w="291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162,68</w:t>
            </w:r>
            <w:r/>
          </w:p>
        </w:tc>
        <w:tc>
          <w:tcPr>
            <w:tcW w:w="277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83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22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40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78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55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494" w:type="pct"/>
            <w:vAlign w:val="center"/>
            <w:textDirection w:val="lrTb"/>
            <w:noWrap/>
          </w:tcPr>
          <w:p>
            <w:r>
              <w:t xml:space="preserve">тариф на горячую воду (прочие)</w:t>
            </w:r>
            <w:r/>
          </w:p>
        </w:tc>
        <w:tc>
          <w:tcPr>
            <w:shd w:val="clear" w:color="auto" w:fill="auto"/>
            <w:tcW w:w="471" w:type="pct"/>
            <w:textDirection w:val="lrTb"/>
            <w:noWrap/>
          </w:tcPr>
          <w:p>
            <w:pPr>
              <w:jc w:val="center"/>
              <w:spacing w:before="20" w:after="20"/>
              <w:rPr>
                <w:vertAlign w:val="superscript"/>
              </w:rPr>
            </w:pPr>
            <w:r>
              <w:t xml:space="preserve">руб./куб. м</w:t>
            </w:r>
            <w:r>
              <w:rPr>
                <w:vertAlign w:val="superscript"/>
              </w:rPr>
            </w:r>
          </w:p>
        </w:tc>
        <w:tc>
          <w:tcPr>
            <w:shd w:val="clear" w:color="auto" w:fill="auto"/>
            <w:tcW w:w="282" w:type="pct"/>
            <w:textDirection w:val="lrTb"/>
            <w:noWrap/>
          </w:tcPr>
          <w:p>
            <w:pPr>
              <w:ind w:left="-112" w:right="-108"/>
              <w:jc w:val="center"/>
              <w:spacing w:before="20" w:after="20"/>
            </w:pPr>
            <w:r>
              <w:t xml:space="preserve">149,76</w:t>
            </w:r>
            <w:r/>
          </w:p>
        </w:tc>
        <w:tc>
          <w:tcPr>
            <w:tcW w:w="316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153,86</w:t>
            </w:r>
            <w:r/>
          </w:p>
        </w:tc>
        <w:tc>
          <w:tcPr>
            <w:tcW w:w="291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153,86</w:t>
            </w:r>
            <w:r/>
          </w:p>
        </w:tc>
        <w:tc>
          <w:tcPr>
            <w:tcW w:w="291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148,28</w:t>
            </w:r>
            <w:r/>
          </w:p>
        </w:tc>
        <w:tc>
          <w:tcPr>
            <w:tcW w:w="277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83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22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40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278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  <w:tc>
          <w:tcPr>
            <w:tcW w:w="355" w:type="pct"/>
            <w:textDirection w:val="lrTb"/>
            <w:noWrap w:val="false"/>
          </w:tcPr>
          <w:p>
            <w:pPr>
              <w:jc w:val="center"/>
              <w:spacing w:before="20" w:after="20"/>
            </w:pPr>
            <w:r>
              <w:t xml:space="preserve">-</w:t>
            </w:r>
            <w:r/>
          </w:p>
        </w:tc>
      </w:tr>
    </w:tbl>
    <w:p>
      <w:pPr>
        <w:pStyle w:val="1570"/>
        <w:jc w:val="left"/>
        <w:rPr>
          <w:rFonts w:asciiTheme="minorHAnsi" w:hAnsiTheme="minorHAnsi" w:cstheme="minorHAnsi"/>
          <w:i/>
          <w:iCs w:val="0"/>
          <w:sz w:val="28"/>
          <w:szCs w:val="28"/>
        </w:rPr>
      </w:pPr>
      <w:r>
        <w:rPr>
          <w:rFonts w:asciiTheme="minorHAnsi" w:hAnsiTheme="minorHAnsi" w:cstheme="minorHAnsi"/>
          <w:i/>
          <w:iCs w:val="0"/>
          <w:sz w:val="28"/>
          <w:szCs w:val="28"/>
        </w:rPr>
        <w:t xml:space="preserve">---------------------------</w:t>
      </w:r>
      <w:r>
        <w:rPr>
          <w:rFonts w:asciiTheme="minorHAnsi" w:hAnsiTheme="minorHAnsi" w:cstheme="minorHAnsi"/>
          <w:i/>
          <w:iCs w:val="0"/>
          <w:sz w:val="28"/>
          <w:szCs w:val="28"/>
        </w:rPr>
      </w:r>
    </w:p>
    <w:p>
      <w:pPr>
        <w:pStyle w:val="1570"/>
        <w:jc w:val="left"/>
        <w:rPr>
          <w:iCs w:val="0"/>
          <w:sz w:val="28"/>
          <w:szCs w:val="28"/>
        </w:rPr>
      </w:pPr>
      <w:r>
        <w:rPr>
          <w:rFonts w:asciiTheme="minorHAnsi" w:hAnsiTheme="minorHAnsi" w:cstheme="minorHAnsi"/>
          <w:szCs w:val="24"/>
        </w:rPr>
        <w:t xml:space="preserve">Примечание. Источники информации – постановления Министерства тарифного регулирования и энергетики Пермского края </w:t>
      </w:r>
      <w:r>
        <w:rPr>
          <w:iCs w:val="0"/>
        </w:rPr>
        <w:t xml:space="preserve">о тарифах в сфере горячего водоснабжения</w:t>
      </w:r>
      <w:r>
        <w:rPr>
          <w:rFonts w:asciiTheme="minorHAnsi" w:hAnsiTheme="minorHAnsi" w:cstheme="minorHAnsi"/>
          <w:iCs w:val="0"/>
          <w:szCs w:val="24"/>
        </w:rPr>
        <w:t xml:space="preserve">.</w:t>
      </w:r>
      <w:r>
        <w:rPr>
          <w:iCs w:val="0"/>
          <w:sz w:val="28"/>
          <w:szCs w:val="28"/>
        </w:rPr>
      </w:r>
    </w:p>
    <w:p>
      <w:pPr>
        <w:pStyle w:val="1570"/>
      </w:pPr>
      <w:r/>
      <w:r/>
    </w:p>
    <w:p>
      <w:pPr>
        <w:pStyle w:val="1570"/>
      </w:pPr>
      <w:r/>
      <w:r/>
    </w:p>
    <w:p>
      <w:pPr>
        <w:pStyle w:val="1570"/>
      </w:pPr>
      <w:r/>
      <w:r/>
    </w:p>
    <w:p>
      <w:pPr>
        <w:pStyle w:val="1570"/>
        <w:sectPr>
          <w:footerReference w:type="default" r:id="rId11"/>
          <w:footnotePr/>
          <w:endnotePr/>
          <w:type w:val="nextPage"/>
          <w:pgSz w:w="16838" w:h="11906" w:orient="landscape"/>
          <w:pgMar w:top="1134" w:right="567" w:bottom="1134" w:left="1418" w:header="567" w:footer="567" w:gutter="0"/>
          <w:cols w:num="1" w:sep="0" w:space="708" w:equalWidth="1"/>
          <w:docGrid w:linePitch="360"/>
        </w:sectPr>
      </w:pPr>
      <w:r/>
      <w:r/>
    </w:p>
    <w:p>
      <w:pPr>
        <w:pStyle w:val="1464"/>
        <w:jc w:val="center"/>
        <w:rPr>
          <w:b/>
          <w:bCs/>
          <w:sz w:val="28"/>
          <w:szCs w:val="28"/>
        </w:rPr>
      </w:pPr>
      <w:r/>
      <w:bookmarkStart w:id="87" w:name="_Toc119947443"/>
      <w:r/>
      <w:bookmarkStart w:id="88" w:name="_Toc175215968"/>
      <w:r>
        <w:rPr>
          <w:b/>
          <w:bCs/>
          <w:sz w:val="28"/>
          <w:szCs w:val="28"/>
        </w:rPr>
        <w:t xml:space="preserve">2.1.11 Технические и технологические проблемы в системе</w:t>
      </w:r>
      <w:bookmarkEnd w:id="87"/>
      <w:r/>
      <w:bookmarkEnd w:id="88"/>
      <w:r/>
      <w:r>
        <w:rPr>
          <w:b/>
          <w:bCs/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анализа можно выделить следующие основные проблемы в системе теплоснабжения: 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локальный дефицит тепловой мощности в некоторых зонах, что не позволяет подключать новых абонентов;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низкий коэффициент использования (избыточность) установленной тепловой мощности ряда источников;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низкий уровень автоматизации большей части котельных;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высокий моральный и физический износ котельного и вспомогательного оборудования на ряде источников тепловой энергии;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высокий износ значительной части участков тепловой сети; 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несоответствие режима отпуска тепловой энергии фактическим характеристикам потребителей;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наличие открытой схемы горячего водоснабжения в ряде зон;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наличие ограничений по пропускной способности магистральных теплопроводов от ПТЭЦ-9 и ВК-3;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неиспользование возобновляемых источников тепловой энергии (древесные отходы Камского целлюлозно-бумажного комбината).</w:t>
      </w:r>
      <w:r>
        <w:rPr>
          <w:sz w:val="28"/>
          <w:szCs w:val="28"/>
        </w:rPr>
      </w:r>
    </w:p>
    <w:p>
      <w:pPr>
        <w:pStyle w:val="1544"/>
      </w:pPr>
      <w:r/>
      <w:bookmarkStart w:id="89" w:name="_Toc119947444"/>
      <w:r/>
      <w:bookmarkStart w:id="90" w:name="_Toc175215969"/>
      <w:r/>
      <w:r/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Краткий анализ существующего состояния системы водоснабжения</w:t>
      </w:r>
      <w:bookmarkEnd w:id="89"/>
      <w:r/>
      <w:bookmarkEnd w:id="90"/>
      <w:r/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Раздел 2.2 «Краткий анализ существующего состояния системы водоснабжения» не публикуется в открытом доступе в соответствии с </w:t>
      </w:r>
      <w:bookmarkStart w:id="91" w:name="_Hlk166591828"/>
      <w:r>
        <w:rPr>
          <w:sz w:val="28"/>
          <w:szCs w:val="28"/>
        </w:rPr>
        <w:t xml:space="preserve">Указом Президента Российской Федерации от 30.11.1995 № 1203 «Об утверждении Перечня сведений, отнесенных к государственной тайне»</w:t>
      </w:r>
      <w:bookmarkEnd w:id="91"/>
      <w:r>
        <w:rPr>
          <w:sz w:val="28"/>
          <w:szCs w:val="28"/>
        </w:rPr>
        <w:t xml:space="preserve">. Сведения приведены в обосновывающих материалах Программы.</w:t>
      </w:r>
      <w:r>
        <w:rPr>
          <w:sz w:val="28"/>
          <w:szCs w:val="28"/>
        </w:rPr>
      </w:r>
    </w:p>
    <w:p>
      <w:pPr>
        <w:pStyle w:val="154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/>
      <w:bookmarkStart w:id="92" w:name="_Toc119578576"/>
      <w:r/>
      <w:bookmarkStart w:id="93" w:name="_Toc119947456"/>
      <w:r/>
      <w:bookmarkStart w:id="94" w:name="_Toc175215970"/>
      <w:r>
        <w:rPr>
          <w:b/>
          <w:bCs/>
          <w:sz w:val="28"/>
          <w:szCs w:val="28"/>
        </w:rPr>
        <w:t xml:space="preserve">2.3. Краткий анализ существующего состояния системы водоотведения</w:t>
      </w:r>
      <w:bookmarkStart w:id="95" w:name="_Toc119947457"/>
      <w:r/>
      <w:bookmarkStart w:id="96" w:name="_Toc175215971"/>
      <w:r/>
      <w:bookmarkEnd w:id="92"/>
      <w:r/>
      <w:bookmarkEnd w:id="93"/>
      <w:r/>
      <w:bookmarkEnd w:id="94"/>
      <w:r/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2.3.1 Институциональная структура</w:t>
      </w:r>
      <w:bookmarkEnd w:id="95"/>
      <w:r/>
      <w:bookmarkEnd w:id="96"/>
      <w:r/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Система централизованного водоотведения (далее – ЦВО) города Перми представляет собой комплекс взаимосвязанных инженерных сооружений, обеспечивающих бесперебойное отведение сточных вод от абонентов. Сточные воды от жилых мас</w:t>
      </w:r>
      <w:r>
        <w:rPr>
          <w:sz w:val="28"/>
          <w:szCs w:val="28"/>
        </w:rPr>
        <w:t xml:space="preserve">сивов по внутриквартальным сетям поступают в коллекторы, транспортирующие сток к канализационным насосным станциям (далее – КНС), которые по напорным сетям подают стоки в более крупные системы трубопроводов, а также на канализационные очистные сооружения.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Функциональная структура ЦВО города Перми представляет собой разделенну</w:t>
      </w:r>
      <w:r>
        <w:rPr>
          <w:sz w:val="28"/>
          <w:szCs w:val="28"/>
        </w:rPr>
        <w:t xml:space="preserve">ю между юридическими лицами очистку и транспортировку сточных вод. Обеспечение потребителей услугой водоотведения осуществляется организациями водопроводно-канализационного хозяйства (далее – ВКХ), самой крупной и основной из которых является ООО «НОВОГОР-</w:t>
      </w:r>
      <w:r>
        <w:rPr>
          <w:sz w:val="28"/>
          <w:szCs w:val="28"/>
        </w:rPr>
        <w:t xml:space="preserve">Прикамье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pStyle w:val="157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 соответствии с </w:t>
      </w:r>
      <w:bookmarkStart w:id="97" w:name="_Hlk166591845"/>
      <w:r>
        <w:rPr>
          <w:rFonts w:eastAsiaTheme="minorEastAsia"/>
          <w:sz w:val="28"/>
          <w:szCs w:val="28"/>
        </w:rPr>
        <w:t xml:space="preserve">постановлением администрации города Перми от 24.07.2013 № 604 «Об определении гарантирующих организаций в сфере водоснабжения и водоотведения на территории города Перми» определены </w:t>
      </w:r>
      <w:bookmarkEnd w:id="97"/>
      <w:r>
        <w:rPr>
          <w:rFonts w:eastAsiaTheme="minorEastAsia"/>
          <w:sz w:val="28"/>
          <w:szCs w:val="28"/>
        </w:rPr>
        <w:t xml:space="preserve">следующие гарантирующие организации для централизованных систем водоотведения города Перми: </w:t>
      </w:r>
      <w:r>
        <w:rPr>
          <w:rFonts w:eastAsiaTheme="minorEastAsia"/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ООО «НОВОГОР-</w:t>
      </w:r>
      <w:r>
        <w:rPr>
          <w:rFonts w:eastAsiaTheme="minorEastAsia"/>
          <w:sz w:val="28"/>
          <w:szCs w:val="28"/>
        </w:rPr>
        <w:t xml:space="preserve">Прикамье</w:t>
      </w:r>
      <w:r>
        <w:rPr>
          <w:rFonts w:eastAsiaTheme="minorEastAsia"/>
          <w:sz w:val="28"/>
          <w:szCs w:val="28"/>
        </w:rPr>
        <w:t xml:space="preserve">»;</w:t>
      </w:r>
      <w:r>
        <w:rPr>
          <w:rFonts w:eastAsiaTheme="minorEastAsia"/>
          <w:sz w:val="28"/>
          <w:szCs w:val="28"/>
        </w:rPr>
      </w:r>
    </w:p>
    <w:p>
      <w:pPr>
        <w:pStyle w:val="157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Theme="minorHAnsi" w:hAnsiTheme="minorHAnsi" w:cstheme="minorHAnsi"/>
          <w:sz w:val="28"/>
          <w:szCs w:val="28"/>
        </w:rPr>
        <w:t xml:space="preserve">Пермский ТУ Свердловской дирекции по ТВ ЦДТВ – филиала ОАО «РЖД»</w:t>
      </w:r>
      <w:r>
        <w:rPr>
          <w:rFonts w:eastAsia="Times New Roman"/>
          <w:color w:val="000000"/>
        </w:rPr>
        <w:t xml:space="preserve">;</w:t>
      </w:r>
      <w:r/>
    </w:p>
    <w:p>
      <w:pPr>
        <w:pStyle w:val="1458"/>
        <w:numPr>
          <w:ilvl w:val="0"/>
          <w:numId w:val="0"/>
        </w:numPr>
        <w:ind w:firstLine="709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АО «Энергетик-ПМ».</w:t>
      </w:r>
      <w:r>
        <w:rPr>
          <w:rFonts w:eastAsiaTheme="minorEastAsia"/>
          <w:sz w:val="28"/>
          <w:szCs w:val="28"/>
        </w:rPr>
      </w:r>
    </w:p>
    <w:p>
      <w:pPr>
        <w:pStyle w:val="1570"/>
        <w:keepLines/>
        <w:keepNext/>
        <w:rPr>
          <w:sz w:val="28"/>
          <w:szCs w:val="28"/>
        </w:rPr>
      </w:pPr>
      <w:r>
        <w:rPr>
          <w:sz w:val="28"/>
          <w:szCs w:val="28"/>
        </w:rPr>
        <w:t xml:space="preserve">На территории города Перми услуги по водоотведению предоставляют следующие организации: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ООО «НОВОГОР-</w:t>
      </w:r>
      <w:r>
        <w:rPr>
          <w:sz w:val="28"/>
          <w:szCs w:val="28"/>
        </w:rPr>
        <w:t xml:space="preserve">Прикамье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АО «Энергетик-ПМ»;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АО «</w:t>
      </w:r>
      <w:r>
        <w:rPr>
          <w:sz w:val="28"/>
          <w:szCs w:val="28"/>
        </w:rPr>
        <w:t xml:space="preserve">Новомет</w:t>
      </w:r>
      <w:r>
        <w:rPr>
          <w:sz w:val="28"/>
          <w:szCs w:val="28"/>
        </w:rPr>
        <w:t xml:space="preserve">-Пермь»;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АО «ПЗ «Машиностроитель»;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АО «Протон-ПМ»;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Пермский ТУ Свердловской дирекции по ТВ ЦДТВ – филиала </w:t>
      </w:r>
      <w:r>
        <w:rPr>
          <w:sz w:val="28"/>
          <w:szCs w:val="28"/>
        </w:rPr>
        <w:br/>
        <w:t xml:space="preserve">ОАО «РЖД»;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АО «СИБУР-Химпром»;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АО «Сорбент»;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индивидуальный предприниматель (далее – ИП) </w:t>
      </w:r>
      <w:r>
        <w:rPr>
          <w:sz w:val="28"/>
          <w:szCs w:val="28"/>
        </w:rPr>
        <w:t xml:space="preserve">Еловикова</w:t>
      </w:r>
      <w:r>
        <w:rPr>
          <w:sz w:val="28"/>
          <w:szCs w:val="28"/>
        </w:rPr>
        <w:t xml:space="preserve"> Ольга Николаевна;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10. муниципальное предприятие (далее – МП) «</w:t>
      </w:r>
      <w:r>
        <w:rPr>
          <w:sz w:val="28"/>
          <w:szCs w:val="28"/>
        </w:rPr>
        <w:t xml:space="preserve">Пермводоканал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11. ООО «Камский кабель»;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12. ООО «ЛУКОЙЛ-</w:t>
      </w:r>
      <w:r>
        <w:rPr>
          <w:sz w:val="28"/>
          <w:szCs w:val="28"/>
        </w:rPr>
        <w:t xml:space="preserve">Пермнефтеоргсинтез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13. ООО «</w:t>
      </w:r>
      <w:r>
        <w:rPr>
          <w:sz w:val="28"/>
          <w:szCs w:val="28"/>
        </w:rPr>
        <w:t xml:space="preserve">Стоксервис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14. ООО «</w:t>
      </w:r>
      <w:r>
        <w:rPr>
          <w:sz w:val="28"/>
          <w:szCs w:val="28"/>
        </w:rPr>
        <w:t xml:space="preserve">Тепло-М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15. ООО «Объединенная кабельная компания»;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16. Филиал «Пермский» ПАО «Т Плюс»;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17. ФГАОУ ВО «ПНИПУ»;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18. Филиал «ПМУ» АО «ОХК «УРАЛХИМ»;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19. ФКП «Пермский пороховой завод».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Система отведения хозяйственно-бытовых стоков города Перми включает: 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 основных комплекса очистных сооружений канализации (далее – ОСК) общей производительностью 450 тыс. куб. м/</w:t>
      </w:r>
      <w:r>
        <w:rPr>
          <w:sz w:val="28"/>
          <w:szCs w:val="28"/>
        </w:rPr>
        <w:t xml:space="preserve">сут</w:t>
      </w:r>
      <w:r>
        <w:rPr>
          <w:sz w:val="28"/>
          <w:szCs w:val="28"/>
        </w:rPr>
        <w:t xml:space="preserve">.,</w:t>
      </w:r>
      <w:r>
        <w:rPr>
          <w:sz w:val="28"/>
          <w:szCs w:val="28"/>
        </w:rPr>
        <w:t xml:space="preserve"> 2 из которых эксплуатируются ООО «НОВОГОР-</w:t>
      </w:r>
      <w:r>
        <w:rPr>
          <w:sz w:val="28"/>
          <w:szCs w:val="28"/>
        </w:rPr>
        <w:t xml:space="preserve">Прикамье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малые ОСК, находящиеся на балансе прочих организаций ВКХ;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около 120 КНС, 65 из которых эксплуатируются ООО «НОВОГОР-</w:t>
      </w:r>
      <w:r>
        <w:rPr>
          <w:sz w:val="28"/>
          <w:szCs w:val="28"/>
        </w:rPr>
        <w:t xml:space="preserve">Прикамье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1 768,1 км канализационных сетей, из которых 1 339,5 км эксплуатируются ООО «НОВОГОР-</w:t>
      </w:r>
      <w:r>
        <w:rPr>
          <w:sz w:val="28"/>
          <w:szCs w:val="28"/>
        </w:rPr>
        <w:t xml:space="preserve">Прикамье</w:t>
      </w:r>
      <w:r>
        <w:rPr>
          <w:sz w:val="28"/>
          <w:szCs w:val="28"/>
        </w:rPr>
        <w:t xml:space="preserve">».</w:t>
      </w:r>
      <w:bookmarkStart w:id="98" w:name="_Toc119947458"/>
      <w:r/>
      <w:bookmarkStart w:id="99" w:name="_Toc175215972"/>
      <w:r/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2.3.2 Характеристика системы водоотведения</w:t>
      </w:r>
      <w:bookmarkEnd w:id="98"/>
      <w:r/>
      <w:bookmarkEnd w:id="99"/>
      <w:r/>
      <w:r>
        <w:rPr>
          <w:b/>
          <w:bCs/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Хозяйственно-бытовая система канализации города Перми включает три основных комплекса ОСК, которые эксплуатируются различными организациями </w:t>
      </w:r>
      <w:r>
        <w:rPr>
          <w:sz w:val="28"/>
          <w:szCs w:val="28"/>
        </w:rPr>
        <w:t xml:space="preserve">ВКХ, общей производительностью 450 тыс. куб. м/</w:t>
      </w:r>
      <w:r>
        <w:rPr>
          <w:sz w:val="28"/>
          <w:szCs w:val="28"/>
        </w:rPr>
        <w:t xml:space="preserve">сут</w:t>
      </w:r>
      <w:r>
        <w:rPr>
          <w:sz w:val="28"/>
          <w:szCs w:val="28"/>
        </w:rPr>
        <w:t xml:space="preserve">.,</w:t>
      </w:r>
      <w:r>
        <w:rPr>
          <w:sz w:val="28"/>
          <w:szCs w:val="28"/>
        </w:rPr>
        <w:t xml:space="preserve"> а также несколько малых ОСК, находящихся на балансе организаций ВКХ. Перечень комплексов ОСК в городе Перми приведен в таблице 2.15. </w:t>
      </w:r>
      <w:r>
        <w:rPr>
          <w:sz w:val="28"/>
          <w:szCs w:val="28"/>
        </w:rPr>
      </w:r>
    </w:p>
    <w:p>
      <w:pPr>
        <w:pStyle w:val="1544"/>
        <w:jc w:val="right"/>
        <w:rPr>
          <w:b/>
          <w:bCs/>
          <w:sz w:val="28"/>
          <w:szCs w:val="28"/>
        </w:rPr>
      </w:pPr>
      <w:r/>
      <w:bookmarkStart w:id="100" w:name="_Ref160027182"/>
      <w:r/>
      <w:bookmarkStart w:id="101" w:name="_Toc76997670"/>
      <w:r/>
      <w:bookmarkStart w:id="102" w:name="_Toc90259874"/>
      <w:r/>
      <w:bookmarkStart w:id="103" w:name="_Toc110254240"/>
      <w:r/>
      <w:bookmarkStart w:id="104" w:name="_Toc175216091"/>
      <w:r>
        <w:rPr>
          <w:b/>
          <w:bCs/>
          <w:sz w:val="28"/>
          <w:szCs w:val="28"/>
        </w:rPr>
        <w:t xml:space="preserve">Таблица </w:t>
      </w:r>
      <w:bookmarkEnd w:id="100"/>
      <w:r>
        <w:rPr>
          <w:b/>
          <w:bCs/>
          <w:sz w:val="28"/>
          <w:szCs w:val="28"/>
        </w:rPr>
        <w:t xml:space="preserve">2.15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комплексов очистных сооружений канализации</w:t>
      </w:r>
      <w:bookmarkEnd w:id="101"/>
      <w:r/>
      <w:bookmarkEnd w:id="102"/>
      <w:r/>
      <w:bookmarkEnd w:id="103"/>
      <w:r/>
      <w:bookmarkEnd w:id="104"/>
      <w:r/>
      <w:r>
        <w:rPr>
          <w:b/>
          <w:bCs/>
          <w:sz w:val="28"/>
          <w:szCs w:val="28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A0" w:firstRow="1" w:lastRow="0" w:firstColumn="1" w:lastColumn="0" w:noHBand="1" w:noVBand="1"/>
      </w:tblPr>
      <w:tblGrid>
        <w:gridCol w:w="534"/>
        <w:gridCol w:w="2836"/>
        <w:gridCol w:w="1274"/>
        <w:gridCol w:w="2582"/>
        <w:gridCol w:w="2911"/>
      </w:tblGrid>
      <w:tr>
        <w:tblPrEx/>
        <w:trPr>
          <w:jc w:val="center"/>
          <w:trHeight w:val="20"/>
          <w:tblHeader/>
        </w:trPr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№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83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Наименование ОСК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ind w:left="-137" w:right="-13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Год ввода </w:t>
            </w:r>
            <w:r>
              <w:rPr>
                <w:rFonts w:asciiTheme="minorHAnsi" w:hAnsiTheme="minorHAnsi" w:cstheme="minorHAnsi"/>
              </w:rPr>
              <w:t xml:space="preserve">в  </w:t>
            </w:r>
            <w:r>
              <w:rPr>
                <w:rFonts w:asciiTheme="minorHAnsi" w:hAnsiTheme="minorHAnsi" w:cstheme="minorHAnsi"/>
              </w:rPr>
              <w:t xml:space="preserve">экспл</w:t>
            </w:r>
            <w:r>
              <w:rPr>
                <w:rFonts w:asciiTheme="minorHAnsi" w:hAnsiTheme="minorHAnsi" w:cstheme="minorHAnsi"/>
              </w:rPr>
              <w:t xml:space="preserve">.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58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Эксплуатирующая организация ВКХ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911" w:type="dxa"/>
            <w:textDirection w:val="lrTb"/>
            <w:noWrap w:val="false"/>
          </w:tcPr>
          <w:p>
            <w:pPr>
              <w:ind w:left="-100" w:right="-12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Место сброса очищенных сточных вод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83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ОСК «</w:t>
            </w:r>
            <w:r>
              <w:rPr>
                <w:rFonts w:asciiTheme="minorHAnsi" w:hAnsiTheme="minorHAnsi" w:cstheme="minorHAnsi"/>
              </w:rPr>
              <w:t xml:space="preserve">Гляденово</w:t>
            </w:r>
            <w:r>
              <w:rPr>
                <w:rFonts w:asciiTheme="minorHAnsi" w:hAnsiTheme="minorHAnsi" w:cstheme="minorHAnsi"/>
              </w:rPr>
              <w:t xml:space="preserve">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1970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58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ООО «НОВОГОР-</w:t>
            </w:r>
            <w:r>
              <w:rPr>
                <w:rFonts w:asciiTheme="minorHAnsi" w:hAnsiTheme="minorHAnsi" w:cstheme="minorHAnsi"/>
              </w:rPr>
              <w:t xml:space="preserve">Прикамье</w:t>
            </w:r>
            <w:r>
              <w:rPr>
                <w:rFonts w:asciiTheme="minorHAnsi" w:hAnsiTheme="minorHAnsi" w:cstheme="minorHAnsi"/>
              </w:rPr>
              <w:t xml:space="preserve">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911" w:type="dxa"/>
            <w:textDirection w:val="lrTb"/>
            <w:noWrap w:val="false"/>
          </w:tcPr>
          <w:p>
            <w:pPr>
              <w:ind w:left="-100" w:right="-12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Воткинское</w:t>
            </w:r>
            <w:r>
              <w:rPr>
                <w:rFonts w:asciiTheme="minorHAnsi" w:hAnsiTheme="minorHAnsi" w:cstheme="minorHAnsi"/>
              </w:rPr>
              <w:t xml:space="preserve"> водохранилище на р. Каме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83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ОСК «Новые </w:t>
            </w:r>
            <w:r>
              <w:rPr>
                <w:rFonts w:asciiTheme="minorHAnsi" w:hAnsiTheme="minorHAnsi" w:cstheme="minorHAnsi"/>
              </w:rPr>
              <w:t xml:space="preserve">Ляды</w:t>
            </w:r>
            <w:r>
              <w:rPr>
                <w:rFonts w:asciiTheme="minorHAnsi" w:hAnsiTheme="minorHAnsi" w:cstheme="minorHAnsi"/>
              </w:rPr>
              <w:t xml:space="preserve">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1968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58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ООО «НОВОГОР-</w:t>
            </w:r>
            <w:r>
              <w:rPr>
                <w:rFonts w:asciiTheme="minorHAnsi" w:hAnsiTheme="minorHAnsi" w:cstheme="minorHAnsi"/>
              </w:rPr>
              <w:t xml:space="preserve">Прикамье</w:t>
            </w:r>
            <w:r>
              <w:rPr>
                <w:rFonts w:asciiTheme="minorHAnsi" w:hAnsiTheme="minorHAnsi" w:cstheme="minorHAnsi"/>
              </w:rPr>
              <w:t xml:space="preserve">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911" w:type="dxa"/>
            <w:textDirection w:val="lrTb"/>
            <w:noWrap w:val="false"/>
          </w:tcPr>
          <w:p>
            <w:pPr>
              <w:ind w:left="-100" w:right="-12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р. </w:t>
            </w:r>
            <w:r>
              <w:rPr>
                <w:rFonts w:asciiTheme="minorHAnsi" w:hAnsiTheme="minorHAnsi" w:cstheme="minorHAnsi"/>
              </w:rPr>
              <w:t xml:space="preserve">Прутивная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836" w:type="dxa"/>
            <w:textDirection w:val="lrTb"/>
            <w:noWrap w:val="false"/>
          </w:tcPr>
          <w:p>
            <w:pPr>
              <w:ind w:right="-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Биологические очистные сооружения (далее – БОС) </w:t>
            </w:r>
            <w:r>
              <w:rPr>
                <w:rFonts w:asciiTheme="minorHAnsi" w:hAnsiTheme="minorHAnsi" w:cstheme="minorHAnsi"/>
              </w:rPr>
              <w:t xml:space="preserve">мкр</w:t>
            </w:r>
            <w:r>
              <w:rPr>
                <w:rFonts w:asciiTheme="minorHAnsi" w:hAnsiTheme="minorHAnsi" w:cstheme="minorHAnsi"/>
              </w:rPr>
              <w:t xml:space="preserve">. Крым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1971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582" w:type="dxa"/>
            <w:textDirection w:val="lrTb"/>
            <w:noWrap w:val="false"/>
          </w:tcPr>
          <w:p>
            <w:pPr>
              <w:ind w:left="-91" w:right="-1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МП «</w:t>
            </w:r>
            <w:r>
              <w:rPr>
                <w:rFonts w:asciiTheme="minorHAnsi" w:hAnsiTheme="minorHAnsi" w:cstheme="minorHAnsi"/>
              </w:rPr>
              <w:t xml:space="preserve">Пермводоканал</w:t>
            </w:r>
            <w:r>
              <w:rPr>
                <w:rFonts w:asciiTheme="minorHAnsi" w:hAnsiTheme="minorHAnsi" w:cstheme="minorHAnsi"/>
              </w:rPr>
              <w:t xml:space="preserve">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911" w:type="dxa"/>
            <w:textDirection w:val="lrTb"/>
            <w:noWrap w:val="false"/>
          </w:tcPr>
          <w:p>
            <w:pPr>
              <w:ind w:left="-100" w:right="-12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Воткинское</w:t>
            </w:r>
            <w:r>
              <w:rPr>
                <w:rFonts w:asciiTheme="minorHAnsi" w:hAnsiTheme="minorHAnsi" w:cstheme="minorHAnsi"/>
              </w:rPr>
              <w:t xml:space="preserve"> водохранилище на р. Каме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534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2836" w:type="dxa"/>
            <w:textDirection w:val="lrTb"/>
            <w:noWrap w:val="false"/>
          </w:tcPr>
          <w:p>
            <w:pPr>
              <w:ind w:left="-188" w:right="-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ОСК </w:t>
            </w:r>
            <w:r>
              <w:rPr>
                <w:rFonts w:asciiTheme="minorHAnsi" w:hAnsiTheme="minorHAnsi" w:cstheme="minorHAnsi"/>
              </w:rPr>
              <w:br/>
              <w:t xml:space="preserve">АО «СИБУР-Химпром»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1973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582" w:type="dxa"/>
            <w:textDirection w:val="lrTb"/>
            <w:noWrap w:val="false"/>
          </w:tcPr>
          <w:p>
            <w:pPr>
              <w:ind w:left="-91" w:right="-8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АО «СИБУР-Химпром»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911" w:type="dxa"/>
            <w:textDirection w:val="lrTb"/>
            <w:noWrap w:val="false"/>
          </w:tcPr>
          <w:p>
            <w:pPr>
              <w:ind w:left="-100" w:right="-12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р. Кама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534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2836" w:type="dxa"/>
            <w:textDirection w:val="lrTb"/>
            <w:noWrap w:val="false"/>
          </w:tcPr>
          <w:p>
            <w:pPr>
              <w:ind w:right="-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БОС АО «Протон-ПМ»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1969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582" w:type="dxa"/>
            <w:textDirection w:val="lrTb"/>
            <w:noWrap w:val="false"/>
          </w:tcPr>
          <w:p>
            <w:pPr>
              <w:ind w:right="-1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АО «Протон-ПМ»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911" w:type="dxa"/>
            <w:textDirection w:val="lrTb"/>
            <w:noWrap w:val="false"/>
          </w:tcPr>
          <w:p>
            <w:pPr>
              <w:ind w:left="-100" w:right="-12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р. Большая </w:t>
            </w:r>
            <w:r>
              <w:rPr>
                <w:rFonts w:asciiTheme="minorHAnsi" w:hAnsiTheme="minorHAnsi" w:cstheme="minorHAnsi"/>
              </w:rPr>
              <w:t xml:space="preserve">Вороновка</w:t>
            </w:r>
            <w:r>
              <w:rPr>
                <w:rFonts w:asciiTheme="minorHAnsi" w:hAnsiTheme="minorHAnsi" w:cstheme="minorHAnsi"/>
              </w:rPr>
            </w:r>
          </w:p>
        </w:tc>
      </w:tr>
    </w:tbl>
    <w:p>
      <w:pPr>
        <w:pStyle w:val="15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Хозяйственно-бытовые сточные </w:t>
      </w:r>
      <w:r>
        <w:rPr>
          <w:sz w:val="28"/>
          <w:szCs w:val="28"/>
        </w:rPr>
        <w:t xml:space="preserve">воды с жилой застройки, объектов социально-культурной сферы и промышленных предприятий города Перми поступают в систему коммунальной канализации города и перекачиваются КНС на ОСК. Общая протяженность сетей канализации города Перми составляет 1 768,06 км. </w:t>
      </w:r>
      <w:r>
        <w:rPr>
          <w:sz w:val="28"/>
          <w:szCs w:val="28"/>
        </w:rPr>
        <w:t xml:space="preserve">Внутриплощадные</w:t>
      </w:r>
      <w:r>
        <w:rPr>
          <w:sz w:val="28"/>
          <w:szCs w:val="28"/>
        </w:rPr>
        <w:t xml:space="preserve"> трубопроводы предприятий, а также частные канализационные сети не рассматриваются.</w:t>
      </w:r>
      <w:r>
        <w:rPr>
          <w:sz w:val="28"/>
          <w:szCs w:val="28"/>
        </w:rPr>
      </w:r>
    </w:p>
    <w:p>
      <w:pPr>
        <w:pStyle w:val="1570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Около 75,8 % сетей (от общей протяженности) находятся в эксплуатации ООО «НОВОГОР-</w:t>
      </w:r>
      <w:r>
        <w:rPr>
          <w:sz w:val="28"/>
          <w:szCs w:val="28"/>
        </w:rPr>
        <w:t xml:space="preserve">Прикамье</w:t>
      </w:r>
      <w:r>
        <w:rPr>
          <w:sz w:val="28"/>
          <w:szCs w:val="28"/>
        </w:rPr>
        <w:t xml:space="preserve">», остальные 24,2 % сетей относятся к прочим организациям ВКХ. </w:t>
      </w:r>
      <w:r>
        <w:rPr>
          <w:rFonts w:eastAsiaTheme="minorEastAsia"/>
          <w:sz w:val="28"/>
          <w:szCs w:val="28"/>
        </w:rPr>
        <w:t xml:space="preserve">Общая протяженность канализационной сети ООО «НОВОГОР-</w:t>
      </w:r>
      <w:r>
        <w:rPr>
          <w:rFonts w:eastAsiaTheme="minorEastAsia"/>
          <w:sz w:val="28"/>
          <w:szCs w:val="28"/>
        </w:rPr>
        <w:t xml:space="preserve">Прикамье</w:t>
      </w:r>
      <w:r>
        <w:rPr>
          <w:rFonts w:eastAsiaTheme="minorEastAsia"/>
          <w:sz w:val="28"/>
          <w:szCs w:val="28"/>
        </w:rPr>
        <w:t xml:space="preserve">» на 01.01.2023 составляет 1 339,54 км. </w:t>
      </w:r>
      <w:r>
        <w:rPr>
          <w:rFonts w:eastAsiaTheme="minorEastAsia"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i/>
          <w:iCs w:val="0"/>
          <w:sz w:val="28"/>
          <w:szCs w:val="28"/>
        </w:rPr>
      </w:pPr>
      <w:r>
        <w:rPr>
          <w:sz w:val="28"/>
          <w:szCs w:val="28"/>
        </w:rPr>
        <w:t xml:space="preserve">Большой удельный вес ветхих труб в общей протяженности сетей водоотведения (более 60 %) вызывает угрозу их разрушения с последующим </w:t>
      </w:r>
      <w:r>
        <w:rPr>
          <w:sz w:val="28"/>
          <w:szCs w:val="28"/>
        </w:rPr>
        <w:t xml:space="preserve">изливом</w:t>
      </w:r>
      <w:r>
        <w:rPr>
          <w:sz w:val="28"/>
          <w:szCs w:val="28"/>
        </w:rPr>
        <w:t xml:space="preserve"> сточных вод в почву. Значительный физический износ трубопроводов не позволяет обеспечивать безаварийную работу канализационных сетей. </w:t>
      </w:r>
      <w:r>
        <w:rPr>
          <w:rFonts w:asciiTheme="minorHAnsi" w:hAnsiTheme="minorHAnsi" w:cstheme="minorHAnsi"/>
          <w:i/>
          <w:iCs w:val="0"/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Всего в системе хозяйственно-фекальной канализации города Перми используется около 120 КНС. Всего в эксплуатации ООО «НОВОГОР-</w:t>
      </w:r>
      <w:r>
        <w:rPr>
          <w:sz w:val="28"/>
          <w:szCs w:val="28"/>
        </w:rPr>
        <w:t xml:space="preserve">Прикамье</w:t>
      </w:r>
      <w:r>
        <w:rPr>
          <w:sz w:val="28"/>
          <w:szCs w:val="28"/>
        </w:rPr>
        <w:t xml:space="preserve">» находится 65 КНС. Прочие насосные станции </w:t>
      </w:r>
      <w:r>
        <w:rPr>
          <w:rFonts w:eastAsia="Calibri"/>
          <w:sz w:val="28"/>
          <w:szCs w:val="28"/>
        </w:rPr>
        <w:t xml:space="preserve">предназначены для перекачки стоков в централизованную систему водоотведения, </w:t>
      </w:r>
      <w:r>
        <w:rPr>
          <w:sz w:val="28"/>
          <w:szCs w:val="28"/>
        </w:rPr>
        <w:t xml:space="preserve">поступающих</w:t>
      </w:r>
      <w:r>
        <w:rPr>
          <w:rFonts w:eastAsia="Calibri"/>
          <w:sz w:val="28"/>
          <w:szCs w:val="28"/>
        </w:rPr>
        <w:t xml:space="preserve"> от отдельных земельных участков и территорий, как правило, промышленного назначения. Станции представляют собой части локальных систем канализации промышленных предприятий.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структурой городской территории стоки транспортируются по двум основным технологическим цепочкам – правого и левого берега.</w:t>
      </w:r>
      <w:r>
        <w:rPr>
          <w:sz w:val="28"/>
          <w:szCs w:val="28"/>
        </w:rPr>
      </w:r>
    </w:p>
    <w:p>
      <w:pPr>
        <w:pStyle w:val="15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44"/>
      </w:pPr>
      <w:r/>
      <w:bookmarkStart w:id="105" w:name="_Toc119947459"/>
      <w:r/>
      <w:bookmarkStart w:id="106" w:name="_Toc175215973"/>
      <w:r>
        <w:rPr>
          <w:b/>
          <w:bCs/>
          <w:sz w:val="28"/>
          <w:szCs w:val="28"/>
        </w:rPr>
        <w:t xml:space="preserve">2.3.3 Балансы мощности и ресурса</w:t>
      </w:r>
      <w:bookmarkEnd w:id="105"/>
      <w:r/>
      <w:bookmarkEnd w:id="106"/>
      <w:r/>
      <w:r/>
    </w:p>
    <w:p>
      <w:pPr>
        <w:pStyle w:val="1544"/>
      </w:pPr>
      <w:r/>
      <w:r/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Годовые фактические балансы водоотведения города Перми приведены в таблице 2.16.</w:t>
      </w:r>
      <w:r>
        <w:rPr>
          <w:sz w:val="28"/>
          <w:szCs w:val="28"/>
        </w:rPr>
      </w:r>
    </w:p>
    <w:p>
      <w:pPr>
        <w:spacing w:after="200" w:line="276" w:lineRule="auto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</w:r>
      <w:r>
        <w:rPr>
          <w:rFonts w:eastAsiaTheme="minorHAnsi"/>
          <w:iCs/>
          <w:sz w:val="28"/>
          <w:szCs w:val="28"/>
          <w:lang w:eastAsia="en-US"/>
        </w:rPr>
      </w:r>
    </w:p>
    <w:p>
      <w:pPr>
        <w:pStyle w:val="1544"/>
        <w:jc w:val="right"/>
        <w:rPr>
          <w:b/>
          <w:bCs/>
          <w:sz w:val="28"/>
          <w:szCs w:val="28"/>
        </w:rPr>
      </w:pPr>
      <w:r/>
      <w:bookmarkStart w:id="107" w:name="_Ref160116321"/>
      <w:r/>
      <w:bookmarkStart w:id="108" w:name="_Toc175216092"/>
      <w:r>
        <w:rPr>
          <w:b/>
          <w:bCs/>
          <w:sz w:val="28"/>
          <w:szCs w:val="28"/>
        </w:rPr>
        <w:t xml:space="preserve">Таблица </w:t>
      </w:r>
      <w:bookmarkEnd w:id="107"/>
      <w:r>
        <w:rPr>
          <w:b/>
          <w:bCs/>
          <w:sz w:val="28"/>
          <w:szCs w:val="28"/>
        </w:rPr>
        <w:t xml:space="preserve">2.16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Балансы водоотведения города Перми</w:t>
      </w:r>
      <w:bookmarkEnd w:id="108"/>
      <w:r/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3408"/>
        <w:gridCol w:w="1275"/>
        <w:gridCol w:w="1277"/>
        <w:gridCol w:w="1194"/>
        <w:gridCol w:w="1214"/>
        <w:gridCol w:w="1241"/>
      </w:tblGrid>
      <w:tr>
        <w:tblPrEx/>
        <w:trPr>
          <w:trHeight w:val="20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textDirection w:val="lrTb"/>
            <w:noWrap w:val="false"/>
          </w:tcPr>
          <w:p>
            <w:pPr>
              <w:ind w:left="-117" w:right="-106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№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Наименование показателя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Ед. изм.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2019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2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1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Объем отведенных стоков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 w:val="false"/>
          </w:tcPr>
          <w:p>
            <w:pPr>
              <w:ind w:left="-101" w:right="-108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тыс. куб. м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30" w:type="pct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132 818,81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9" w:type="pct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131 517,38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9" w:type="pct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131 859,26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2" w:type="pct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128 553,99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1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Пропущено через очистные сооружения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 w:val="false"/>
          </w:tcPr>
          <w:p>
            <w:pPr>
              <w:ind w:left="-101" w:right="-108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тыс. куб. м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30" w:type="pct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132 818,81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9" w:type="pct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131 517,38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9" w:type="pct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131 859,26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2" w:type="pct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128 553,99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1" w:type="pct"/>
            <w:textDirection w:val="lrTb"/>
            <w:noWrap w:val="false"/>
          </w:tcPr>
          <w:p>
            <w:pPr>
              <w:ind w:right="-108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Полезный отпуск водоотведения, в </w:t>
            </w:r>
            <w:r>
              <w:rPr>
                <w:rFonts w:asciiTheme="minorHAnsi" w:hAnsiTheme="minorHAnsi" w:cstheme="minorHAnsi"/>
                <w:color w:val="000000"/>
              </w:rPr>
              <w:t xml:space="preserve">т.ч</w:t>
            </w:r>
            <w:r>
              <w:rPr>
                <w:rFonts w:asciiTheme="minorHAnsi" w:hAnsiTheme="minorHAnsi" w:cstheme="minorHAnsi"/>
                <w:color w:val="000000"/>
              </w:rPr>
              <w:t xml:space="preserve">. по группам потребителей: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 w:val="false"/>
          </w:tcPr>
          <w:p>
            <w:pPr>
              <w:ind w:left="-101" w:right="-108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тыс. куб. м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30" w:type="pct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85 848,27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9" w:type="pct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80 984,96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9" w:type="pct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81 280,90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2" w:type="pct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84 218,80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3.1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1" w:type="pct"/>
            <w:textDirection w:val="lrTb"/>
            <w:noWrap w:val="false"/>
          </w:tcPr>
          <w:p>
            <w:pPr>
              <w:ind w:left="173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население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 w:val="false"/>
          </w:tcPr>
          <w:p>
            <w:pPr>
              <w:ind w:left="-101" w:right="-108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тыс. куб. м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30" w:type="pct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48 892,29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9" w:type="pct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49 156,08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9" w:type="pct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49 173,07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2" w:type="pct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49 006,41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3.2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1" w:type="pct"/>
            <w:textDirection w:val="lrTb"/>
            <w:noWrap w:val="false"/>
          </w:tcPr>
          <w:p>
            <w:pPr>
              <w:ind w:left="173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бюджет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 w:val="false"/>
          </w:tcPr>
          <w:p>
            <w:pPr>
              <w:ind w:left="-101" w:right="-108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тыс. куб. м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30" w:type="pct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3 658,51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9" w:type="pct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3 054,47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9" w:type="pct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3 363,63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2" w:type="pct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3 439,90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3.3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1" w:type="pct"/>
            <w:textDirection w:val="lrTb"/>
            <w:noWrap w:val="false"/>
          </w:tcPr>
          <w:p>
            <w:pPr>
              <w:ind w:left="173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прочие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 w:val="false"/>
          </w:tcPr>
          <w:p>
            <w:pPr>
              <w:ind w:left="-101" w:right="-108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тыс. куб. м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30" w:type="pct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33 184,36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9" w:type="pct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28 673,78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9" w:type="pct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28 664,87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2" w:type="pct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31 698,10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3.4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1" w:type="pct"/>
            <w:textDirection w:val="lrTb"/>
            <w:noWrap w:val="false"/>
          </w:tcPr>
          <w:p>
            <w:pPr>
              <w:ind w:left="173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жидкие бытовые отходы (далее – ЖБО)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 w:val="false"/>
          </w:tcPr>
          <w:p>
            <w:pPr>
              <w:ind w:left="-101" w:right="-108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тыс. куб. м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30" w:type="pct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113,11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9" w:type="pct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100,63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9" w:type="pct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79,32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2" w:type="pct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74,39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1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Технологические и хозяйственные расходы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 w:val="false"/>
          </w:tcPr>
          <w:p>
            <w:pPr>
              <w:ind w:left="-101" w:right="-108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тыс. куб. м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30" w:type="pct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25 572,37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9" w:type="pct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30 340,73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9" w:type="pct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31 040,23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2" w:type="pct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27 012,63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60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681" w:type="pct"/>
            <w:vMerge w:val="restar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Неучтенный объем принятых сточных вод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 w:val="false"/>
          </w:tcPr>
          <w:p>
            <w:pPr>
              <w:ind w:left="-101" w:right="-108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тыс. куб. м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30" w:type="pct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21 398,17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9" w:type="pct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20 191,69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9" w:type="pct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19 538,14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2" w:type="pct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17 322,56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68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%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30" w:type="pct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16,11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9" w:type="pct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15,35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99" w:type="pct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14,82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2" w:type="pct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13,47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</w:tbl>
    <w:p>
      <w:pPr>
        <w:pStyle w:val="15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Баланс водоотведения регулируемыми организациями, наделенными статусом «гарантирующие» в сфере водоотведения, за период 2019-2023 годов представлен в таблице 2.17.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44"/>
        <w:jc w:val="right"/>
        <w:rPr>
          <w:b/>
          <w:bCs/>
          <w:sz w:val="28"/>
          <w:szCs w:val="28"/>
        </w:rPr>
      </w:pPr>
      <w:r/>
      <w:bookmarkStart w:id="109" w:name="_Toc162523859"/>
      <w:r/>
      <w:bookmarkStart w:id="110" w:name="_Toc175216093"/>
      <w:r>
        <w:rPr>
          <w:b/>
          <w:bCs/>
          <w:sz w:val="28"/>
          <w:szCs w:val="28"/>
        </w:rPr>
        <w:t xml:space="preserve">Таблица 2.17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Баланс водоотведения гарантирующими организациями</w:t>
      </w:r>
      <w:bookmarkEnd w:id="109"/>
      <w:r/>
      <w:bookmarkEnd w:id="110"/>
      <w:r/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531"/>
        <w:gridCol w:w="1276"/>
        <w:gridCol w:w="1134"/>
        <w:gridCol w:w="1151"/>
        <w:gridCol w:w="1125"/>
        <w:gridCol w:w="1129"/>
        <w:gridCol w:w="1095"/>
      </w:tblGrid>
      <w:tr>
        <w:tblPrEx/>
        <w:trPr>
          <w:trHeight w:val="20"/>
          <w:tblHeader/>
        </w:trPr>
        <w:tc>
          <w:tcPr>
            <w:shd w:val="clear" w:color="auto" w:fill="auto"/>
            <w:tcW w:w="696" w:type="dxa"/>
            <w:vAlign w:val="center"/>
            <w:textDirection w:val="lrTb"/>
            <w:noWrap w:val="false"/>
          </w:tcPr>
          <w:p>
            <w:pPr>
              <w:ind w:left="-117" w:right="-139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№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25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Наименование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ind w:left="-114" w:right="-109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Ед. изм.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2019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</w:tbl>
    <w:p>
      <w:pPr>
        <w:spacing w:line="48" w:lineRule="auto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531"/>
        <w:gridCol w:w="1276"/>
        <w:gridCol w:w="1134"/>
        <w:gridCol w:w="1151"/>
        <w:gridCol w:w="1125"/>
        <w:gridCol w:w="1129"/>
        <w:gridCol w:w="1095"/>
      </w:tblGrid>
      <w:tr>
        <w:tblPrEx/>
        <w:trPr>
          <w:trHeight w:val="20"/>
          <w:tblHeader/>
        </w:trPr>
        <w:tc>
          <w:tcPr>
            <w:shd w:val="clear" w:color="auto" w:fill="auto"/>
            <w:tcW w:w="696" w:type="dxa"/>
            <w:vAlign w:val="center"/>
            <w:textDirection w:val="lrTb"/>
            <w:noWrap w:val="false"/>
          </w:tcPr>
          <w:p>
            <w:pPr>
              <w:ind w:left="-117" w:right="-139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25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ind w:left="-114" w:right="-109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6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gridSpan w:val="7"/>
            <w:shd w:val="clear" w:color="auto" w:fill="auto"/>
            <w:tcW w:w="9441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ООО «НОВОГОР-</w:t>
            </w:r>
            <w:r>
              <w:rPr>
                <w:rFonts w:asciiTheme="minorHAnsi" w:hAnsiTheme="minorHAnsi" w:cstheme="minorHAnsi"/>
                <w:color w:val="000000"/>
              </w:rPr>
              <w:t xml:space="preserve">Прикамье</w:t>
            </w:r>
            <w:r>
              <w:rPr>
                <w:rFonts w:asciiTheme="minorHAnsi" w:hAnsiTheme="minorHAnsi" w:cstheme="minorHAnsi"/>
                <w:color w:val="000000"/>
              </w:rPr>
              <w:t xml:space="preserve">» 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6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1.1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2531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Объем отведенных стоков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/>
          </w:tcPr>
          <w:p>
            <w:pPr>
              <w:ind w:left="-113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тыс. куб. м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100 517,02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51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98 033,87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25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97 947,88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29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93 318,29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95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94 036,10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6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1.2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2531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Пропущено через очистные сооружения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/>
          </w:tcPr>
          <w:p>
            <w:pPr>
              <w:ind w:left="-113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 xml:space="preserve">тыс. куб. м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99 911,73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51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97 429,46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25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97 375,07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29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92 756,72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95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93 479,37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6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1.3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2531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Передано на очистку другим организациям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/>
          </w:tcPr>
          <w:p>
            <w:pPr>
              <w:ind w:left="-113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 xml:space="preserve">тыс. куб. м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605,29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51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604,41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25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572,82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29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561,57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95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556,73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6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1.4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2531" w:type="dxa"/>
            <w:textDirection w:val="lrTb"/>
            <w:noWrap w:val="false"/>
          </w:tcPr>
          <w:p>
            <w:pPr>
              <w:ind w:right="-253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Полезный отпуск водоотведения, в </w:t>
            </w:r>
            <w:r>
              <w:rPr>
                <w:rFonts w:asciiTheme="minorHAnsi" w:hAnsiTheme="minorHAnsi" w:cstheme="minorHAnsi"/>
                <w:color w:val="000000"/>
              </w:rPr>
              <w:t xml:space="preserve">т.ч</w:t>
            </w:r>
            <w:r>
              <w:rPr>
                <w:rFonts w:asciiTheme="minorHAnsi" w:hAnsiTheme="minorHAnsi" w:cstheme="minorHAnsi"/>
                <w:color w:val="000000"/>
              </w:rPr>
              <w:t xml:space="preserve">. по группам потребителей: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/>
          </w:tcPr>
          <w:p>
            <w:pPr>
              <w:ind w:left="-113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 xml:space="preserve">тыс. куб. м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73 645,15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51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72 010,83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25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72 901,31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29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71 751,75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95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73 187,08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6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1.4.1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2531" w:type="dxa"/>
            <w:textDirection w:val="lrTb"/>
            <w:noWrap w:val="false"/>
          </w:tcPr>
          <w:p>
            <w:pPr>
              <w:ind w:left="65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население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/>
          </w:tcPr>
          <w:p>
            <w:pPr>
              <w:ind w:left="-113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 xml:space="preserve">тыс. куб. м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48 631,11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51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48 941,82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25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48 963,03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29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48 779,39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95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49 548,56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6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1.4.2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2531" w:type="dxa"/>
            <w:textDirection w:val="lrTb"/>
            <w:noWrap w:val="false"/>
          </w:tcPr>
          <w:p>
            <w:pPr>
              <w:ind w:left="65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бюджет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/>
          </w:tcPr>
          <w:p>
            <w:pPr>
              <w:ind w:left="-113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 xml:space="preserve">тыс. куб. м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3 585,16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51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3 002,62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25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3 282,83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29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3 301,59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95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3 228,96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6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1.4.3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2531" w:type="dxa"/>
            <w:textDirection w:val="lrTb"/>
            <w:noWrap w:val="false"/>
          </w:tcPr>
          <w:p>
            <w:pPr>
              <w:ind w:left="65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прочие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/>
          </w:tcPr>
          <w:p>
            <w:pPr>
              <w:ind w:left="-113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 xml:space="preserve">тыс. куб. м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21 315,76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51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19 965,75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25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20 576,13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29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19 596,38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95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20 317,90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6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1.4.4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2531" w:type="dxa"/>
            <w:textDirection w:val="lrTb"/>
            <w:noWrap w:val="false"/>
          </w:tcPr>
          <w:p>
            <w:pPr>
              <w:ind w:left="65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ЖБО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/>
          </w:tcPr>
          <w:p>
            <w:pPr>
              <w:ind w:left="-113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 xml:space="preserve">тыс. куб. м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113,11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51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100,63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25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79,32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29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74,39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95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91,65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6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1.5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2531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Технологические </w:t>
            </w:r>
            <w:r>
              <w:rPr>
                <w:rFonts w:asciiTheme="minorHAnsi" w:hAnsiTheme="minorHAnsi" w:cstheme="minorHAnsi"/>
                <w:color w:val="000000"/>
              </w:rPr>
              <w:t xml:space="preserve">и хозяйственные расходы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/>
          </w:tcPr>
          <w:p>
            <w:pPr>
              <w:ind w:left="-113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 xml:space="preserve">тыс. куб. м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5 509,94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51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5 870,81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25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5 545,90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29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4 291,51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95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3 628,87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6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1.6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2531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Неучтенный объем принятых сточных вод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/>
          </w:tcPr>
          <w:p>
            <w:pPr>
              <w:ind w:left="-113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 xml:space="preserve">тыс. куб. м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21 361,93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51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20 152,23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25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19 500,68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29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17 275,02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95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17 220,16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6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gridSpan w:val="7"/>
            <w:shd w:val="clear" w:color="auto" w:fill="auto"/>
            <w:tcW w:w="9441" w:type="dxa"/>
            <w:vAlign w:val="center"/>
            <w:textDirection w:val="lrTb"/>
            <w:noWrap w:val="false"/>
          </w:tcPr>
          <w:p>
            <w:pPr>
              <w:ind w:left="-113" w:right="-105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АО «Энергетик-ПМ»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6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2.1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2531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Объем отведенных стоков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/>
          </w:tcPr>
          <w:p>
            <w:pPr>
              <w:ind w:left="-113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тыс. куб. м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2 407,34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51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2 545,46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25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2 628,22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29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2 312,33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95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н/д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6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2.2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2531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Пропущено через очистные сооружения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/>
          </w:tcPr>
          <w:p>
            <w:pPr>
              <w:ind w:left="-113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 xml:space="preserve">тыс. куб. м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0,00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51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0,00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25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0,00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29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0,00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95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н/д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696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2.3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2531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Передано на очистку другим организациям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/>
          </w:tcPr>
          <w:p>
            <w:pPr>
              <w:ind w:left="-113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 xml:space="preserve">тыс. куб. м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2 407,34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51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2 545,46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25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2 628,22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29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2 312,33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95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н/д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</w:tbl>
    <w:p>
      <w:pPr>
        <w:pStyle w:val="1570"/>
      </w:pPr>
      <w:r/>
      <w:r/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Сведения о производственных мощностях системы водоотведения города Перми представлены в таблице 2.18.</w:t>
      </w:r>
      <w:r>
        <w:rPr>
          <w:sz w:val="28"/>
          <w:szCs w:val="28"/>
        </w:rPr>
      </w:r>
    </w:p>
    <w:p>
      <w:pPr>
        <w:pStyle w:val="1544"/>
        <w:jc w:val="right"/>
        <w:rPr>
          <w:b/>
          <w:bCs/>
          <w:sz w:val="28"/>
          <w:szCs w:val="28"/>
        </w:rPr>
      </w:pPr>
      <w:r/>
      <w:bookmarkStart w:id="111" w:name="_Ref160103595"/>
      <w:r/>
      <w:bookmarkStart w:id="112" w:name="_Toc164855569"/>
      <w:r/>
      <w:bookmarkStart w:id="113" w:name="_Toc175216094"/>
      <w:r>
        <w:rPr>
          <w:b/>
          <w:bCs/>
          <w:sz w:val="28"/>
          <w:szCs w:val="28"/>
        </w:rPr>
        <w:t xml:space="preserve">Таблица </w:t>
      </w:r>
      <w:bookmarkEnd w:id="111"/>
      <w:r>
        <w:rPr>
          <w:b/>
          <w:bCs/>
          <w:sz w:val="28"/>
          <w:szCs w:val="28"/>
        </w:rPr>
        <w:t xml:space="preserve">2.18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Сведения о производственных мощностях системы водоотведения 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Перми</w:t>
      </w:r>
      <w:bookmarkEnd w:id="112"/>
      <w:r/>
      <w:bookmarkEnd w:id="113"/>
      <w:r/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Style w:val="988"/>
        <w:tblW w:w="5000" w:type="pct"/>
        <w:tblLook w:val="04A0" w:firstRow="1" w:lastRow="0" w:firstColumn="1" w:lastColumn="0" w:noHBand="0" w:noVBand="1"/>
      </w:tblPr>
      <w:tblGrid>
        <w:gridCol w:w="696"/>
        <w:gridCol w:w="2814"/>
        <w:gridCol w:w="4821"/>
        <w:gridCol w:w="1806"/>
      </w:tblGrid>
      <w:tr>
        <w:tblPrEx/>
        <w:trPr>
          <w:trHeight w:val="20"/>
        </w:trPr>
        <w:tc>
          <w:tcPr>
            <w:tcW w:w="34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Год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  <w:tc>
          <w:tcPr>
            <w:tcW w:w="1388" w:type="pct"/>
            <w:textDirection w:val="lrTb"/>
            <w:noWrap w:val="false"/>
          </w:tcPr>
          <w:p>
            <w:pPr>
              <w:ind w:left="-100" w:right="-108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Объем сточных вод, пропущенных через ОСК, тыс. куб. м/год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  <w:tc>
          <w:tcPr>
            <w:tcW w:w="2378" w:type="pct"/>
            <w:textDirection w:val="lrTb"/>
            <w:noWrap w:val="false"/>
          </w:tcPr>
          <w:p>
            <w:pPr>
              <w:ind w:left="-99" w:right="-100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Расчетный расход сточных вод, пропущенных через ОСК в сутки наибольшего водоотведения, тыс. куб. м /сут.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1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  <w:tc>
          <w:tcPr>
            <w:tcW w:w="891" w:type="pct"/>
            <w:textDirection w:val="lrTb"/>
            <w:noWrap w:val="false"/>
          </w:tcPr>
          <w:p>
            <w:pPr>
              <w:ind w:left="-114" w:right="-115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Резерв мощности ОСК, %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gridSpan w:val="4"/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Технологическая зона № 1 (ОСК «</w:t>
            </w:r>
            <w:r>
              <w:rPr>
                <w:rFonts w:asciiTheme="minorHAnsi" w:hAnsiTheme="minorHAnsi" w:cstheme="minorHAnsi"/>
                <w:color w:val="000000"/>
              </w:rPr>
              <w:t xml:space="preserve">Гляденово</w:t>
            </w:r>
            <w:r>
              <w:rPr>
                <w:rFonts w:asciiTheme="minorHAnsi" w:hAnsiTheme="minorHAnsi" w:cstheme="minorHAnsi"/>
                <w:color w:val="000000"/>
              </w:rPr>
              <w:t xml:space="preserve">»)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2019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  <w:tc>
          <w:tcPr>
            <w:tcW w:w="138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99 158,03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  <w:tc>
          <w:tcPr>
            <w:tcW w:w="237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353,17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  <w:tc>
          <w:tcPr>
            <w:tcW w:w="8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19,74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2020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  <w:tc>
          <w:tcPr>
            <w:tcW w:w="138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96 817,21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  <w:tc>
          <w:tcPr>
            <w:tcW w:w="237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344,83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  <w:tc>
          <w:tcPr>
            <w:tcW w:w="8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21,63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2021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  <w:tc>
          <w:tcPr>
            <w:tcW w:w="138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96 926,56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  <w:tc>
          <w:tcPr>
            <w:tcW w:w="237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345,22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  <w:tc>
          <w:tcPr>
            <w:tcW w:w="8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21,54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2022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  <w:tc>
          <w:tcPr>
            <w:tcW w:w="138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92 280,73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  <w:tc>
          <w:tcPr>
            <w:tcW w:w="237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328,67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  <w:tc>
          <w:tcPr>
            <w:tcW w:w="8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25,30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2023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  <w:tc>
          <w:tcPr>
            <w:tcW w:w="138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93 008,27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  <w:tc>
          <w:tcPr>
            <w:tcW w:w="237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331,26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  <w:tc>
          <w:tcPr>
            <w:tcW w:w="8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24,71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gridSpan w:val="4"/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Технологическая зона № 2 (ОСК пос. Новые </w:t>
            </w:r>
            <w:r>
              <w:rPr>
                <w:rFonts w:asciiTheme="minorHAnsi" w:hAnsiTheme="minorHAnsi" w:cstheme="minorHAnsi"/>
                <w:color w:val="000000"/>
              </w:rPr>
              <w:t xml:space="preserve">Ляды</w:t>
            </w:r>
            <w:r>
              <w:rPr>
                <w:rFonts w:asciiTheme="minorHAnsi" w:hAnsiTheme="minorHAnsi" w:cstheme="minorHAnsi"/>
                <w:color w:val="000000"/>
              </w:rPr>
              <w:t xml:space="preserve">)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2019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138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753,70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  <w:tc>
          <w:tcPr>
            <w:tcW w:w="237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2,68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  <w:tc>
          <w:tcPr>
            <w:tcW w:w="8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40,35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138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612,26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  <w:tc>
          <w:tcPr>
            <w:tcW w:w="237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2,18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  <w:tc>
          <w:tcPr>
            <w:tcW w:w="8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51,54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138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448,50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  <w:tc>
          <w:tcPr>
            <w:tcW w:w="237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1,60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  <w:tc>
          <w:tcPr>
            <w:tcW w:w="8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64,50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138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475,99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  <w:tc>
          <w:tcPr>
            <w:tcW w:w="237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1,70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  <w:tc>
          <w:tcPr>
            <w:tcW w:w="8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62,33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138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471,10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  <w:tc>
          <w:tcPr>
            <w:tcW w:w="237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1,68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  <w:tc>
          <w:tcPr>
            <w:tcW w:w="8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62,71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gridSpan w:val="4"/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Технологическая зона № 3 (ОСК </w:t>
            </w:r>
            <w:r>
              <w:rPr>
                <w:rFonts w:asciiTheme="minorHAnsi" w:hAnsiTheme="minorHAnsi" w:cstheme="minorHAnsi"/>
                <w:color w:val="000000"/>
              </w:rPr>
              <w:t xml:space="preserve">мкр</w:t>
            </w:r>
            <w:r>
              <w:rPr>
                <w:rFonts w:asciiTheme="minorHAnsi" w:hAnsiTheme="minorHAnsi" w:cstheme="minorHAnsi"/>
                <w:color w:val="000000"/>
              </w:rPr>
              <w:t xml:space="preserve">. Крым)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2019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138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605,29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237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2,16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8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56,88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138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604,41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237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2,15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8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56,95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138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572,82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237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2,04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8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59,20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138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561,57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237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2,00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8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60,00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138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556,73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237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1,98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8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60,34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</w:tbl>
    <w:p>
      <w:pPr>
        <w:ind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  <w:r>
        <w:rPr>
          <w:i/>
          <w:iCs/>
          <w:sz w:val="28"/>
          <w:szCs w:val="28"/>
        </w:rPr>
      </w:r>
    </w:p>
    <w:p>
      <w:pPr>
        <w:ind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---------------------------</w:t>
      </w:r>
      <w:r>
        <w:rPr>
          <w:i/>
          <w:iCs/>
          <w:sz w:val="28"/>
          <w:szCs w:val="28"/>
        </w:rPr>
      </w:r>
    </w:p>
    <w:p>
      <w:pPr>
        <w:ind w:firstLine="709"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</w:rPr>
        <w:t xml:space="preserve">1.</w:t>
      </w:r>
      <w:r>
        <w:rPr>
          <w:rFonts w:asciiTheme="minorHAnsi" w:hAnsiTheme="minorHAnsi" w:cstheme="minorHAnsi"/>
          <w:lang w:eastAsia="en-US"/>
        </w:rPr>
        <w:t xml:space="preserve"> В соответствии с пунктом 5.2 «СП 31.13330.2021. Свод правил. Водоснабжение. Наружные сети и сооружения. СНиП 2.04.02-84*», </w:t>
      </w:r>
      <w:r>
        <w:rPr>
          <w:rFonts w:asciiTheme="minorHAnsi" w:hAnsiTheme="minorHAnsi" w:cstheme="minorHAnsi"/>
          <w:lang w:eastAsia="en-US"/>
        </w:rPr>
        <w:t xml:space="preserve">Kсут.max</w:t>
      </w:r>
      <w:r>
        <w:rPr>
          <w:rFonts w:asciiTheme="minorHAnsi" w:hAnsiTheme="minorHAnsi" w:cstheme="minorHAnsi"/>
          <w:lang w:eastAsia="en-US"/>
        </w:rPr>
        <w:t xml:space="preserve"> = 1,3.</w:t>
      </w:r>
      <w:r>
        <w:rPr>
          <w:rFonts w:asciiTheme="minorHAnsi" w:hAnsiTheme="minorHAnsi" w:cstheme="minorHAnsi"/>
          <w:lang w:eastAsia="en-US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/>
      <w:bookmarkStart w:id="114" w:name="_Toc119947460"/>
      <w:r/>
      <w:bookmarkStart w:id="115" w:name="_Toc175215974"/>
      <w:r>
        <w:rPr>
          <w:b/>
          <w:bCs/>
          <w:sz w:val="28"/>
          <w:szCs w:val="28"/>
        </w:rPr>
        <w:t xml:space="preserve">2.3.4 Доля поставки ресурса по приборам учета</w:t>
      </w:r>
      <w:bookmarkEnd w:id="114"/>
      <w:r/>
      <w:bookmarkEnd w:id="115"/>
      <w:r/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Здания, строения и сооружения на территории города Перми не оборудованы общедомовыми приборами учета принимаемых сточных вод. Размер платы за коммунальную услугу водоотведения, предоставленную за расчетный </w:t>
      </w:r>
      <w:r>
        <w:rPr>
          <w:sz w:val="28"/>
          <w:szCs w:val="28"/>
        </w:rPr>
        <w:t xml:space="preserve">период, в жилом помещении, не оборудованном индивидуальным или общим (квартирным) прибором учета сточных бытовых вод, рассчитывается исходя из суммы объемов холодной и горячей воды, предоставленных в таком жилом помещении и определенных по показаниям индив</w:t>
      </w:r>
      <w:r>
        <w:rPr>
          <w:sz w:val="28"/>
          <w:szCs w:val="28"/>
        </w:rPr>
        <w:t xml:space="preserve">идуальных или общих (квартирных) приборов учета холодной и горячей воды за расчетный период, а при отсутствии приборов учета холодной и горячей воды – исходя из нормативов потребления коммунальных услуг по холодному и горячему водоснабжению, водоотведению.</w:t>
      </w:r>
      <w:r>
        <w:rPr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/>
      <w:bookmarkStart w:id="116" w:name="_Toc119947461"/>
      <w:r/>
      <w:bookmarkStart w:id="117" w:name="_Toc175215975"/>
      <w:r/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2.3.5 Зоны действия источников ресурсов</w:t>
      </w:r>
      <w:bookmarkEnd w:id="116"/>
      <w:r/>
      <w:bookmarkEnd w:id="117"/>
      <w:r/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bookmarkStart w:id="118" w:name="_Hlk166591879"/>
      <w:r>
        <w:rPr>
          <w:sz w:val="28"/>
          <w:szCs w:val="28"/>
        </w:rPr>
        <w:t xml:space="preserve">постановлением Правительства Российской Федерации от 05.09.2013 № 782 «О схемах водоснабжения и водоотведения» </w:t>
      </w:r>
      <w:bookmarkEnd w:id="118"/>
      <w:r>
        <w:rPr>
          <w:sz w:val="28"/>
          <w:szCs w:val="28"/>
        </w:rPr>
        <w:t xml:space="preserve">под технологической зоной водоотведения понимается часть централизованной системы водоотведения (канализации), отведение сточных вод из ко</w:t>
      </w:r>
      <w:r>
        <w:rPr>
          <w:sz w:val="28"/>
          <w:szCs w:val="28"/>
        </w:rPr>
        <w:t xml:space="preserve">торой осуществляется в водный объект через одно инженерное сооружение, предназначенное для сброса сточных вод в водный объект, или несколько технологически связанных между собой инженерных сооружений, предназначенных для сброса сточных вод в водный объект.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Технологические зоны соответствуют бассейнам водоотведения очистных сооружений. Каждый бассейн имеет систему сбора, транспортировки, перекачки и очистные сооружения (либо отсутствие очистки с выпуском неочищенных сточных вод на рельеф или водный объект).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На территории города Перми организо</w:t>
      </w:r>
      <w:r>
        <w:rPr>
          <w:sz w:val="28"/>
          <w:szCs w:val="28"/>
        </w:rPr>
        <w:t xml:space="preserve">вана преимущественно централизованная система водоотведения для объектов жилого, административного и производственного назначения. Системы производственной (технической) канализации, как правило, обслуживают отдельные объекты промышленного назначения, кото</w:t>
      </w:r>
      <w:r>
        <w:rPr>
          <w:sz w:val="28"/>
          <w:szCs w:val="28"/>
        </w:rPr>
        <w:t xml:space="preserve">рые имеют собственные очистные сооружения и выпуски в водные объекты, находящиеся в хозяйственном ведении промышленных предприятий. Система дождевой канализации выполнена по раздельной схеме (по отношению к городской централизованной системе канализации).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В зонах нецентрализованного водоотведения абоненты осуществляют водоотведение </w:t>
      </w:r>
      <w:r>
        <w:rPr>
          <w:sz w:val="28"/>
          <w:szCs w:val="28"/>
        </w:rPr>
        <w:t xml:space="preserve">децентрализованно</w:t>
      </w:r>
      <w:r>
        <w:rPr>
          <w:sz w:val="28"/>
          <w:szCs w:val="28"/>
        </w:rPr>
        <w:t xml:space="preserve"> (в септики либо выгребные ямы), стоки из которых вывозятся автотранспортом и сливаются в городскую централизованную систему канализации.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В городе Перми сформировались три основные технологические зоны водоотведения: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технологическая зона № 1 – ОСК «</w:t>
      </w:r>
      <w:r>
        <w:rPr>
          <w:sz w:val="28"/>
          <w:szCs w:val="28"/>
        </w:rPr>
        <w:t xml:space="preserve">Гляденово</w:t>
      </w:r>
      <w:r>
        <w:rPr>
          <w:sz w:val="28"/>
          <w:szCs w:val="28"/>
        </w:rPr>
        <w:t xml:space="preserve">», эксплуатируемые ООО «НОВОГОР-</w:t>
      </w:r>
      <w:r>
        <w:rPr>
          <w:sz w:val="28"/>
          <w:szCs w:val="28"/>
        </w:rPr>
        <w:t xml:space="preserve">Прикамье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технологическая зона № 2 – ОСК пос.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, эксплуатируемые ООО «НОВОГОР-</w:t>
      </w:r>
      <w:r>
        <w:rPr>
          <w:sz w:val="28"/>
          <w:szCs w:val="28"/>
        </w:rPr>
        <w:t xml:space="preserve">Прикамье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технологическая зона № 3 – ОСК </w:t>
      </w:r>
      <w:r>
        <w:rPr>
          <w:sz w:val="28"/>
          <w:szCs w:val="28"/>
        </w:rPr>
        <w:t xml:space="preserve">мкр</w:t>
      </w:r>
      <w:r>
        <w:rPr>
          <w:sz w:val="28"/>
          <w:szCs w:val="28"/>
        </w:rPr>
        <w:t xml:space="preserve">. Крым, эксплуатируемые МП «</w:t>
      </w:r>
      <w:r>
        <w:rPr>
          <w:sz w:val="28"/>
          <w:szCs w:val="28"/>
        </w:rPr>
        <w:t xml:space="preserve">Пермводоканал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Каждая из зон имеет собственные ОСК и выпуски очищенных сточных вод в водоемы, систему КНС и коллекторов. Организационно все зоны обслуживаются одним оператором коммунального комплекса – </w:t>
      </w:r>
      <w:r>
        <w:rPr>
          <w:sz w:val="28"/>
          <w:szCs w:val="28"/>
        </w:rPr>
        <w:br/>
        <w:t xml:space="preserve">ООО «НОВОГОР-</w:t>
      </w:r>
      <w:r>
        <w:rPr>
          <w:sz w:val="28"/>
          <w:szCs w:val="28"/>
        </w:rPr>
        <w:t xml:space="preserve">Прикамье</w:t>
      </w:r>
      <w:r>
        <w:rPr>
          <w:sz w:val="28"/>
          <w:szCs w:val="28"/>
        </w:rPr>
        <w:t xml:space="preserve">» (гарантирующая организация), за исключением ОСК </w:t>
      </w:r>
      <w:r>
        <w:rPr>
          <w:sz w:val="28"/>
          <w:szCs w:val="28"/>
        </w:rPr>
        <w:t xml:space="preserve">мкр</w:t>
      </w:r>
      <w:r>
        <w:rPr>
          <w:sz w:val="28"/>
          <w:szCs w:val="28"/>
        </w:rPr>
        <w:t xml:space="preserve">. Крым, обслуживание которых производит МП «</w:t>
      </w:r>
      <w:r>
        <w:rPr>
          <w:sz w:val="28"/>
          <w:szCs w:val="28"/>
        </w:rPr>
        <w:t xml:space="preserve">Пермводоканал</w:t>
      </w:r>
      <w:r>
        <w:rPr>
          <w:sz w:val="28"/>
          <w:szCs w:val="28"/>
        </w:rPr>
        <w:t xml:space="preserve">».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Технологическая зона водоотведения № 1 (ОСК «</w:t>
      </w:r>
      <w:r>
        <w:rPr>
          <w:sz w:val="28"/>
          <w:szCs w:val="28"/>
        </w:rPr>
        <w:t xml:space="preserve">Гляденово</w:t>
      </w:r>
      <w:r>
        <w:rPr>
          <w:sz w:val="28"/>
          <w:szCs w:val="28"/>
        </w:rPr>
        <w:t xml:space="preserve">») охватывает основную часть территории города Перми. </w:t>
      </w:r>
      <w:bookmarkStart w:id="119" w:name="_Hlk178170744"/>
      <w:r>
        <w:rPr>
          <w:sz w:val="28"/>
          <w:szCs w:val="28"/>
        </w:rPr>
        <w:t xml:space="preserve">Сточные воды Кировского, Дзержинского, Ленинского, Орджоникидзевского, Мотовилихинского, Свердловского и Индустриального районов при помощи КНС поступают в приемную камеру ОСК «</w:t>
      </w:r>
      <w:r>
        <w:rPr>
          <w:sz w:val="28"/>
          <w:szCs w:val="28"/>
        </w:rPr>
        <w:t xml:space="preserve">Гляденово</w:t>
      </w:r>
      <w:r>
        <w:rPr>
          <w:sz w:val="28"/>
          <w:szCs w:val="28"/>
        </w:rPr>
        <w:t xml:space="preserve">». </w:t>
      </w:r>
      <w:bookmarkEnd w:id="119"/>
      <w:r>
        <w:rPr>
          <w:sz w:val="28"/>
          <w:szCs w:val="28"/>
        </w:rPr>
        <w:t xml:space="preserve">В технологической зоне № 1 АО «СИБУР-Химпром» на локальных ОСК производит очистку собственных сточных вод и сточных вод </w:t>
      </w:r>
      <w:r>
        <w:rPr>
          <w:sz w:val="28"/>
          <w:szCs w:val="28"/>
        </w:rPr>
        <w:t xml:space="preserve">субабонентов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Технологическая зона водоотведения № 2 (ОСК пос.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) охватывает территорию пос.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. В технологической зоне принимаются хозяйственно-бытовые сточные воды от жилой застройки поселка. В технологической зоне № 2 АО «Протон-ПМ» на локальных ОСК производит очистку собственных сточных вод и сточных вод </w:t>
      </w:r>
      <w:r>
        <w:rPr>
          <w:sz w:val="28"/>
          <w:szCs w:val="28"/>
        </w:rPr>
        <w:t xml:space="preserve">субабонентов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Технологическая зона водоотведения № 3 (ОСК </w:t>
      </w:r>
      <w:r>
        <w:rPr>
          <w:sz w:val="28"/>
          <w:szCs w:val="28"/>
        </w:rPr>
        <w:t xml:space="preserve">мкр</w:t>
      </w:r>
      <w:r>
        <w:rPr>
          <w:sz w:val="28"/>
          <w:szCs w:val="28"/>
        </w:rPr>
        <w:t xml:space="preserve">. Крым) охватывает территорию </w:t>
      </w:r>
      <w:r>
        <w:rPr>
          <w:sz w:val="28"/>
          <w:szCs w:val="28"/>
        </w:rPr>
        <w:t xml:space="preserve">мкр</w:t>
      </w:r>
      <w:r>
        <w:rPr>
          <w:sz w:val="28"/>
          <w:szCs w:val="28"/>
        </w:rPr>
        <w:t xml:space="preserve">. Крым. В технологической зоне принимаются хозяйственно-бытовые сточные воды жилых домов </w:t>
      </w:r>
      <w:r>
        <w:rPr>
          <w:sz w:val="28"/>
          <w:szCs w:val="28"/>
        </w:rPr>
        <w:t xml:space="preserve">мкр</w:t>
      </w:r>
      <w:r>
        <w:rPr>
          <w:sz w:val="28"/>
          <w:szCs w:val="28"/>
        </w:rPr>
        <w:t xml:space="preserve">. Крым, а также производственные и хозяйственно-бытовые стоки АО «РНЦ «Прикладная химия (ГПХН)»,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поступающие на очистку по сетям ООО «НОВОГОР-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Прикамье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», </w:t>
      </w:r>
      <w:r>
        <w:rPr>
          <w:sz w:val="28"/>
          <w:szCs w:val="28"/>
        </w:rPr>
        <w:t xml:space="preserve">и других предприятий, расположенных в районе очистных сооружений. </w:t>
      </w:r>
      <w:r>
        <w:rPr>
          <w:sz w:val="28"/>
          <w:szCs w:val="28"/>
        </w:rPr>
      </w:r>
    </w:p>
    <w:p>
      <w:pPr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</w:r>
      <w:r>
        <w:rPr>
          <w:b/>
          <w:bCs/>
          <w:sz w:val="28"/>
          <w:szCs w:val="28"/>
          <w:lang w:eastAsia="en-US"/>
        </w:rPr>
      </w:r>
    </w:p>
    <w:p>
      <w:pPr>
        <w:pStyle w:val="1544"/>
        <w:rPr>
          <w:b/>
          <w:bCs/>
          <w:sz w:val="28"/>
          <w:szCs w:val="28"/>
        </w:rPr>
      </w:pPr>
      <w:r/>
      <w:bookmarkStart w:id="120" w:name="_Toc119947462"/>
      <w:r/>
      <w:bookmarkStart w:id="121" w:name="_Toc175215976"/>
      <w:r>
        <w:rPr>
          <w:b/>
          <w:bCs/>
          <w:sz w:val="28"/>
          <w:szCs w:val="28"/>
        </w:rPr>
        <w:t xml:space="preserve">2.3.6 Резервы и дефициты по зонам действия источников ресурсов 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городу Перми в целом</w:t>
      </w:r>
      <w:bookmarkEnd w:id="120"/>
      <w:r/>
      <w:bookmarkEnd w:id="121"/>
      <w:r/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Анализ резервов и дефицитов производственных мощ</w:t>
      </w:r>
      <w:r>
        <w:rPr>
          <w:sz w:val="28"/>
          <w:szCs w:val="28"/>
        </w:rPr>
        <w:t xml:space="preserve">ностей системы водоотведения города Перми по технологическим зонам в период 2019-2022 годов был выполнен на основании проектной мощности ОСК, а также на основании расчетных расходов в сутки наибольшего поступления сточных вод (в соответствии с пунктом 5.2 </w:t>
      </w:r>
      <w:bookmarkStart w:id="122" w:name="_Hlk166591902"/>
      <w:r>
        <w:rPr>
          <w:sz w:val="28"/>
          <w:szCs w:val="28"/>
        </w:rPr>
        <w:t xml:space="preserve">«СП 31.13330.2021. Свод правил. Водоснабжение. Наружные сети и сооружения. СНиП 2.04.02-84*»</w:t>
      </w:r>
      <w:bookmarkEnd w:id="122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K</w:t>
      </w:r>
      <w:r>
        <w:rPr>
          <w:sz w:val="28"/>
          <w:szCs w:val="28"/>
          <w:vertAlign w:val="subscript"/>
        </w:rPr>
        <w:t xml:space="preserve">сут.max</w:t>
      </w:r>
      <w:r>
        <w:rPr>
          <w:sz w:val="28"/>
          <w:szCs w:val="28"/>
        </w:rPr>
        <w:t xml:space="preserve"> = 1,3).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Анализ резервов и дефицитов производственных мощностей системы водоотведения города Перми показал достаточный резерв на всех объектах водоотведения.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В прогнозном периоде наблюдается общая тенденция к снижению объемов водоотведения, поступающих в систему водоотведения города Перми, дефицита мощностей системы водоотведения не ожидается.</w:t>
      </w:r>
      <w:r>
        <w:rPr>
          <w:sz w:val="28"/>
          <w:szCs w:val="28"/>
        </w:rPr>
      </w:r>
    </w:p>
    <w:p>
      <w:pPr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</w:r>
      <w:r>
        <w:rPr>
          <w:b/>
          <w:bCs/>
          <w:sz w:val="28"/>
          <w:szCs w:val="28"/>
          <w:lang w:eastAsia="en-US"/>
        </w:rPr>
      </w:r>
    </w:p>
    <w:p>
      <w:pPr>
        <w:pStyle w:val="1544"/>
        <w:rPr>
          <w:b/>
          <w:bCs/>
          <w:sz w:val="28"/>
          <w:szCs w:val="28"/>
        </w:rPr>
      </w:pPr>
      <w:r/>
      <w:bookmarkStart w:id="123" w:name="_Toc119947463"/>
      <w:r/>
      <w:bookmarkStart w:id="124" w:name="_Toc175215977"/>
      <w:r>
        <w:rPr>
          <w:b/>
          <w:bCs/>
          <w:sz w:val="28"/>
          <w:szCs w:val="28"/>
        </w:rPr>
        <w:t xml:space="preserve">2.3.7 Надежность работы системы</w:t>
      </w:r>
      <w:bookmarkEnd w:id="123"/>
      <w:r/>
      <w:bookmarkEnd w:id="124"/>
      <w:r/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bookmarkStart w:id="125" w:name="_Hlk166591918"/>
      <w:r>
        <w:rPr>
          <w:sz w:val="28"/>
          <w:szCs w:val="28"/>
        </w:rPr>
        <w:t xml:space="preserve">«СП 32.13330.2018. Свод правил. Канализация. Наружные сети и сооружения СНиП 2.04.03.-85»</w:t>
      </w:r>
      <w:bookmarkEnd w:id="125"/>
      <w:r>
        <w:rPr>
          <w:sz w:val="28"/>
          <w:szCs w:val="28"/>
        </w:rPr>
        <w:t xml:space="preserve"> надежность действия системы канализации характеризуется сохранением необходимой расчетной пропускной способности и степени очистки сточных вод при изменении в определенных пределах расходов сточных вод и сос</w:t>
      </w:r>
      <w:r>
        <w:rPr>
          <w:sz w:val="28"/>
          <w:szCs w:val="28"/>
        </w:rPr>
        <w:t xml:space="preserve">тава загрязняющих веществ, условий сброса их в водные объекты, в условиях перебоев в электроснабжении, возможных аварий на коммуникациях, оборудовании и сооружениях, производства плановых ремонтных работ, ситуаций, связанных с особыми природными условиями.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Надежность работы очистных сооружений канализации определяется, в первую очередь, состоянием технологического оборуд</w:t>
      </w:r>
      <w:r>
        <w:rPr>
          <w:sz w:val="28"/>
          <w:szCs w:val="28"/>
        </w:rPr>
        <w:t xml:space="preserve">ования. Существующие технологии очистки стоков не позволяют обеспечить соответствие качества очищенных сточных вод действующим нормативам. Для сооружений характерны высокая степень физического износа сооружений, механического и электрического оборудования.</w:t>
      </w:r>
      <w:r>
        <w:rPr>
          <w:sz w:val="28"/>
          <w:szCs w:val="28"/>
        </w:rPr>
      </w:r>
    </w:p>
    <w:p>
      <w:pPr>
        <w:pStyle w:val="1570"/>
        <w:rPr>
          <w:rStyle w:val="1526"/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од надежностью системы транспортировки стоков понимается ее свойство бесперебойного отвода сточных вод от обслуживаемых объектов в расчетных количествах в соответствии с санитарно-гигиеническими требованиями и с соблюдением мер по охране окружающей среды. </w:t>
      </w:r>
      <w:r>
        <w:rPr>
          <w:rStyle w:val="1526"/>
          <w:rFonts w:eastAsiaTheme="minorHAnsi"/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Практика показывает, что трубопроводные сети являются не только наиболее функционально значимым элементом системы канализации, но и наиболее уязвимым с точки зрения надежности. По-прежнему острой остается проблема износа канализационной сети.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Износ основных фондов систе</w:t>
      </w:r>
      <w:r>
        <w:rPr>
          <w:sz w:val="28"/>
          <w:szCs w:val="28"/>
        </w:rPr>
        <w:t xml:space="preserve">мы водоотведения достигает 85 %. Существующие темпы восстановления сети не позволяют удержать техническое состояние даже на существующем уровне. В зоне высоких рисков находятся коллекторы, выполненные из железобетонных труб, подверженных газовой коррозии.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bookmarkStart w:id="126" w:name="_Hlk166591928"/>
      <w:r>
        <w:rPr>
          <w:sz w:val="28"/>
          <w:szCs w:val="28"/>
        </w:rPr>
        <w:t xml:space="preserve">приказом Министерства строительства и жилищно-коммунального хозяйства Российской Федерации от 04.04.2014 № 162/</w:t>
      </w:r>
      <w:r>
        <w:rPr>
          <w:sz w:val="28"/>
          <w:szCs w:val="28"/>
        </w:rPr>
        <w:t xml:space="preserve">пр</w:t>
      </w:r>
      <w:r>
        <w:rPr>
          <w:sz w:val="28"/>
          <w:szCs w:val="28"/>
        </w:rPr>
        <w:t xml:space="preserve"> </w:t>
      </w:r>
      <w:bookmarkEnd w:id="126"/>
      <w:r>
        <w:rPr>
          <w:sz w:val="28"/>
          <w:szCs w:val="28"/>
        </w:rPr>
        <w:t xml:space="preserve">показателем надежности и бесперебойности водоотведения является удельное количество аварий и засоров в расчете на протяженность канализационной сети в год.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Среднее удельное количество засоров и повреждений на сетях основной эксплуатирующей организации – </w:t>
      </w:r>
      <w:r>
        <w:rPr>
          <w:rFonts w:eastAsiaTheme="minorEastAsia"/>
          <w:color w:val="000000"/>
          <w:sz w:val="28"/>
          <w:szCs w:val="28"/>
        </w:rPr>
        <w:t xml:space="preserve">ООО «НОВОГОР-</w:t>
      </w:r>
      <w:r>
        <w:rPr>
          <w:rFonts w:eastAsiaTheme="minorEastAsia"/>
          <w:color w:val="000000"/>
          <w:sz w:val="28"/>
          <w:szCs w:val="28"/>
        </w:rPr>
        <w:t xml:space="preserve">Прикамье</w:t>
      </w:r>
      <w:r>
        <w:rPr>
          <w:rFonts w:eastAsiaTheme="minorEastAsia"/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 xml:space="preserve">за 2019-2023 годы составляет более 4 ед./км.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/>
      <w:bookmarkStart w:id="127" w:name="_Toc119947464"/>
      <w:r/>
      <w:bookmarkStart w:id="128" w:name="_Toc175215978"/>
      <w:r>
        <w:rPr>
          <w:b/>
          <w:bCs/>
          <w:sz w:val="28"/>
          <w:szCs w:val="28"/>
        </w:rPr>
        <w:t xml:space="preserve">2.3.8 Качество поставляемого ресурса</w:t>
      </w:r>
      <w:bookmarkEnd w:id="127"/>
      <w:r/>
      <w:bookmarkEnd w:id="128"/>
      <w:r/>
      <w:r>
        <w:rPr>
          <w:b/>
          <w:bCs/>
          <w:sz w:val="28"/>
          <w:szCs w:val="28"/>
        </w:rPr>
      </w:r>
    </w:p>
    <w:p>
      <w:pPr>
        <w:pStyle w:val="154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Существующие технологии очистки стоков не позволяют обеспечить соответствие качества очищенных сточных вод действующим нормативам </w:t>
      </w:r>
      <w:bookmarkStart w:id="129" w:name="_Hlk166591938"/>
      <w:r>
        <w:rPr>
          <w:sz w:val="28"/>
          <w:szCs w:val="28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bookmarkEnd w:id="129"/>
      <w:r>
        <w:rPr>
          <w:sz w:val="28"/>
          <w:szCs w:val="28"/>
        </w:rPr>
        <w:t xml:space="preserve">. Кроме того, засоры на сетях канализации, нарушения целостности труб в результате высокой степени износа трубопроводов (разрушение сводов, </w:t>
      </w:r>
      <w:r>
        <w:rPr>
          <w:sz w:val="28"/>
          <w:szCs w:val="28"/>
        </w:rPr>
        <w:t xml:space="preserve">разгерметизация стыковых соединений, прорастание корнями деревьев, разрушение колодцев) представляют угрозу заражения окружающей среды органическими и микробиологическими соединениями.</w:t>
      </w:r>
      <w:r>
        <w:rPr>
          <w:sz w:val="28"/>
          <w:szCs w:val="28"/>
        </w:rPr>
      </w:r>
    </w:p>
    <w:p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1544"/>
        <w:keepLines/>
        <w:keepNext/>
        <w:rPr>
          <w:b/>
          <w:bCs/>
          <w:sz w:val="28"/>
          <w:szCs w:val="28"/>
        </w:rPr>
      </w:pPr>
      <w:r/>
      <w:bookmarkStart w:id="130" w:name="_Toc119947465"/>
      <w:r/>
      <w:bookmarkStart w:id="131" w:name="_Toc175215979"/>
      <w:r>
        <w:rPr>
          <w:b/>
          <w:bCs/>
          <w:sz w:val="28"/>
          <w:szCs w:val="28"/>
        </w:rPr>
        <w:t xml:space="preserve">2.3.9 Воздействие на окружающую среду</w:t>
      </w:r>
      <w:bookmarkEnd w:id="130"/>
      <w:r/>
      <w:bookmarkEnd w:id="131"/>
      <w:r/>
      <w:r>
        <w:rPr>
          <w:b/>
          <w:bCs/>
          <w:sz w:val="28"/>
          <w:szCs w:val="28"/>
        </w:rPr>
      </w:r>
    </w:p>
    <w:p>
      <w:pPr>
        <w:pStyle w:val="1544"/>
        <w:keepLines/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Водным кодексом Российской Федерации сточные воды – дождевые, талые, инфильтрацио</w:t>
      </w:r>
      <w:r>
        <w:rPr>
          <w:sz w:val="28"/>
          <w:szCs w:val="28"/>
        </w:rPr>
        <w:t xml:space="preserve">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с соблюдением требований, предусмотренных законодательством в области охраны окружающей среды.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Сброс сточных вод через централизованную систему водоотведения осуществляется в водные объекты. При этом сточные воды могут вызывать их загрязнение: химическое, биологическое и физическое.</w:t>
      </w:r>
      <w:r>
        <w:rPr>
          <w:sz w:val="28"/>
          <w:szCs w:val="28"/>
        </w:rPr>
      </w:r>
    </w:p>
    <w:p>
      <w:pPr>
        <w:pStyle w:val="1570"/>
        <w:keepLines/>
        <w:keepNext/>
        <w:rPr>
          <w:sz w:val="28"/>
          <w:szCs w:val="28"/>
        </w:rPr>
      </w:pPr>
      <w:r>
        <w:rPr>
          <w:sz w:val="28"/>
          <w:szCs w:val="28"/>
        </w:rPr>
        <w:t xml:space="preserve">Химическое загрязнение водных объектов осуществляется посредством </w:t>
      </w:r>
      <w:r>
        <w:rPr>
          <w:sz w:val="28"/>
          <w:szCs w:val="28"/>
        </w:rPr>
        <w:t xml:space="preserve">привноса</w:t>
      </w:r>
      <w:r>
        <w:rPr>
          <w:sz w:val="28"/>
          <w:szCs w:val="28"/>
        </w:rPr>
        <w:t xml:space="preserve"> веществ, концентрации которых превышают установленные нормативные требования к качеству воды водных объектов различных видов хозяйственного использования. Химическое загрязнение приводит к: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ухудшению органолептических свойств воды: повышению мутности, ухудшению запаха, вкуса и др.;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повышению концентрации веществ, оказывающих острое и хроническое токсическое действие на живые организмы;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«цветению» воды.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Биологическое загрязнение сточными водами осуществляется через сброс в водные объ</w:t>
      </w:r>
      <w:r>
        <w:rPr>
          <w:sz w:val="28"/>
          <w:szCs w:val="28"/>
        </w:rPr>
        <w:t xml:space="preserve">екты микроорганизмов, содержание которых превышает допустимые уровни, установленные для сточных вод. В результате биологического загрязнения ухудшаются санитарно-эпидемиологические показатели воды; ее потребление может привести к инфекционным заболеваниям.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Физическое загрязнение осуществляется при сбросе сточных вод, отличающихся по физическим характеристикам от воды водного объекта. Это может быть т</w:t>
      </w:r>
      <w:r>
        <w:rPr>
          <w:sz w:val="28"/>
          <w:szCs w:val="28"/>
        </w:rPr>
        <w:t xml:space="preserve">епловое загрязнение – сброс сточных вод, отличающихся по температуре от воды водного объекта. Это вызывает изменение температурного режима, установившегося в водоеме, и, как следствие, условий обитания гидробионтов, эффективности самоочищения водоема и др.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Объекты, оказывающие негативное воздействие на окружающую среду, в зависимости от уровня такого воздействия подразделяются на четыре категории: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объекты I категории, оказывающие значительное негативное воздействие на окружающую среду и относящиеся к областям применения наилучших доступных технологий;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объекты II категории, оказывающие умеренное негативное воздействие на окружающую среду;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объекты III категории, оказывающие незначительное негативное воздействие на окружающую среду;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объекты IV категории, оказывающие минимальное негативное воздействие на окружающую среду.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ОСК «</w:t>
      </w:r>
      <w:r>
        <w:rPr>
          <w:sz w:val="28"/>
          <w:szCs w:val="28"/>
        </w:rPr>
        <w:t xml:space="preserve">Гляденово</w:t>
      </w:r>
      <w:r>
        <w:rPr>
          <w:sz w:val="28"/>
          <w:szCs w:val="28"/>
        </w:rPr>
        <w:t xml:space="preserve">» присвоена I категория негативного воздействия.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ОСК пос.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 присвоена II категория негативного воздействия.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Для снижения негативного воздействия на окружающую среду ООО «НОВОГОР-</w:t>
      </w:r>
      <w:r>
        <w:rPr>
          <w:sz w:val="28"/>
          <w:szCs w:val="28"/>
        </w:rPr>
        <w:t xml:space="preserve">Прикамье</w:t>
      </w:r>
      <w:r>
        <w:rPr>
          <w:sz w:val="28"/>
          <w:szCs w:val="28"/>
        </w:rPr>
        <w:t xml:space="preserve">» разработана Программа повышения экологической эффективности от 22.09.2023. Программа включает мероприятия, направленные на снижение сбросов загрязняющих веществ.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Информация о нормативах допустимых сбросов загрязняющих веществ и микроорганизмов в водные объекты для выпусков централизованной системы водоотведения, эксплуатируемой ООО «НОВОГОР-</w:t>
      </w:r>
      <w:r>
        <w:rPr>
          <w:sz w:val="28"/>
          <w:szCs w:val="28"/>
        </w:rPr>
        <w:t xml:space="preserve">Прикамье</w:t>
      </w:r>
      <w:r>
        <w:rPr>
          <w:sz w:val="28"/>
          <w:szCs w:val="28"/>
        </w:rPr>
        <w:t xml:space="preserve">», и показателях эффективности удаления загрязняющих веществ очистными сооружениями за 2023 год приведена в таблице 2.19. </w:t>
      </w:r>
      <w:r>
        <w:rPr>
          <w:sz w:val="28"/>
          <w:szCs w:val="28"/>
        </w:rPr>
      </w:r>
    </w:p>
    <w:p>
      <w:pPr>
        <w:pStyle w:val="1544"/>
        <w:jc w:val="right"/>
        <w:rPr>
          <w:b/>
          <w:bCs/>
          <w:sz w:val="28"/>
          <w:szCs w:val="28"/>
        </w:rPr>
      </w:pPr>
      <w:r/>
      <w:bookmarkStart w:id="132" w:name="_Ref160174627"/>
      <w:r/>
      <w:bookmarkStart w:id="133" w:name="_Toc164855571"/>
      <w:r/>
      <w:bookmarkStart w:id="134" w:name="_Toc175216095"/>
      <w:r>
        <w:rPr>
          <w:b/>
          <w:bCs/>
          <w:sz w:val="28"/>
          <w:szCs w:val="28"/>
        </w:rPr>
        <w:t xml:space="preserve">Таблица </w:t>
      </w:r>
      <w:bookmarkEnd w:id="132"/>
      <w:r>
        <w:rPr>
          <w:b/>
          <w:bCs/>
          <w:sz w:val="28"/>
          <w:szCs w:val="28"/>
        </w:rPr>
        <w:t xml:space="preserve">2.19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Показатели эффективности удаления загрязняющих веществ очистными сооружениями канализации</w:t>
      </w:r>
      <w:bookmarkEnd w:id="133"/>
      <w:r/>
      <w:bookmarkEnd w:id="134"/>
      <w:r/>
      <w:r>
        <w:rPr>
          <w:b/>
          <w:bCs/>
          <w:sz w:val="28"/>
          <w:szCs w:val="28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843"/>
        <w:gridCol w:w="1418"/>
        <w:gridCol w:w="1277"/>
        <w:gridCol w:w="1665"/>
      </w:tblGrid>
      <w:tr>
        <w:tblPrEx/>
        <w:trPr>
          <w:trHeight w:val="20"/>
          <w:tblHeader/>
        </w:trPr>
        <w:tc>
          <w:tcPr>
            <w:shd w:val="clear" w:color="auto" w:fill="auto"/>
            <w:tcW w:w="534" w:type="dxa"/>
            <w:vMerge w:val="restart"/>
            <w:textDirection w:val="lrTb"/>
            <w:noWrap/>
          </w:tcPr>
          <w:p>
            <w:pPr>
              <w:ind w:left="-117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0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Показатель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326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Выпуск ОСК «</w:t>
            </w:r>
            <w:r>
              <w:rPr>
                <w:color w:val="000000"/>
                <w:sz w:val="20"/>
                <w:szCs w:val="20"/>
              </w:rPr>
              <w:t xml:space="preserve">Гляденово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294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Выпуск ОСК </w:t>
            </w:r>
            <w:r>
              <w:rPr>
                <w:color w:val="000000"/>
                <w:sz w:val="20"/>
                <w:szCs w:val="20"/>
              </w:rPr>
              <w:t xml:space="preserve">мкр</w:t>
            </w:r>
            <w:r>
              <w:rPr>
                <w:color w:val="000000"/>
                <w:sz w:val="20"/>
                <w:szCs w:val="20"/>
              </w:rPr>
              <w:t xml:space="preserve">. Новые </w:t>
            </w:r>
            <w:r>
              <w:rPr>
                <w:color w:val="000000"/>
                <w:sz w:val="20"/>
                <w:szCs w:val="20"/>
              </w:rPr>
              <w:t xml:space="preserve">Ляды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  <w:tblHeader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ind w:left="-113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Норматив допустимого сброса загрязняющих веществ (далее – НДС ЗВ)</w:t>
            </w:r>
            <w:r>
              <w:rPr>
                <w:rFonts w:asciiTheme="minorHAnsi" w:hAnsiTheme="minorHAnsi" w:cstheme="minorHAnsi"/>
                <w:vertAlign w:val="superscript"/>
              </w:rPr>
              <w:footnoteRef/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Эффективность удаления загрязняющих веществ, %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НДС ЗВ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6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Эффективность удаления загрязняющих веществ, %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34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Химическое потребление кислорода (далее – ХПК), мг/куб. </w:t>
            </w:r>
            <w:r>
              <w:rPr>
                <w:sz w:val="20"/>
                <w:szCs w:val="20"/>
              </w:rPr>
              <w:t xml:space="preserve">дм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43,90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94,84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64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93,10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34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Биологическое потребление кислорода (далее – </w:t>
            </w:r>
            <w:r>
              <w:rPr>
                <w:sz w:val="20"/>
                <w:szCs w:val="20"/>
              </w:rPr>
              <w:t xml:space="preserve">БПКп</w:t>
            </w:r>
            <w:r>
              <w:rPr>
                <w:sz w:val="20"/>
                <w:szCs w:val="20"/>
              </w:rPr>
              <w:t xml:space="preserve">), мг/куб. </w:t>
            </w:r>
            <w:r>
              <w:rPr>
                <w:sz w:val="20"/>
                <w:szCs w:val="20"/>
              </w:rPr>
              <w:t xml:space="preserve">дм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17,55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97,18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64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98,98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34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ind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Взвешенные вещества, мг/куб. </w:t>
            </w:r>
            <w:r>
              <w:rPr>
                <w:sz w:val="20"/>
                <w:szCs w:val="20"/>
              </w:rPr>
              <w:t xml:space="preserve">дм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9,29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97,66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6,15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64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97,11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34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Сухой остаток, мг/куб. </w:t>
            </w:r>
            <w:r>
              <w:rPr>
                <w:sz w:val="20"/>
                <w:szCs w:val="20"/>
              </w:rPr>
              <w:t xml:space="preserve">дм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1 532,70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5,71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64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20,45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34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Аммоний ион, мг/куб. </w:t>
            </w:r>
            <w:r>
              <w:rPr>
                <w:sz w:val="20"/>
                <w:szCs w:val="20"/>
              </w:rPr>
              <w:t xml:space="preserve">дм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1,79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97,51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64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99,35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34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Нитрит – ионы, мг/куб. </w:t>
            </w:r>
            <w:r>
              <w:rPr>
                <w:sz w:val="20"/>
                <w:szCs w:val="20"/>
              </w:rPr>
              <w:t xml:space="preserve">дм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64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34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Нитрат – ионы, мг/куб. </w:t>
            </w:r>
            <w:r>
              <w:rPr>
                <w:sz w:val="20"/>
                <w:szCs w:val="20"/>
              </w:rPr>
              <w:t xml:space="preserve">дм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123,50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64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34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Фосфат – ионы (Р), мг/куб. </w:t>
            </w:r>
            <w:r>
              <w:rPr>
                <w:sz w:val="20"/>
                <w:szCs w:val="20"/>
              </w:rPr>
              <w:t xml:space="preserve">дм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2,74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87,85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64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98,64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34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Сульфаты – ионы, мг/куб. </w:t>
            </w:r>
            <w:r>
              <w:rPr>
                <w:sz w:val="20"/>
                <w:szCs w:val="20"/>
              </w:rPr>
              <w:t xml:space="preserve">дм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429,00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-13,42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64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60,61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34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Хлорид – ионы, мг/куб. </w:t>
            </w:r>
            <w:r>
              <w:rPr>
                <w:sz w:val="20"/>
                <w:szCs w:val="20"/>
              </w:rPr>
              <w:t xml:space="preserve">дм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11,94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64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4,17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34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Нефтепродукты, мг/куб. </w:t>
            </w:r>
            <w:r>
              <w:rPr>
                <w:sz w:val="20"/>
                <w:szCs w:val="20"/>
              </w:rPr>
              <w:t xml:space="preserve">дм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97,88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64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96,21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34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Фенолы (летучие), мг/куб. </w:t>
            </w:r>
            <w:r>
              <w:rPr>
                <w:sz w:val="20"/>
                <w:szCs w:val="20"/>
              </w:rPr>
              <w:t xml:space="preserve">дм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99,62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64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96,5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34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Анионные поверхностно-активные вещества (АПАВ), мг/куб. </w:t>
            </w:r>
            <w:r>
              <w:rPr>
                <w:sz w:val="20"/>
                <w:szCs w:val="20"/>
              </w:rPr>
              <w:t xml:space="preserve">дм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0,70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97,10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64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96,80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34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Неионогенные поверхностно-активные вещества (НПАВ),</w:t>
            </w:r>
            <w:r>
              <w:rPr>
                <w:sz w:val="20"/>
                <w:szCs w:val="20"/>
              </w:rPr>
            </w:r>
          </w:p>
          <w:p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мг/куб. </w:t>
            </w:r>
            <w:r>
              <w:rPr>
                <w:sz w:val="20"/>
                <w:szCs w:val="20"/>
              </w:rPr>
              <w:t xml:space="preserve">дм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94,39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64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34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Железо, мг/куб. </w:t>
            </w:r>
            <w:r>
              <w:rPr>
                <w:sz w:val="20"/>
                <w:szCs w:val="20"/>
              </w:rPr>
              <w:t xml:space="preserve">дм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63,79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64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92,74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34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Медь, мг/куб. </w:t>
            </w:r>
            <w:r>
              <w:rPr>
                <w:sz w:val="20"/>
                <w:szCs w:val="20"/>
              </w:rPr>
              <w:t xml:space="preserve">дм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52,50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64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34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Цинк, мг/куб. </w:t>
            </w:r>
            <w:r>
              <w:rPr>
                <w:sz w:val="20"/>
                <w:szCs w:val="20"/>
              </w:rPr>
              <w:t xml:space="preserve">дм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64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34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Никель, мг/куб. </w:t>
            </w:r>
            <w:r>
              <w:rPr>
                <w:sz w:val="20"/>
                <w:szCs w:val="20"/>
              </w:rPr>
              <w:t xml:space="preserve">дм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64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34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Свинец, мг/куб. </w:t>
            </w:r>
            <w:r>
              <w:rPr>
                <w:sz w:val="20"/>
                <w:szCs w:val="20"/>
              </w:rPr>
              <w:t xml:space="preserve">дм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64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34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Алюминий, мг/куб. </w:t>
            </w:r>
            <w:r>
              <w:rPr>
                <w:sz w:val="20"/>
                <w:szCs w:val="20"/>
              </w:rPr>
              <w:t xml:space="preserve">дм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68,50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64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34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2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Кобальт, мг/куб. </w:t>
            </w:r>
            <w:r>
              <w:rPr>
                <w:sz w:val="20"/>
                <w:szCs w:val="20"/>
              </w:rPr>
              <w:t xml:space="preserve">дм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64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</w:r>
      <w:r>
        <w:rPr>
          <w:rFonts w:asciiTheme="minorHAnsi" w:hAnsiTheme="minorHAnsi" w:cstheme="minorHAnsi"/>
          <w:i/>
          <w:iCs/>
          <w:sz w:val="20"/>
          <w:szCs w:val="20"/>
        </w:rPr>
      </w:r>
    </w:p>
    <w:p>
      <w:pPr>
        <w:pStyle w:val="1570"/>
        <w:rPr>
          <w:rFonts w:asciiTheme="minorHAnsi" w:hAnsiTheme="minorHAnsi" w:cstheme="minorHAnsi"/>
          <w:i/>
          <w:iCs w:val="0"/>
          <w:sz w:val="28"/>
          <w:szCs w:val="28"/>
        </w:rPr>
      </w:pPr>
      <w:r>
        <w:rPr>
          <w:rFonts w:asciiTheme="minorHAnsi" w:hAnsiTheme="minorHAnsi" w:cstheme="minorHAnsi"/>
          <w:i/>
          <w:iCs w:val="0"/>
          <w:sz w:val="28"/>
          <w:szCs w:val="28"/>
        </w:rPr>
        <w:t xml:space="preserve">---------------------------</w:t>
      </w:r>
      <w:r>
        <w:rPr>
          <w:rFonts w:asciiTheme="minorHAnsi" w:hAnsiTheme="minorHAnsi" w:cstheme="minorHAnsi"/>
          <w:i/>
          <w:iCs w:val="0"/>
          <w:sz w:val="28"/>
          <w:szCs w:val="28"/>
        </w:rPr>
      </w:r>
    </w:p>
    <w:p>
      <w:pPr>
        <w:ind w:firstLine="709"/>
        <w:jc w:val="both"/>
        <w:rPr>
          <w:lang w:eastAsia="en-US"/>
        </w:rPr>
      </w:pPr>
      <w:r>
        <w:rPr>
          <w:rFonts w:asciiTheme="minorHAnsi" w:hAnsiTheme="minorHAnsi" w:cstheme="minorHAnsi"/>
        </w:rPr>
        <w:t xml:space="preserve">1. Разрешение на сбросы веществ (за исключением радиоактивных веществ) и микроорганизмов в водные объекты от 09.02.2023 № 03-02-0596, </w:t>
      </w:r>
      <w:r>
        <w:t xml:space="preserve">выданное </w:t>
      </w:r>
      <w:r>
        <w:t xml:space="preserve">Западно-Уральским</w:t>
      </w:r>
      <w:r>
        <w:t xml:space="preserve"> межрегиональном управлением </w:t>
      </w:r>
      <w:r>
        <w:t xml:space="preserve">Росприроднадзора</w:t>
      </w:r>
      <w:r>
        <w:rPr>
          <w:rFonts w:asciiTheme="minorHAnsi" w:hAnsiTheme="minorHAnsi" w:cstheme="minorHAnsi"/>
        </w:rPr>
        <w:t xml:space="preserve">.</w:t>
      </w:r>
      <w:r>
        <w:rPr>
          <w:lang w:eastAsia="en-US"/>
        </w:rPr>
      </w:r>
    </w:p>
    <w:p>
      <w:pPr>
        <w:pStyle w:val="1570"/>
        <w:rPr>
          <w:iCs w:val="0"/>
          <w:szCs w:val="24"/>
        </w:rPr>
      </w:pPr>
      <w:r>
        <w:rPr>
          <w:rFonts w:asciiTheme="minorHAnsi" w:hAnsiTheme="minorHAnsi" w:cstheme="minorHAnsi"/>
          <w:iCs w:val="0"/>
          <w:szCs w:val="24"/>
        </w:rPr>
        <w:t xml:space="preserve">2. </w:t>
      </w:r>
      <w:r>
        <w:rPr>
          <w:iCs w:val="0"/>
          <w:szCs w:val="24"/>
        </w:rPr>
        <w:t xml:space="preserve"> Декларация о воздействии на окружающую среду, поданная в </w:t>
      </w:r>
      <w:r>
        <w:rPr>
          <w:iCs w:val="0"/>
          <w:szCs w:val="24"/>
        </w:rPr>
        <w:t xml:space="preserve">Западно-Уральское</w:t>
      </w:r>
      <w:r>
        <w:rPr>
          <w:iCs w:val="0"/>
          <w:szCs w:val="24"/>
        </w:rPr>
        <w:t xml:space="preserve"> межрегиональное управление </w:t>
      </w:r>
      <w:r>
        <w:rPr>
          <w:iCs w:val="0"/>
          <w:szCs w:val="24"/>
        </w:rPr>
        <w:t xml:space="preserve">Росприроднадзора</w:t>
      </w:r>
      <w:r>
        <w:rPr>
          <w:iCs w:val="0"/>
          <w:szCs w:val="24"/>
        </w:rPr>
        <w:t xml:space="preserve"> 22.04.2021 (</w:t>
      </w:r>
      <w:r>
        <w:rPr>
          <w:iCs w:val="0"/>
          <w:szCs w:val="24"/>
        </w:rPr>
        <w:t xml:space="preserve">вх</w:t>
      </w:r>
      <w:r>
        <w:rPr>
          <w:iCs w:val="0"/>
          <w:szCs w:val="24"/>
        </w:rPr>
        <w:t xml:space="preserve">. № 6804-вх).</w:t>
      </w:r>
      <w:r>
        <w:rPr>
          <w:iCs w:val="0"/>
          <w:szCs w:val="24"/>
        </w:rPr>
      </w:r>
    </w:p>
    <w:p>
      <w:pPr>
        <w:ind w:firstLine="709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pStyle w:val="1544"/>
        <w:keepLines/>
        <w:keepNext/>
        <w:rPr>
          <w:b/>
          <w:bCs/>
          <w:sz w:val="28"/>
          <w:szCs w:val="28"/>
        </w:rPr>
      </w:pPr>
      <w:r/>
      <w:bookmarkStart w:id="135" w:name="_Toc119947466"/>
      <w:r/>
      <w:bookmarkStart w:id="136" w:name="_Toc175215980"/>
      <w:r>
        <w:rPr>
          <w:b/>
          <w:bCs/>
          <w:sz w:val="28"/>
          <w:szCs w:val="28"/>
        </w:rPr>
        <w:t xml:space="preserve">2.3.10 Тарифы, плата (тариф) за подключение (присоединение), структура себестоимости производства и транспорта ресурса</w:t>
      </w:r>
      <w:bookmarkEnd w:id="135"/>
      <w:r/>
      <w:bookmarkEnd w:id="136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540"/>
        <w:jc w:val="both"/>
        <w:spacing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сфере водоотведения на территории города Перми статусом гарантирующей организации наделены ООО «НОВОГОР-</w:t>
      </w:r>
      <w:r>
        <w:rPr>
          <w:sz w:val="28"/>
          <w:szCs w:val="28"/>
        </w:rPr>
        <w:t xml:space="preserve">Прикамье</w:t>
      </w:r>
      <w:r>
        <w:rPr>
          <w:sz w:val="28"/>
          <w:szCs w:val="28"/>
        </w:rPr>
        <w:t xml:space="preserve">», </w:t>
      </w:r>
      <w:r>
        <w:rPr>
          <w:rFonts w:asciiTheme="minorHAnsi" w:hAnsiTheme="minorHAnsi" w:cstheme="minorHAnsi"/>
          <w:sz w:val="28"/>
          <w:szCs w:val="28"/>
        </w:rPr>
        <w:t xml:space="preserve">Пермский ТУ Свердловской дирекции по ТВ ЦДТВ – филиала ОАО «РЖД»</w:t>
      </w:r>
      <w:r>
        <w:rPr>
          <w:color w:val="000000"/>
        </w:rPr>
        <w:t xml:space="preserve"> </w:t>
      </w:r>
      <w:r>
        <w:rPr>
          <w:sz w:val="28"/>
          <w:szCs w:val="28"/>
        </w:rPr>
        <w:t xml:space="preserve">и АО «Энергетик-ПМ». Также в данном муниципальном образовании в этой сфере осуществляют деятельность еще 19 регулируемых организаций. </w:t>
      </w:r>
      <w:r/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В таблице 2.20 приведены тарифы на оказание услуг водоотведения в городе Перми.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44"/>
        <w:jc w:val="right"/>
        <w:rPr>
          <w:rStyle w:val="1218"/>
          <w:b/>
          <w:bCs/>
          <w:sz w:val="28"/>
          <w:szCs w:val="28"/>
        </w:rPr>
      </w:pPr>
      <w:r/>
      <w:bookmarkStart w:id="137" w:name="_Toc175216096"/>
      <w:r>
        <w:rPr>
          <w:rStyle w:val="1218"/>
          <w:b/>
          <w:bCs/>
          <w:sz w:val="28"/>
          <w:szCs w:val="28"/>
        </w:rPr>
        <w:t xml:space="preserve">Таблица 2.20</w:t>
      </w:r>
      <w:r>
        <w:rPr>
          <w:rStyle w:val="1218"/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Тарифы на оказание услуг водоотведения</w:t>
      </w:r>
      <w:bookmarkEnd w:id="137"/>
      <w:r/>
      <w:r>
        <w:rPr>
          <w:b/>
          <w:bCs/>
          <w:sz w:val="28"/>
          <w:szCs w:val="28"/>
        </w:rPr>
      </w:r>
    </w:p>
    <w:p>
      <w:pPr>
        <w:pStyle w:val="154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45"/>
        <w:gridCol w:w="2220"/>
        <w:gridCol w:w="2463"/>
        <w:gridCol w:w="1381"/>
        <w:gridCol w:w="929"/>
        <w:gridCol w:w="770"/>
        <w:gridCol w:w="1077"/>
        <w:gridCol w:w="752"/>
      </w:tblGrid>
      <w:tr>
        <w:tblPrEx/>
        <w:trPr>
          <w:trHeight w:val="20"/>
          <w:tblHeader/>
        </w:trPr>
        <w:tc>
          <w:tcPr>
            <w:shd w:val="clear" w:color="auto" w:fill="auto"/>
            <w:tcW w:w="269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095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организации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vMerge w:val="restart"/>
            <w:textDirection w:val="lrTb"/>
            <w:noWrap w:val="false"/>
          </w:tcPr>
          <w:p>
            <w:pPr>
              <w:ind w:left="-103" w:right="-114"/>
              <w:jc w:val="center"/>
              <w:rPr>
                <w:color w:val="000000"/>
                <w:sz w:val="20"/>
                <w:szCs w:val="20"/>
              </w:rPr>
            </w:pPr>
            <w:r/>
            <w:bookmarkStart w:id="138" w:name="_Hlk166591980"/>
            <w:r>
              <w:rPr>
                <w:color w:val="000000"/>
                <w:sz w:val="20"/>
                <w:szCs w:val="20"/>
              </w:rPr>
              <w:t xml:space="preserve">Постановление Министерства тарифного регулирования и энергетики Пермского края</w:t>
            </w:r>
            <w:bookmarkEnd w:id="138"/>
            <w:r/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681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Сроки действия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838" w:type="pct"/>
            <w:textDirection w:val="lrTb"/>
            <w:noWrap w:val="false"/>
          </w:tcPr>
          <w:p>
            <w:pPr>
              <w:ind w:left="-112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Водоотведение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902" w:type="pct"/>
            <w:textDirection w:val="lrTb"/>
            <w:noWrap w:val="false"/>
          </w:tcPr>
          <w:p>
            <w:pPr>
              <w:ind w:left="-116" w:right="-11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Водоотведение (транспортировка)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  <w:tblHeader/>
        </w:trPr>
        <w:tc>
          <w:tcPr>
            <w:tcW w:w="269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95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15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81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ind w:left="-98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без НДС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ind w:left="-95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НДС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без НДС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ind w:left="-104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НДС</w:t>
            </w: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spacing w:line="48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45"/>
        <w:gridCol w:w="2220"/>
        <w:gridCol w:w="2463"/>
        <w:gridCol w:w="1381"/>
        <w:gridCol w:w="929"/>
        <w:gridCol w:w="770"/>
        <w:gridCol w:w="1077"/>
        <w:gridCol w:w="752"/>
      </w:tblGrid>
      <w:tr>
        <w:tblPrEx/>
        <w:trPr>
          <w:trHeight w:val="20"/>
          <w:tblHeader/>
        </w:trPr>
        <w:tc>
          <w:tcPr>
            <w:tcW w:w="26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9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1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8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vAlign w:val="center"/>
            <w:textDirection w:val="lrTb"/>
            <w:noWrap w:val="false"/>
          </w:tcPr>
          <w:p>
            <w:pPr>
              <w:ind w:left="-98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vAlign w:val="center"/>
            <w:textDirection w:val="lrTb"/>
            <w:noWrap w:val="false"/>
          </w:tcPr>
          <w:p>
            <w:pPr>
              <w:ind w:left="-95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vAlign w:val="center"/>
            <w:textDirection w:val="lrTb"/>
            <w:noWrap w:val="false"/>
          </w:tcPr>
          <w:p>
            <w:pPr>
              <w:ind w:left="-104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8"/>
            <w:shd w:val="clear" w:color="auto" w:fill="auto"/>
            <w:tcW w:w="5000" w:type="pct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Организации водоотведения, наделенные статусом «гарантирующая»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000000" w:fill="ffffff"/>
            <w:tcW w:w="26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7"/>
            <w:shd w:val="clear" w:color="000000" w:fill="ffffff"/>
            <w:tcW w:w="4731" w:type="pct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«НОВОГОР-</w:t>
            </w:r>
            <w:r>
              <w:rPr>
                <w:color w:val="000000"/>
                <w:sz w:val="20"/>
                <w:szCs w:val="20"/>
              </w:rPr>
              <w:t xml:space="preserve">Прикамье</w:t>
            </w:r>
            <w:r>
              <w:rPr>
                <w:color w:val="000000"/>
                <w:sz w:val="20"/>
                <w:szCs w:val="20"/>
              </w:rPr>
              <w:t xml:space="preserve">» 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000000" w:fill="ffffff"/>
            <w:tcW w:w="269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095" w:type="pct"/>
            <w:textDirection w:val="lrTb"/>
            <w:noWrap w:val="false"/>
          </w:tcPr>
          <w:p>
            <w:pPr>
              <w:ind w:left="93" w:right="-1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население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93" w:right="-1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(Пермский ГО)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  <w:lang w:val="en-US"/>
              </w:rPr>
            </w:pPr>
            <w:r/>
            <w:bookmarkStart w:id="139" w:name="_Hlk166591984"/>
            <w:r>
              <w:rPr>
                <w:color w:val="000000"/>
                <w:sz w:val="20"/>
                <w:szCs w:val="20"/>
              </w:rPr>
              <w:t xml:space="preserve">от 20.12.2021 № 350-в</w:t>
            </w:r>
            <w:bookmarkEnd w:id="139"/>
            <w:r/>
            <w:r>
              <w:rPr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01.01.2020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30.06.2020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380" w:type="pct"/>
            <w:textDirection w:val="lrTb"/>
            <w:noWrap w:val="false"/>
          </w:tcPr>
          <w:p>
            <w:pPr>
              <w:ind w:left="-103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23,14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000000" w:fill="ffffff"/>
            <w:tcW w:w="269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095" w:type="pct"/>
            <w:textDirection w:val="lrTb"/>
            <w:noWrap w:val="false"/>
          </w:tcPr>
          <w:p>
            <w:pPr>
              <w:ind w:left="93" w:right="-1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93" w:right="-1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(Пермский ГО)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20.12.2021 № 350-в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01.01.2020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30.06.2020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31,23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380" w:type="pct"/>
            <w:textDirection w:val="lrTb"/>
            <w:noWrap w:val="false"/>
          </w:tcPr>
          <w:p>
            <w:pPr>
              <w:ind w:left="-103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000000" w:fill="ffffff"/>
            <w:tcW w:w="269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095" w:type="pct"/>
            <w:textDirection w:val="lrTb"/>
            <w:noWrap w:val="false"/>
          </w:tcPr>
          <w:p>
            <w:pPr>
              <w:ind w:left="93" w:right="-1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население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93" w:right="-1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(Пермский ГО)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20.12.2021 № 350-в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01.07.2020 по 31.12.2020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380" w:type="pct"/>
            <w:textDirection w:val="lrTb"/>
            <w:noWrap w:val="false"/>
          </w:tcPr>
          <w:p>
            <w:pPr>
              <w:ind w:left="-103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24,82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000000" w:fill="ffffff"/>
            <w:tcW w:w="269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095" w:type="pct"/>
            <w:textDirection w:val="lrTb"/>
            <w:noWrap w:val="false"/>
          </w:tcPr>
          <w:p>
            <w:pPr>
              <w:ind w:left="93" w:right="-1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93" w:right="-1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(Пермский ГО)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20.12.2021 № 350-в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01.07.2020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31.12.2020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36,58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380" w:type="pct"/>
            <w:textDirection w:val="lrTb"/>
            <w:noWrap w:val="false"/>
          </w:tcPr>
          <w:p>
            <w:pPr>
              <w:ind w:left="-103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000000" w:fill="ffffff"/>
            <w:tcW w:w="269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095" w:type="pct"/>
            <w:textDirection w:val="lrTb"/>
            <w:noWrap w:val="false"/>
          </w:tcPr>
          <w:p>
            <w:pPr>
              <w:ind w:left="93" w:right="-1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население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93" w:right="-1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(Пермский ГО)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20.12.2021 № 350-в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01.01.2021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30.06.2021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380" w:type="pct"/>
            <w:textDirection w:val="lrTb"/>
            <w:noWrap w:val="false"/>
          </w:tcPr>
          <w:p>
            <w:pPr>
              <w:ind w:left="-103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24,82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000000" w:fill="ffffff"/>
            <w:tcW w:w="269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095" w:type="pct"/>
            <w:textDirection w:val="lrTb"/>
            <w:noWrap w:val="false"/>
          </w:tcPr>
          <w:p>
            <w:pPr>
              <w:ind w:left="93" w:right="-1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93" w:right="-1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(Пермский ГО)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20.12.2021 № 350-в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01.01.2021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30.06.2021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36,58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380" w:type="pct"/>
            <w:textDirection w:val="lrTb"/>
            <w:noWrap w:val="false"/>
          </w:tcPr>
          <w:p>
            <w:pPr>
              <w:ind w:left="-103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000000" w:fill="ffffff"/>
            <w:tcW w:w="269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095" w:type="pct"/>
            <w:textDirection w:val="lrTb"/>
            <w:noWrap w:val="false"/>
          </w:tcPr>
          <w:p>
            <w:pPr>
              <w:ind w:left="93" w:right="-1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население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93" w:right="-1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(Пермский ГО)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20.12.2021 № 350-в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01.07.2021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31.12.2021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380" w:type="pct"/>
            <w:textDirection w:val="lrTb"/>
            <w:noWrap w:val="false"/>
          </w:tcPr>
          <w:p>
            <w:pPr>
              <w:ind w:left="-103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27,14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000000" w:fill="ffffff"/>
            <w:tcW w:w="269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095" w:type="pct"/>
            <w:textDirection w:val="lrTb"/>
            <w:noWrap w:val="false"/>
          </w:tcPr>
          <w:p>
            <w:pPr>
              <w:ind w:left="93" w:right="-1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93" w:right="-1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(Пермский ГО)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20.12.2021 № 350-в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01.07.2021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31.12.2021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41,28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380" w:type="pct"/>
            <w:textDirection w:val="lrTb"/>
            <w:noWrap w:val="false"/>
          </w:tcPr>
          <w:p>
            <w:pPr>
              <w:ind w:left="-103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000000" w:fill="ffffff"/>
            <w:tcW w:w="269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095" w:type="pct"/>
            <w:textDirection w:val="lrTb"/>
            <w:noWrap w:val="false"/>
          </w:tcPr>
          <w:p>
            <w:pPr>
              <w:ind w:left="93" w:right="-1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население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93" w:right="-1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(Пермский ГО)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  <w:lang w:val="en-US"/>
              </w:rPr>
            </w:pPr>
            <w:r/>
            <w:bookmarkStart w:id="140" w:name="_Hlk166591997"/>
            <w:r>
              <w:rPr>
                <w:color w:val="000000"/>
                <w:sz w:val="20"/>
                <w:szCs w:val="20"/>
              </w:rPr>
              <w:t xml:space="preserve">от 06.12.2023 № 300-в</w:t>
            </w:r>
            <w:bookmarkEnd w:id="140"/>
            <w:r/>
            <w:r>
              <w:rPr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01.12.2022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31.12.2023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380" w:type="pct"/>
            <w:textDirection w:val="lrTb"/>
            <w:noWrap w:val="false"/>
          </w:tcPr>
          <w:p>
            <w:pPr>
              <w:ind w:left="-103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31,67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000000" w:fill="ffffff"/>
            <w:tcW w:w="269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095" w:type="pct"/>
            <w:textDirection w:val="lrTb"/>
            <w:noWrap w:val="false"/>
          </w:tcPr>
          <w:p>
            <w:pPr>
              <w:ind w:left="93" w:right="-1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93" w:right="-1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(Пермский ГО)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06.12.2023 № 300-в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01.12.2022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31.12.2023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48,96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380" w:type="pct"/>
            <w:textDirection w:val="lrTb"/>
            <w:noWrap w:val="false"/>
          </w:tcPr>
          <w:p>
            <w:pPr>
              <w:ind w:left="-103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000000" w:fill="ffffff"/>
            <w:tcW w:w="269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095" w:type="pct"/>
            <w:textDirection w:val="lrTb"/>
            <w:noWrap w:val="false"/>
          </w:tcPr>
          <w:p>
            <w:pPr>
              <w:ind w:left="93" w:right="-1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население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93" w:right="-1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(Пермский ГО)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06.12.2023 № 300-в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01.01.2024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30.06.2024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380" w:type="pct"/>
            <w:textDirection w:val="lrTb"/>
            <w:noWrap w:val="false"/>
          </w:tcPr>
          <w:p>
            <w:pPr>
              <w:ind w:left="-103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31,67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000000" w:fill="ffffff"/>
            <w:tcW w:w="269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095" w:type="pct"/>
            <w:textDirection w:val="lrTb"/>
            <w:noWrap w:val="false"/>
          </w:tcPr>
          <w:p>
            <w:pPr>
              <w:ind w:left="93" w:right="-1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93" w:right="-1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(Пермский ГО)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06.12.2023 № 300-в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01.01.2024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30.06.2024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48,96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380" w:type="pct"/>
            <w:textDirection w:val="lrTb"/>
            <w:noWrap w:val="false"/>
          </w:tcPr>
          <w:p>
            <w:pPr>
              <w:ind w:left="-103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000000" w:fill="ffffff"/>
            <w:tcW w:w="269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095" w:type="pct"/>
            <w:textDirection w:val="lrTb"/>
            <w:noWrap w:val="false"/>
          </w:tcPr>
          <w:p>
            <w:pPr>
              <w:ind w:left="93" w:right="-1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население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93" w:right="-1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(Пермский ГО)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06.12.2023 № 300-в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01.07.2024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31.12.2024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380" w:type="pct"/>
            <w:textDirection w:val="lrTb"/>
            <w:noWrap w:val="false"/>
          </w:tcPr>
          <w:p>
            <w:pPr>
              <w:ind w:left="-103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36,45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000000" w:fill="ffffff"/>
            <w:tcW w:w="269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095" w:type="pct"/>
            <w:textDirection w:val="lrTb"/>
            <w:noWrap w:val="false"/>
          </w:tcPr>
          <w:p>
            <w:pPr>
              <w:ind w:left="93" w:right="-1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93" w:right="-1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(Пермский ГО)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06.12.2023 № 300-в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01.07.2024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31.12.2024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50,76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380" w:type="pct"/>
            <w:textDirection w:val="lrTb"/>
            <w:noWrap w:val="false"/>
          </w:tcPr>
          <w:p>
            <w:pPr>
              <w:ind w:left="-103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000000" w:fill="ffffff"/>
            <w:tcW w:w="269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1095" w:type="pct"/>
            <w:vMerge w:val="restart"/>
            <w:textDirection w:val="lrTb"/>
            <w:noWrap w:val="false"/>
          </w:tcPr>
          <w:p>
            <w:pPr>
              <w:ind w:right="-1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АО «Энергетик-ПМ»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от 01.12.2023 № 288-в</w:t>
            </w:r>
            <w:r>
              <w:rPr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17.10.2023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31.12.2023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54,48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ind w:left="-103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95" w:type="pct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darkRed"/>
                <w:lang w:val="en-US"/>
              </w:rPr>
            </w:pPr>
            <w:r/>
            <w:bookmarkStart w:id="141" w:name="_Hlk166592031"/>
            <w:r>
              <w:rPr>
                <w:color w:val="000000"/>
                <w:sz w:val="20"/>
                <w:szCs w:val="20"/>
              </w:rPr>
              <w:t xml:space="preserve">от 06.12.2023 № 315-в</w:t>
            </w:r>
            <w:bookmarkEnd w:id="141"/>
            <w:r/>
            <w:r>
              <w:rPr>
                <w:color w:val="000000"/>
                <w:sz w:val="20"/>
                <w:szCs w:val="20"/>
                <w:highlight w:val="darkRed"/>
                <w:lang w:val="en-US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01.01.2024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30.06.2024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54,48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ind w:left="-103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50"/>
        </w:trPr>
        <w:tc>
          <w:tcPr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95" w:type="pct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06.12.2023 № 315-в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01.07.2024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31.12.2024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60,81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ind w:left="-103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8"/>
            <w:shd w:val="clear" w:color="auto" w:fill="auto"/>
            <w:tcW w:w="5000" w:type="pct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Организации водоотведения, осуществляющие регулируемую деятельность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000000" w:fill="ffffff"/>
            <w:tcW w:w="269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1095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АО «</w:t>
            </w:r>
            <w:r>
              <w:rPr>
                <w:color w:val="000000"/>
                <w:sz w:val="20"/>
                <w:szCs w:val="20"/>
              </w:rPr>
              <w:t xml:space="preserve">Новомет</w:t>
            </w:r>
            <w:r>
              <w:rPr>
                <w:color w:val="000000"/>
                <w:sz w:val="20"/>
                <w:szCs w:val="20"/>
              </w:rPr>
              <w:t xml:space="preserve">-Пермь»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/>
            <w:bookmarkStart w:id="142" w:name="_Hlk166592039"/>
            <w:r>
              <w:rPr>
                <w:color w:val="000000"/>
                <w:sz w:val="20"/>
                <w:szCs w:val="20"/>
              </w:rPr>
              <w:t xml:space="preserve">от 30.09.2020 № 127-в</w:t>
            </w:r>
            <w:bookmarkEnd w:id="142"/>
            <w:r/>
            <w:r>
              <w:rPr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01.01.2020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30.06.2020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33,83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40,6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95" w:type="pct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30.09.2020 № 127-в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01.07.2020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31.12.2020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34,5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41,4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95" w:type="pct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30.09.2020 № 127-в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01.01.2021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30.06.2021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34,5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41,4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95" w:type="pct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30.09.2020 № 127-в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01.07.2021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31.12.2021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35,6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42,72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95" w:type="pct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/>
            <w:bookmarkStart w:id="143" w:name="_Hlk166592045"/>
            <w:r>
              <w:rPr>
                <w:color w:val="000000"/>
                <w:sz w:val="20"/>
                <w:szCs w:val="20"/>
              </w:rPr>
              <w:t xml:space="preserve">от 20.11.2021 № 352-в</w:t>
            </w:r>
            <w:bookmarkEnd w:id="143"/>
            <w:r/>
            <w:r>
              <w:rPr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01.01.2022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30.06.2022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35,6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42,72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95" w:type="pct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20.11.2021 № 352-в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01.07.2022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30.11.2022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37,21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44,65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95" w:type="pct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/>
            <w:bookmarkStart w:id="144" w:name="_Hlk166592052"/>
            <w:r>
              <w:rPr>
                <w:color w:val="000000"/>
                <w:sz w:val="20"/>
                <w:szCs w:val="20"/>
              </w:rPr>
              <w:t xml:space="preserve">от 19.11.2022 № 186-в</w:t>
            </w:r>
            <w:bookmarkEnd w:id="144"/>
            <w:r/>
            <w:r>
              <w:rPr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01.12.2022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31.12.2023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42,05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50,46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95" w:type="pct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/>
            <w:bookmarkStart w:id="145" w:name="_Hlk166592059"/>
            <w:r>
              <w:rPr>
                <w:color w:val="000000"/>
                <w:sz w:val="20"/>
                <w:szCs w:val="20"/>
              </w:rPr>
              <w:t xml:space="preserve">от 06.12.2023 № 335-</w:t>
            </w:r>
            <w:bookmarkEnd w:id="145"/>
            <w:r/>
            <w:r>
              <w:rPr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01.01.2024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30.06.2024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42,05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50,46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95" w:type="pct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06.12.2023 № 335-в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01.07.2024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31.12.2024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50,23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60,28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000000" w:fill="ffffff"/>
            <w:tcW w:w="26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7"/>
            <w:shd w:val="clear" w:color="000000" w:fill="ffffff"/>
            <w:tcW w:w="4731" w:type="pct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МП «</w:t>
            </w:r>
            <w:r>
              <w:rPr>
                <w:color w:val="000000"/>
                <w:sz w:val="20"/>
                <w:szCs w:val="20"/>
              </w:rPr>
              <w:t xml:space="preserve">Пермводоканал</w:t>
            </w:r>
            <w:r>
              <w:rPr>
                <w:color w:val="000000"/>
                <w:sz w:val="20"/>
                <w:szCs w:val="20"/>
              </w:rPr>
              <w:t xml:space="preserve">» 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000000" w:fill="ffffff"/>
            <w:tcW w:w="269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095" w:type="pct"/>
            <w:vMerge w:val="restar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Индустриальный район г. Перми (ул. Промышленная)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  <w:lang w:val="en-US"/>
              </w:rPr>
            </w:pPr>
            <w:r/>
            <w:bookmarkStart w:id="146" w:name="_Hlk166592065"/>
            <w:r>
              <w:rPr>
                <w:color w:val="000000"/>
                <w:sz w:val="20"/>
                <w:szCs w:val="20"/>
              </w:rPr>
              <w:t xml:space="preserve">от 06.12.2023 № 302-в</w:t>
            </w:r>
            <w:bookmarkEnd w:id="146"/>
            <w:r/>
            <w:r>
              <w:rPr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01.12.2022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31.12.2023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51,95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000000" w:fill="ffffff"/>
            <w:tcW w:w="269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95" w:type="pct"/>
            <w:vMerge w:val="continue"/>
            <w:textDirection w:val="lrTb"/>
            <w:noWrap w:val="false"/>
          </w:tcPr>
          <w:p>
            <w:pPr>
              <w:ind w:left="9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06.12.2023 № 302-в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01.01.2024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30.06.2024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51,95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000000" w:fill="ffffff"/>
            <w:tcW w:w="269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95" w:type="pct"/>
            <w:vMerge w:val="continue"/>
            <w:textDirection w:val="lrTb"/>
            <w:noWrap w:val="false"/>
          </w:tcPr>
          <w:p>
            <w:pPr>
              <w:ind w:left="9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06.12.2023 № 302-в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01.07.2024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31.12.2024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56,8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000000" w:fill="ffffff"/>
            <w:tcW w:w="269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095" w:type="pct"/>
            <w:vMerge w:val="restar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Очистка стоков в микрорайоне Крым Кировского района г. Перми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06.12.2023 № 302-в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01.12.2022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31.12.2023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23,55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000000" w:fill="ffffff"/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95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06.12.2023 № 302-в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01.01.2024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30.06.2024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23,55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000000" w:fill="ffffff"/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95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06.12.2023 № 302-в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01.07.2024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31.12.2024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26,11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000000" w:fill="ffffff"/>
            <w:tcW w:w="269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1095" w:type="pct"/>
            <w:vMerge w:val="restar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АО «ПЗ «Машиностроитель»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  <w:lang w:val="en-US"/>
              </w:rPr>
            </w:pPr>
            <w:r/>
            <w:bookmarkStart w:id="147" w:name="_Hlk166592073"/>
            <w:r>
              <w:rPr>
                <w:color w:val="000000"/>
                <w:sz w:val="20"/>
                <w:szCs w:val="20"/>
              </w:rPr>
              <w:t xml:space="preserve">от 06.12.2023 № 298-в</w:t>
            </w:r>
            <w:bookmarkEnd w:id="147"/>
            <w:r/>
            <w:r>
              <w:rPr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01.12.2022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31.12.2023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46,16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9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95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06.12.2023 № 298-в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01.01.2024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30.06.2024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46,16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9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95" w:type="pct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06.12.2023 № 298-в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01.07.2024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31.12.2024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58,32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000000" w:fill="ffffff"/>
            <w:tcW w:w="269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1095" w:type="pct"/>
            <w:vMerge w:val="restar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Пермский ТУ Свердловской дирекции по ТВ ЦДТВ – филиала ОАО «РЖД»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  <w:lang w:val="en-US"/>
              </w:rPr>
            </w:pPr>
            <w:r/>
            <w:bookmarkStart w:id="148" w:name="_Hlk166592079"/>
            <w:r>
              <w:rPr>
                <w:color w:val="000000"/>
                <w:sz w:val="20"/>
                <w:szCs w:val="20"/>
              </w:rPr>
              <w:t xml:space="preserve">от 31.05.2023 № 32-в</w:t>
            </w:r>
            <w:bookmarkEnd w:id="148"/>
            <w:r/>
            <w:r>
              <w:rPr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01.01.2020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30.06.2020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34,66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95" w:type="pct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31.05.2023 № 32-в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01.07.2020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31.12.2020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35,69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95" w:type="pct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31.05.2023 № 32-в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01.01.2021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30.06.2021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35,69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95" w:type="pct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31.05.2023 № 32-в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01.07.2021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31.12.2021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36,17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95" w:type="pct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31.05.2023 № 32-в, </w:t>
            </w:r>
            <w:bookmarkStart w:id="149" w:name="_Hlk166592088"/>
            <w:r/>
            <w:r>
              <w:rPr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от 03.12.2021 № 263-в</w:t>
            </w:r>
            <w:bookmarkEnd w:id="149"/>
            <w:r/>
            <w:r>
              <w:rPr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01.01.2022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30.06.2022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36,17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1,68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95" w:type="pct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31.05.2023 № 32-в,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03.12.2021 № 263-в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01.07.2022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30.11.2022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49,99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1,68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95" w:type="pct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/>
            <w:bookmarkStart w:id="150" w:name="_Hlk166592100"/>
            <w:r>
              <w:rPr>
                <w:color w:val="000000"/>
                <w:sz w:val="20"/>
                <w:szCs w:val="20"/>
              </w:rPr>
              <w:t xml:space="preserve">от 06.12.2023 № 313-в</w:t>
            </w:r>
            <w:bookmarkEnd w:id="150"/>
            <w:r>
              <w:rPr>
                <w:color w:val="000000"/>
                <w:sz w:val="20"/>
                <w:szCs w:val="20"/>
              </w:rPr>
              <w:t xml:space="preserve">, </w:t>
            </w:r>
            <w:bookmarkStart w:id="151" w:name="_Hlk166592111"/>
            <w:r/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от 24.11.2022 № 288-в</w:t>
            </w:r>
            <w:bookmarkEnd w:id="151"/>
            <w:r/>
            <w:r>
              <w:rPr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01.12.2022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31.12.2023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51,17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60,4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1,97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95" w:type="pct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от 06.12.2023 № 313-в</w:t>
            </w:r>
            <w:r>
              <w:rPr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01.01.2024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30.06.2024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51,17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60,4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95" w:type="pct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06.12.2023 № 313-в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01.07.2024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31.12.2024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53,71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64,45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000000" w:fill="ffffff"/>
            <w:tcW w:w="269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1095" w:type="pct"/>
            <w:vMerge w:val="restar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«</w:t>
            </w:r>
            <w:r>
              <w:rPr>
                <w:color w:val="000000"/>
                <w:sz w:val="20"/>
                <w:szCs w:val="20"/>
              </w:rPr>
              <w:t xml:space="preserve">Тепло-М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  <w:lang w:val="en-US"/>
              </w:rPr>
            </w:pPr>
            <w:r/>
            <w:bookmarkStart w:id="152" w:name="_Hlk166592134"/>
            <w:r>
              <w:rPr>
                <w:color w:val="000000"/>
                <w:sz w:val="20"/>
                <w:szCs w:val="20"/>
              </w:rPr>
              <w:t xml:space="preserve">от 19.11.2022 № 182-в</w:t>
            </w:r>
            <w:bookmarkEnd w:id="152"/>
            <w:r/>
            <w:r>
              <w:rPr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01.12.2022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31.12.2023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57,43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9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95" w:type="pct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  <w:lang w:val="en-US"/>
              </w:rPr>
            </w:pPr>
            <w:r/>
            <w:bookmarkStart w:id="153" w:name="_Hlk166592139"/>
            <w:r>
              <w:rPr>
                <w:color w:val="000000"/>
                <w:sz w:val="20"/>
                <w:szCs w:val="20"/>
              </w:rPr>
              <w:t xml:space="preserve">от 06.12.2023 № 336-в</w:t>
            </w:r>
            <w:bookmarkEnd w:id="153"/>
            <w:r/>
            <w:r>
              <w:rPr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01.01.2024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30.06.2024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57,43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9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95" w:type="pct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06.12.2023 № 336-в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01.07.2024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31.12.2024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58,16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6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7"/>
            <w:shd w:val="clear" w:color="000000" w:fill="ffffff"/>
            <w:tcBorders>
              <w:bottom w:val="single" w:color="auto" w:sz="4" w:space="0"/>
            </w:tcBorders>
            <w:tcW w:w="4731" w:type="pct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Филиал «Пермский» ПАО «Т Плюс» 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69" w:type="pct"/>
            <w:textDirection w:val="lrTb"/>
            <w:noWrap w:val="false"/>
          </w:tcPr>
          <w:p>
            <w:pPr>
              <w:ind w:right="-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8.1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095" w:type="pct"/>
            <w:textDirection w:val="lrTb"/>
            <w:noWrap w:val="false"/>
          </w:tcPr>
          <w:p>
            <w:pPr>
              <w:ind w:left="9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ПТЭЦ-6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  <w:lang w:val="en-US"/>
              </w:rPr>
            </w:pPr>
            <w:r/>
            <w:bookmarkStart w:id="154" w:name="_Hlk166592144"/>
            <w:r>
              <w:rPr>
                <w:color w:val="000000"/>
                <w:sz w:val="20"/>
                <w:szCs w:val="20"/>
              </w:rPr>
              <w:t xml:space="preserve">от 06.12.2023 № 306-в</w:t>
            </w:r>
            <w:bookmarkEnd w:id="154"/>
            <w:r/>
            <w:r>
              <w:rPr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01.01.2024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30.06.2024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1,89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69" w:type="pct"/>
            <w:textDirection w:val="lrTb"/>
            <w:noWrap w:val="false"/>
          </w:tcPr>
          <w:p>
            <w:pPr>
              <w:ind w:right="-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8.2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095" w:type="pct"/>
            <w:textDirection w:val="lrTb"/>
            <w:noWrap w:val="false"/>
          </w:tcPr>
          <w:p>
            <w:pPr>
              <w:ind w:left="9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ПТЭЦ-9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06.12.2023 № 306-в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01.01.2024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30.06.2024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2,39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69" w:type="pct"/>
            <w:textDirection w:val="lrTb"/>
            <w:noWrap w:val="false"/>
          </w:tcPr>
          <w:p>
            <w:pPr>
              <w:ind w:right="-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8.3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095" w:type="pct"/>
            <w:textDirection w:val="lrTb"/>
            <w:noWrap w:val="false"/>
          </w:tcPr>
          <w:p>
            <w:pPr>
              <w:ind w:left="9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ПТЭЦ-6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06.12.2023 № 306-в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01.07.2024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31.12.2024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2,12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69" w:type="pct"/>
            <w:textDirection w:val="lrTb"/>
            <w:noWrap w:val="false"/>
          </w:tcPr>
          <w:p>
            <w:pPr>
              <w:ind w:right="-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8.4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095" w:type="pct"/>
            <w:textDirection w:val="lrTb"/>
            <w:noWrap w:val="false"/>
          </w:tcPr>
          <w:p>
            <w:pPr>
              <w:ind w:left="9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ПТЭЦ-9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06.12.2023 № 306-в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01.07.2024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31.12.2024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2,68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69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</w:tcBorders>
            <w:tcW w:w="1095" w:type="pct"/>
            <w:vMerge w:val="restar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ФГАОУ ВО «ПНИПУ»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  <w:lang w:val="en-US"/>
              </w:rPr>
            </w:pPr>
            <w:r/>
            <w:bookmarkStart w:id="155" w:name="_Hlk166592151"/>
            <w:r>
              <w:rPr>
                <w:color w:val="000000"/>
                <w:sz w:val="20"/>
                <w:szCs w:val="20"/>
              </w:rPr>
              <w:t xml:space="preserve">от 20.12.2021 № 381-в</w:t>
            </w:r>
            <w:bookmarkEnd w:id="155"/>
            <w:r/>
            <w:r>
              <w:rPr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01.01.2020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30.06.2020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33,13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25,04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95" w:type="pct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20.12.2021 № 381-в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01.07.2020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31.12.2020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38,33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26,57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95" w:type="pct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20.12.2021 № 381-в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01.01.2021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30.06.2021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38,33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26,57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95" w:type="pct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20.12.2021 № 381-в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01.07.2021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31.12.2021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43,25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29,11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95" w:type="pct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20.12.2021 № 381-в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01.01.2022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30.06.2022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43,25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29,11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95" w:type="pct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20.12.2021 № 381-в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01.07.2022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30.11.2022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46,82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30,96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95" w:type="pct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от 06.12.2023 № 303-в</w:t>
            </w:r>
            <w:r>
              <w:rPr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01.12.2022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31.12.2023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51,39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34,58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95" w:type="pct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06.12.2023 № 303-в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01.01.2024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30.06.2024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51,39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34,58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95" w:type="pct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/>
            <w:bookmarkStart w:id="156" w:name="_Hlk166592158"/>
            <w:r>
              <w:rPr>
                <w:color w:val="000000"/>
                <w:sz w:val="20"/>
                <w:szCs w:val="20"/>
              </w:rPr>
              <w:t xml:space="preserve">от 06.12.2023 № 303-в</w:t>
            </w:r>
            <w:bookmarkEnd w:id="156"/>
            <w:r/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01.07.2024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31.12.2024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53,42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39,64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69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1095" w:type="pct"/>
            <w:vMerge w:val="restar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АО «СИБУР-Химпром»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  <w:lang w:val="en-US"/>
              </w:rPr>
            </w:pPr>
            <w:r/>
            <w:bookmarkStart w:id="157" w:name="_Hlk166592165"/>
            <w:r>
              <w:rPr>
                <w:color w:val="000000"/>
                <w:sz w:val="20"/>
                <w:szCs w:val="20"/>
              </w:rPr>
              <w:t xml:space="preserve">от 06.12.2023 № 301-в</w:t>
            </w:r>
            <w:bookmarkEnd w:id="157"/>
            <w:r/>
            <w:r>
              <w:rPr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01.12.2022 по 31.12.2023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63,8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9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95" w:type="pct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06.12.2023 № 301-в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01.01.2024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30.06.2024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63,8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9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95" w:type="pct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06.12.2023 № 301-в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01.07.2024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31.12.2024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73,4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69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1095" w:type="pct"/>
            <w:vMerge w:val="restar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АО «Сорбент»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  <w:lang w:val="en-US"/>
              </w:rPr>
            </w:pPr>
            <w:r/>
            <w:bookmarkStart w:id="158" w:name="_Hlk166592170"/>
            <w:r>
              <w:rPr>
                <w:color w:val="000000"/>
                <w:sz w:val="20"/>
                <w:szCs w:val="20"/>
              </w:rPr>
              <w:t xml:space="preserve">от 06.12.2023 № 299-в</w:t>
            </w:r>
            <w:bookmarkEnd w:id="158"/>
            <w:r/>
            <w:r>
              <w:rPr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01.12.2022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31.12.2023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58,4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9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95" w:type="pct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06.12.2023 № 299-в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01.01.2024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30.06.2024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58,4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9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95" w:type="pct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06.12.2023 № 299-в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01.07.2024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31.12.2024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62,87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000000" w:fill="ffffff"/>
            <w:tcW w:w="269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1095" w:type="pct"/>
            <w:vMerge w:val="restar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АО «Протон-ПМ»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  <w:lang w:val="en-US"/>
              </w:rPr>
            </w:pPr>
            <w:r/>
            <w:bookmarkStart w:id="159" w:name="_Hlk166592176"/>
            <w:r>
              <w:rPr>
                <w:color w:val="000000"/>
                <w:sz w:val="20"/>
                <w:szCs w:val="20"/>
              </w:rPr>
              <w:t xml:space="preserve">от 06.12.2023 № 296-в</w:t>
            </w:r>
            <w:bookmarkEnd w:id="159"/>
            <w:r/>
            <w:r>
              <w:rPr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01.12.2022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31.12.2023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18,55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9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95" w:type="pct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06.12.2023 № 296-в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01.01.2024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30.06.2024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18,55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9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95" w:type="pct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06.12.2023 № 296-в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01.07.2024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31.12.2024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20,32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000000" w:fill="ffffff"/>
            <w:tcW w:w="269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1095" w:type="pct"/>
            <w:vMerge w:val="restart"/>
            <w:textDirection w:val="lrTb"/>
            <w:noWrap w:val="false"/>
          </w:tcPr>
          <w:p>
            <w:pPr>
              <w:ind w:right="-107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«ЛУКОЙЛ-</w:t>
            </w:r>
            <w:r>
              <w:rPr>
                <w:color w:val="000000"/>
                <w:sz w:val="20"/>
                <w:szCs w:val="20"/>
              </w:rPr>
              <w:t xml:space="preserve">Пермнефтеоргсинтез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»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  <w:lang w:val="en-US"/>
              </w:rPr>
            </w:pPr>
            <w:r/>
            <w:bookmarkStart w:id="160" w:name="_Hlk166592182"/>
            <w:r>
              <w:rPr>
                <w:color w:val="000000"/>
                <w:sz w:val="20"/>
                <w:szCs w:val="20"/>
              </w:rPr>
              <w:t xml:space="preserve">от 01.11.2023 № 158-в</w:t>
            </w:r>
            <w:bookmarkEnd w:id="160"/>
            <w:r/>
            <w:r>
              <w:rPr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01.01.2024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30.06.2024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23,45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9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95" w:type="pct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01.11.2023 № 158-в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01.07.2024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31.12.2024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25,2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69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1095" w:type="pct"/>
            <w:vMerge w:val="restar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«Камский кабель» 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  <w:lang w:val="en-US"/>
              </w:rPr>
            </w:pPr>
            <w:r/>
            <w:bookmarkStart w:id="161" w:name="_Hlk166592187"/>
            <w:r>
              <w:rPr>
                <w:color w:val="000000"/>
                <w:sz w:val="20"/>
                <w:szCs w:val="20"/>
              </w:rPr>
              <w:t xml:space="preserve">от 23.08.2023 № 62-в</w:t>
            </w:r>
            <w:bookmarkEnd w:id="161"/>
            <w:r/>
            <w:r>
              <w:rPr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01.12.2022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31.12.2023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6,3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9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95" w:type="pct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18.10.2023 № 100-в, </w:t>
            </w:r>
            <w:bookmarkStart w:id="162" w:name="_Hlk166592201"/>
            <w:r/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23.08.2023 № 62-в</w:t>
            </w:r>
            <w:bookmarkEnd w:id="162"/>
            <w:r/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01.01.2024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30.06.2024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6,3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9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95" w:type="pct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18.10.2023 № 100-в,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23.08.2023 № 62-в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01.07.2024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31.12.2024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6,73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69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1095" w:type="pct"/>
            <w:vMerge w:val="restar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ФКП «Пермский пороховой завод»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  <w:lang w:val="en-US"/>
              </w:rPr>
            </w:pPr>
            <w:r/>
            <w:bookmarkStart w:id="163" w:name="_Hlk166592207"/>
            <w:r>
              <w:rPr>
                <w:color w:val="000000"/>
                <w:sz w:val="20"/>
                <w:szCs w:val="20"/>
              </w:rPr>
              <w:t xml:space="preserve">от 06.10.2023 № 75-в</w:t>
            </w:r>
            <w:bookmarkEnd w:id="163"/>
            <w:r/>
            <w:r>
              <w:rPr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01.12.2022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31.12.2023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3,87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9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95" w:type="pct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06.10.2023 № 75-в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01.01.2024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30.06.2024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3,87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9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95" w:type="pct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06.10.2023 № 75-в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01.07.2024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31.12.2024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69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1095" w:type="pct"/>
            <w:vMerge w:val="restar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ИП </w:t>
            </w:r>
            <w:r>
              <w:rPr>
                <w:color w:val="000000"/>
                <w:sz w:val="20"/>
                <w:szCs w:val="20"/>
              </w:rPr>
              <w:t xml:space="preserve">Еловикова</w:t>
            </w:r>
            <w:r>
              <w:rPr>
                <w:color w:val="000000"/>
                <w:sz w:val="20"/>
                <w:szCs w:val="20"/>
              </w:rPr>
              <w:t xml:space="preserve"> Ольга Николаевна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  <w:lang w:val="en-US"/>
              </w:rPr>
            </w:pPr>
            <w:r/>
            <w:bookmarkStart w:id="164" w:name="_Hlk166592213"/>
            <w:r>
              <w:rPr>
                <w:color w:val="000000"/>
                <w:sz w:val="20"/>
                <w:szCs w:val="20"/>
              </w:rPr>
              <w:t xml:space="preserve">от 06.12.2023 № 318-в</w:t>
            </w:r>
            <w:bookmarkEnd w:id="164"/>
            <w:r/>
            <w:r>
              <w:rPr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01.12.2022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31.12.2023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ind w:left="-98" w:right="-11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206,54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9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95" w:type="pct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06.12.2023 № 318-в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01.01.2024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30.06.2024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204,4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9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95" w:type="pct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06.12.2023 № 318-в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01.07.2024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31.12.2024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204,4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69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1095" w:type="pct"/>
            <w:vMerge w:val="restar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Филиал «ПМУ» АО «ОХК «УРАЛХИМ»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  <w:lang w:val="en-US"/>
              </w:rPr>
            </w:pPr>
            <w:r/>
            <w:bookmarkStart w:id="165" w:name="_Hlk166592218"/>
            <w:r>
              <w:rPr>
                <w:color w:val="000000"/>
                <w:sz w:val="20"/>
                <w:szCs w:val="20"/>
              </w:rPr>
              <w:t xml:space="preserve">от 06.12.2023 № 295-в</w:t>
            </w:r>
            <w:bookmarkEnd w:id="165"/>
            <w:r/>
            <w:r>
              <w:rPr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01.12.2022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31.12.2023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66,68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9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95" w:type="pct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06.12.2023 № 295-в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01.01.2024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30.06.2024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66,68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9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95" w:type="pct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06.12.2023 № 295-в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01.07.2024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31.12.2024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81,35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69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1095" w:type="pct"/>
            <w:vMerge w:val="restar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«</w:t>
            </w:r>
            <w:r>
              <w:rPr>
                <w:color w:val="000000"/>
                <w:sz w:val="20"/>
                <w:szCs w:val="20"/>
              </w:rPr>
              <w:t xml:space="preserve">Стоксервис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  <w:lang w:val="en-US"/>
              </w:rPr>
            </w:pPr>
            <w:r/>
            <w:bookmarkStart w:id="166" w:name="_Hlk166592225"/>
            <w:r>
              <w:rPr>
                <w:color w:val="000000"/>
                <w:sz w:val="20"/>
                <w:szCs w:val="20"/>
              </w:rPr>
              <w:t xml:space="preserve">от 01.12.2023 № 269-в</w:t>
            </w:r>
            <w:bookmarkEnd w:id="166"/>
            <w:r/>
            <w:r>
              <w:rPr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01.12.2022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31.12.2023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7,87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9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95" w:type="pct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01.12.2023 № 269-в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01.01.2024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30.06.2024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7,87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9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95" w:type="pct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01.12.2023 № 269-в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01.07.2024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31.12.2024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9,55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69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1095" w:type="pct"/>
            <w:vMerge w:val="restar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«Объединенная кабельная компания»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  <w:lang w:val="en-US"/>
              </w:rPr>
            </w:pPr>
            <w:r/>
            <w:bookmarkStart w:id="167" w:name="_Hlk166592229"/>
            <w:r>
              <w:rPr>
                <w:color w:val="000000"/>
                <w:sz w:val="20"/>
                <w:szCs w:val="20"/>
              </w:rPr>
              <w:t xml:space="preserve">от 16.08.2023 № 55-в</w:t>
            </w:r>
            <w:bookmarkEnd w:id="167"/>
            <w:r/>
            <w:r>
              <w:rPr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01.01.2024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30.06.2024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11,7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9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95" w:type="pct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15" w:type="pct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16.08.2023 № 55-в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01.07.2024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31.12.2024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11,7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15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70"/>
        <w:rPr>
          <w:rStyle w:val="1218"/>
          <w:rFonts w:cs="Times New Roman" w:eastAsiaTheme="minorHAnsi"/>
          <w:sz w:val="28"/>
          <w:szCs w:val="28"/>
        </w:rPr>
      </w:pPr>
      <w:r>
        <w:rPr>
          <w:sz w:val="28"/>
          <w:szCs w:val="28"/>
        </w:rPr>
        <w:t xml:space="preserve">Ставки тарифов на подключение (технологическое присоединение) к централизованной системе водоотведения на территории города Перми, установленные для ООО «НОВОГОР-</w:t>
      </w:r>
      <w:r>
        <w:rPr>
          <w:sz w:val="28"/>
          <w:szCs w:val="28"/>
        </w:rPr>
        <w:t xml:space="preserve">Прикамье</w:t>
      </w:r>
      <w:r>
        <w:rPr>
          <w:sz w:val="28"/>
          <w:szCs w:val="28"/>
        </w:rPr>
        <w:t xml:space="preserve">», в отношении заявителей, величина подключаемой </w:t>
      </w:r>
      <w:r>
        <w:rPr>
          <w:sz w:val="28"/>
          <w:szCs w:val="28"/>
        </w:rPr>
        <w:t xml:space="preserve">нагрузки объектов</w:t>
      </w:r>
      <w:r>
        <w:rPr>
          <w:sz w:val="28"/>
          <w:szCs w:val="28"/>
        </w:rPr>
        <w:t xml:space="preserve"> которых не превышает 250 куб. м/</w:t>
      </w:r>
      <w:r>
        <w:rPr>
          <w:sz w:val="28"/>
          <w:szCs w:val="28"/>
        </w:rPr>
        <w:t xml:space="preserve">сут</w:t>
      </w:r>
      <w:r>
        <w:rPr>
          <w:sz w:val="28"/>
          <w:szCs w:val="28"/>
        </w:rPr>
        <w:t xml:space="preserve">. и (или) осуществляется с использованием создаваемых сетей водоснабжения с наружным диаметром, не превышающим 250 мм, приведены в таблице 2.21.</w:t>
      </w:r>
      <w:bookmarkStart w:id="168" w:name="_Toc175216097"/>
      <w:r/>
      <w:r>
        <w:rPr>
          <w:rStyle w:val="1218"/>
          <w:rFonts w:cs="Times New Roman" w:eastAsiaTheme="minorHAnsi"/>
          <w:sz w:val="28"/>
          <w:szCs w:val="28"/>
        </w:rPr>
      </w:r>
    </w:p>
    <w:p>
      <w:pPr>
        <w:pStyle w:val="1570"/>
        <w:rPr>
          <w:rStyle w:val="1218"/>
          <w:rFonts w:cs="Times New Roman" w:eastAsiaTheme="minorHAnsi"/>
          <w:sz w:val="28"/>
          <w:szCs w:val="28"/>
        </w:rPr>
      </w:pPr>
      <w:r>
        <w:rPr>
          <w:rFonts w:cs="Times New Roman" w:eastAsiaTheme="minorHAnsi"/>
          <w:sz w:val="28"/>
          <w:szCs w:val="28"/>
        </w:rPr>
      </w:r>
      <w:r>
        <w:rPr>
          <w:rStyle w:val="1218"/>
          <w:rFonts w:cs="Times New Roman" w:eastAsiaTheme="minorHAnsi"/>
          <w:sz w:val="28"/>
          <w:szCs w:val="28"/>
        </w:rPr>
      </w:r>
    </w:p>
    <w:p>
      <w:pPr>
        <w:pStyle w:val="1544"/>
        <w:jc w:val="right"/>
        <w:rPr>
          <w:rStyle w:val="1218"/>
          <w:rFonts w:cs="Times New Roman" w:eastAsiaTheme="minorHAnsi"/>
          <w:b/>
          <w:bCs/>
          <w:sz w:val="28"/>
          <w:szCs w:val="28"/>
        </w:rPr>
      </w:pPr>
      <w:r>
        <w:rPr>
          <w:rStyle w:val="1218"/>
          <w:rFonts w:cs="Times New Roman" w:eastAsiaTheme="minorHAnsi"/>
          <w:b/>
          <w:bCs/>
          <w:sz w:val="28"/>
          <w:szCs w:val="28"/>
        </w:rPr>
        <w:t xml:space="preserve">Таблица 2.21</w:t>
      </w:r>
      <w:r>
        <w:rPr>
          <w:rStyle w:val="1218"/>
          <w:rFonts w:cs="Times New Roman" w:eastAsiaTheme="minorHAnsi"/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Тарифы на подключение (технологическое присоединение) 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централизованной системе водоотведения, установленные 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ООО «НОВОГОР-</w:t>
      </w:r>
      <w:r>
        <w:rPr>
          <w:b/>
          <w:bCs/>
          <w:sz w:val="28"/>
          <w:szCs w:val="28"/>
        </w:rPr>
        <w:t xml:space="preserve">Прикамье</w:t>
      </w:r>
      <w:r>
        <w:rPr>
          <w:b/>
          <w:bCs/>
          <w:sz w:val="28"/>
          <w:szCs w:val="28"/>
        </w:rPr>
        <w:t xml:space="preserve">»</w:t>
      </w:r>
      <w:bookmarkEnd w:id="168"/>
      <w:r/>
      <w:r>
        <w:rPr>
          <w:b/>
          <w:bCs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9"/>
        <w:gridCol w:w="4074"/>
        <w:gridCol w:w="1363"/>
        <w:gridCol w:w="1275"/>
        <w:gridCol w:w="1275"/>
        <w:gridCol w:w="1241"/>
      </w:tblGrid>
      <w:tr>
        <w:tblPrEx/>
        <w:trPr>
          <w:trHeight w:val="20"/>
          <w:tblHeader/>
        </w:trPr>
        <w:tc>
          <w:tcPr>
            <w:shd w:val="clear" w:color="auto" w:fill="auto"/>
            <w:tcW w:w="448" w:type="pct"/>
            <w:vMerge w:val="restart"/>
            <w:textDirection w:val="lrTb"/>
            <w:noWrap w:val="false"/>
          </w:tcPr>
          <w:p>
            <w:pPr>
              <w:ind w:left="-113" w:right="-7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009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Вид тарифной ставки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72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Ед. изм.</w:t>
            </w:r>
            <w:r>
              <w:rPr>
                <w:color w:val="000000"/>
              </w:rPr>
            </w:r>
          </w:p>
        </w:tc>
        <w:tc>
          <w:tcPr>
            <w:gridSpan w:val="3"/>
            <w:shd w:val="clear" w:color="auto" w:fill="auto"/>
            <w:tcW w:w="187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Величина тарифной ставки </w:t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(без учета НДС)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  <w:tblHeader/>
        </w:trPr>
        <w:tc>
          <w:tcPr>
            <w:tcW w:w="448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009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672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29" w:type="pct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2022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29" w:type="pct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2023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12" w:type="pct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2024</w:t>
            </w:r>
            <w:r>
              <w:rPr>
                <w:color w:val="000000"/>
              </w:rPr>
            </w:r>
          </w:p>
        </w:tc>
      </w:tr>
    </w:tbl>
    <w:p>
      <w:pPr>
        <w:spacing w:line="48" w:lineRule="auto"/>
      </w:pPr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9"/>
        <w:gridCol w:w="4074"/>
        <w:gridCol w:w="1363"/>
        <w:gridCol w:w="1275"/>
        <w:gridCol w:w="1275"/>
        <w:gridCol w:w="1241"/>
      </w:tblGrid>
      <w:tr>
        <w:tblPrEx/>
        <w:trPr>
          <w:trHeight w:val="20"/>
          <w:tblHeader/>
        </w:trPr>
        <w:tc>
          <w:tcPr>
            <w:tcW w:w="44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</w:p>
        </w:tc>
        <w:tc>
          <w:tcPr>
            <w:tcW w:w="200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</w:p>
        </w:tc>
        <w:tc>
          <w:tcPr>
            <w:tcW w:w="67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29" w:type="pct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29" w:type="pct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12" w:type="pct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4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009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Основание для утверждения тарифа – постановление Министерства тарифного регулирования и энергетики Пермского края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7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29" w:type="pct"/>
            <w:textDirection w:val="lrTb"/>
            <w:noWrap w:val="false"/>
          </w:tcPr>
          <w:p>
            <w:pPr>
              <w:ind w:left="-100" w:right="-109"/>
              <w:jc w:val="center"/>
              <w:rPr>
                <w:color w:val="000000"/>
                <w:lang w:val="en-US"/>
              </w:rPr>
            </w:pPr>
            <w:r/>
            <w:bookmarkStart w:id="169" w:name="_Hlk166592242"/>
            <w:r>
              <w:rPr>
                <w:color w:val="000000"/>
              </w:rPr>
              <w:t xml:space="preserve">от 15.12.2021 № 113-тп</w:t>
            </w:r>
            <w:bookmarkEnd w:id="169"/>
            <w:r/>
            <w:r>
              <w:rPr>
                <w:color w:val="000000"/>
                <w:lang w:val="en-US"/>
              </w:rPr>
            </w:r>
          </w:p>
        </w:tc>
        <w:tc>
          <w:tcPr>
            <w:shd w:val="clear" w:color="auto" w:fill="auto"/>
            <w:tcW w:w="629" w:type="pct"/>
            <w:textDirection w:val="lrTb"/>
            <w:noWrap w:val="false"/>
          </w:tcPr>
          <w:p>
            <w:pPr>
              <w:ind w:left="-100" w:right="-109"/>
              <w:jc w:val="center"/>
              <w:rPr>
                <w:color w:val="000000"/>
                <w:lang w:val="en-US"/>
              </w:rPr>
            </w:pPr>
            <w:r/>
            <w:bookmarkStart w:id="170" w:name="_Hlk166592245"/>
            <w:r>
              <w:rPr>
                <w:color w:val="000000"/>
              </w:rPr>
              <w:t xml:space="preserve">от 19.12.2022 № 122-тп</w:t>
            </w:r>
            <w:bookmarkEnd w:id="170"/>
            <w:r/>
            <w:r>
              <w:rPr>
                <w:color w:val="000000"/>
                <w:lang w:val="en-US"/>
              </w:rPr>
            </w:r>
          </w:p>
        </w:tc>
        <w:tc>
          <w:tcPr>
            <w:shd w:val="clear" w:color="auto" w:fill="auto"/>
            <w:tcW w:w="612" w:type="pct"/>
            <w:textDirection w:val="lrTb"/>
            <w:noWrap w:val="false"/>
          </w:tcPr>
          <w:p>
            <w:pPr>
              <w:ind w:left="-100" w:right="-109"/>
              <w:jc w:val="center"/>
              <w:rPr>
                <w:color w:val="000000"/>
                <w:lang w:val="en-US"/>
              </w:rPr>
            </w:pPr>
            <w:r/>
            <w:bookmarkStart w:id="171" w:name="_Hlk166592249"/>
            <w:r>
              <w:rPr>
                <w:color w:val="000000"/>
              </w:rPr>
              <w:t xml:space="preserve">от 20.12.2023 № 138-тп</w:t>
            </w:r>
            <w:bookmarkEnd w:id="171"/>
            <w:r/>
            <w:r>
              <w:rPr>
                <w:color w:val="000000"/>
                <w:lang w:val="en-US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4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009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Ставка тарифа за подключаемую нагрузку водопроводной сети на покрытие расходов на подключение объектов заявителей к централизованной системе водоотведения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72" w:type="pct"/>
            <w:textDirection w:val="lrTb"/>
            <w:noWrap w:val="false"/>
          </w:tcPr>
          <w:p>
            <w:pPr>
              <w:ind w:left="-102" w:right="-10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тыс. руб./ куб. м. </w:t>
            </w:r>
            <w:r>
              <w:rPr>
                <w:color w:val="000000"/>
              </w:rPr>
              <w:t xml:space="preserve">сут</w:t>
            </w:r>
            <w:r>
              <w:rPr>
                <w:color w:val="000000"/>
              </w:rPr>
              <w:t xml:space="preserve">.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29" w:type="pct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42,21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29" w:type="pct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42,21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12" w:type="pct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42,21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4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009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Ставка тарифа на покрытие расходов </w:t>
            </w:r>
            <w:r>
              <w:rPr>
                <w:color w:val="000000"/>
              </w:rPr>
              <w:t xml:space="preserve">на прокладку сетей водоснабжения от точки подключения объекта заявителя до точки подключения к централизованным сетям водоотведения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7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29" w:type="pct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29" w:type="pct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12" w:type="pct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4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3.1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009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Траншейный способ прокладки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7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29" w:type="pct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29" w:type="pct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12" w:type="pct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4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3.1.1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009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Ставка тарифа на покрытие расходов на прокладку сетей водоотведения (Ø 160 мм) 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72" w:type="pct"/>
            <w:textDirection w:val="lrTb"/>
            <w:noWrap w:val="false"/>
          </w:tcPr>
          <w:p>
            <w:pPr>
              <w:ind w:left="-102" w:right="-10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тыс. руб. </w:t>
            </w:r>
            <w:r>
              <w:rPr>
                <w:color w:val="000000"/>
              </w:rPr>
              <w:br/>
              <w:t xml:space="preserve">за 1 п. км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29" w:type="pct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20 150,59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29" w:type="pct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20 150,59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12" w:type="pct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20 150,59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4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3.2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009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Бестраншейный способ прокладки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7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29" w:type="pct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29" w:type="pct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12" w:type="pct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4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3.2.1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009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Ставка тарифа на покрытие расходов на прокладку сетей водоотведения (Ø 160 мм, 2 Ø 160 мм) 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72" w:type="pct"/>
            <w:vMerge w:val="restart"/>
            <w:textDirection w:val="lrTb"/>
            <w:noWrap w:val="false"/>
          </w:tcPr>
          <w:p>
            <w:pPr>
              <w:ind w:left="-102" w:right="-10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тыс. руб. </w:t>
            </w:r>
            <w:r>
              <w:rPr>
                <w:color w:val="000000"/>
              </w:rPr>
              <w:br/>
              <w:t xml:space="preserve">за 1 п. км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29" w:type="pct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30 794,81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29" w:type="pct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30 794,81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12" w:type="pct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30 794,81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4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3.2.2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009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Ставка тарифа на покрытие расходов на прокладку сетей водоотведения (Ø 200 мм, 2 Ø 200 мм)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72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29" w:type="pct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31 478,98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29" w:type="pct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31 478,98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12" w:type="pct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31 478,98</w:t>
            </w:r>
            <w:r>
              <w:rPr>
                <w:color w:val="000000"/>
              </w:rPr>
            </w:r>
          </w:p>
        </w:tc>
      </w:tr>
    </w:tbl>
    <w:p>
      <w:pPr>
        <w:pStyle w:val="1570"/>
      </w:pPr>
      <w:r/>
      <w:bookmarkStart w:id="172" w:name="_Toc119947467"/>
      <w:r/>
      <w:bookmarkStart w:id="173" w:name="_Toc175215981"/>
      <w:r/>
      <w:r/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2.3.11 Технические и технологические проблемы в системе</w:t>
      </w:r>
      <w:bookmarkEnd w:id="172"/>
      <w:r/>
      <w:bookmarkEnd w:id="173"/>
      <w:r/>
      <w:r>
        <w:rPr>
          <w:b/>
          <w:bCs/>
          <w:sz w:val="28"/>
          <w:szCs w:val="28"/>
        </w:rPr>
      </w:r>
    </w:p>
    <w:p>
      <w:pPr>
        <w:pStyle w:val="1570"/>
      </w:pPr>
      <w:r/>
      <w:r/>
    </w:p>
    <w:p>
      <w:pPr>
        <w:pStyle w:val="1570"/>
        <w:rPr>
          <w:sz w:val="28"/>
          <w:szCs w:val="28"/>
        </w:rPr>
      </w:pPr>
      <w:r/>
      <w:bookmarkStart w:id="174" w:name="_Toc119947468"/>
      <w:r>
        <w:rPr>
          <w:sz w:val="28"/>
          <w:szCs w:val="28"/>
        </w:rPr>
        <w:t xml:space="preserve">В системе ЦВО города Перми существуют следующие проблемы.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  <w:highlight w:val="magenta"/>
        </w:rPr>
      </w:pPr>
      <w:r>
        <w:rPr>
          <w:b/>
          <w:bCs/>
          <w:sz w:val="28"/>
          <w:szCs w:val="28"/>
        </w:rPr>
        <w:t xml:space="preserve">Несоответствие технологии очистки сточных вод современным требованиям.</w:t>
      </w:r>
      <w:r>
        <w:rPr>
          <w:sz w:val="28"/>
          <w:szCs w:val="28"/>
          <w:highlight w:val="magenta"/>
        </w:rPr>
        <w:t xml:space="preserve"> </w:t>
      </w:r>
      <w:r>
        <w:rPr>
          <w:sz w:val="28"/>
          <w:szCs w:val="28"/>
          <w:highlight w:val="magenta"/>
        </w:rPr>
      </w:r>
    </w:p>
    <w:p>
      <w:pPr>
        <w:pStyle w:val="1570"/>
        <w:rPr>
          <w:sz w:val="28"/>
          <w:szCs w:val="28"/>
          <w:highlight w:val="magenta"/>
        </w:rPr>
      </w:pPr>
      <w:r>
        <w:rPr>
          <w:sz w:val="28"/>
          <w:szCs w:val="28"/>
        </w:rPr>
        <w:t xml:space="preserve">Очистные сооружения города Перми были построены в 60-70-х годах. Существующие технологии очистки стоков на ОСК «</w:t>
      </w:r>
      <w:r>
        <w:rPr>
          <w:sz w:val="28"/>
          <w:szCs w:val="28"/>
        </w:rPr>
        <w:t xml:space="preserve">Гляденово</w:t>
      </w:r>
      <w:r>
        <w:rPr>
          <w:sz w:val="28"/>
          <w:szCs w:val="28"/>
        </w:rPr>
        <w:t xml:space="preserve">» и ОСК «Новые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», эксплуатацию которых осуществляет ООО «НОВОГОР-</w:t>
      </w:r>
      <w:r>
        <w:rPr>
          <w:sz w:val="28"/>
          <w:szCs w:val="28"/>
        </w:rPr>
        <w:t xml:space="preserve">Прикамье</w:t>
      </w:r>
      <w:r>
        <w:rPr>
          <w:sz w:val="28"/>
          <w:szCs w:val="28"/>
        </w:rPr>
        <w:t xml:space="preserve">», позволяют обеспечить соответствие качества очищенных сточных вод установленным НДС ЗВ. Однако качество очистки</w:t>
      </w:r>
      <w:r>
        <w:rPr>
          <w:sz w:val="28"/>
          <w:szCs w:val="28"/>
        </w:rPr>
        <w:t xml:space="preserve"> сточных вод не соответствует современным требованиям к сбрасываемым в водоем сточным водам (требования к предельно-допустимым концентрациям загрязняющих веществ, установленные СанПиН). Для снижения негативного воздействия на окружающую среду ООО «НОВОГОР-</w:t>
      </w:r>
      <w:r>
        <w:rPr>
          <w:sz w:val="28"/>
          <w:szCs w:val="28"/>
        </w:rPr>
        <w:t xml:space="preserve">Прикамье</w:t>
      </w:r>
      <w:r>
        <w:rPr>
          <w:sz w:val="28"/>
          <w:szCs w:val="28"/>
        </w:rPr>
        <w:t xml:space="preserve">» разработана Программа повышения экологической эффективности от 22.09.2023. Программа включает мероприятия, направленные на снижение сбросов загрязняющих веществ. На ОСК </w:t>
      </w:r>
      <w:r>
        <w:rPr>
          <w:sz w:val="28"/>
          <w:szCs w:val="28"/>
        </w:rPr>
        <w:t xml:space="preserve">мкр</w:t>
      </w:r>
      <w:r>
        <w:rPr>
          <w:sz w:val="28"/>
          <w:szCs w:val="28"/>
        </w:rPr>
        <w:t xml:space="preserve">. Крым, эксплуатацию которого осуществляет МП «</w:t>
      </w:r>
      <w:r>
        <w:rPr>
          <w:sz w:val="28"/>
          <w:szCs w:val="28"/>
        </w:rPr>
        <w:t xml:space="preserve">Пермводоканал</w:t>
      </w:r>
      <w:r>
        <w:rPr>
          <w:sz w:val="28"/>
          <w:szCs w:val="28"/>
        </w:rPr>
        <w:t xml:space="preserve">», наблюдаются превышения НДС ЗВ по таким показателям, как: аммоний-ионы, взвешенные вещества, нитрит-ионы, БПК, АПАВ, железо, ХПК, фосфаты.</w:t>
      </w:r>
      <w:r>
        <w:rPr>
          <w:sz w:val="28"/>
          <w:szCs w:val="28"/>
          <w:highlight w:val="magenta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Для сооружений характерны высокая степень физического износа сооружений, механического и электрического оборудования.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Одной из самых серьезных проблем системы канализации города является проблема утилизации осадка сточных вод. Существующие </w:t>
      </w:r>
      <w:r>
        <w:rPr>
          <w:sz w:val="28"/>
          <w:szCs w:val="28"/>
        </w:rPr>
        <w:t xml:space="preserve">илонакопители</w:t>
      </w:r>
      <w:r>
        <w:rPr>
          <w:sz w:val="28"/>
          <w:szCs w:val="28"/>
        </w:rPr>
        <w:t xml:space="preserve"> практически исчерпали свой ресурс. </w:t>
      </w:r>
      <w:r>
        <w:rPr>
          <w:sz w:val="28"/>
          <w:szCs w:val="28"/>
        </w:rPr>
      </w:r>
    </w:p>
    <w:p>
      <w:pPr>
        <w:pStyle w:val="15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Дисбаланс мощностей системы сбора и транспортировки стоков.</w:t>
      </w:r>
      <w:r>
        <w:rPr>
          <w:b/>
          <w:bCs/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Характ</w:t>
      </w:r>
      <w:r>
        <w:rPr>
          <w:sz w:val="28"/>
          <w:szCs w:val="28"/>
        </w:rPr>
        <w:t xml:space="preserve">ерной особенностью системы канализации города Перми является несогласованность мощностей КНС и объемов стоков, поступающих с обслуживаемых территорий. Большинство станций имеют избыточную мощность. В то же время мощность некоторых насосных станций, в зоне </w:t>
      </w:r>
      <w:r>
        <w:rPr>
          <w:sz w:val="28"/>
          <w:szCs w:val="28"/>
        </w:rPr>
        <w:t xml:space="preserve">обслуживания</w:t>
      </w:r>
      <w:r>
        <w:rPr>
          <w:sz w:val="28"/>
          <w:szCs w:val="28"/>
        </w:rPr>
        <w:t xml:space="preserve"> которых активно производилась новая застройка, практически исчерпана.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Реконструкции КНС препятствует стесненность условий городской застройки. Также для принятия технических решений в части расчета необходимой мощности КНС необходимо произвести оценку перспективного изменения бассейнов </w:t>
      </w:r>
      <w:r>
        <w:rPr>
          <w:sz w:val="28"/>
          <w:szCs w:val="28"/>
        </w:rPr>
        <w:t xml:space="preserve">канализования</w:t>
      </w:r>
      <w:r>
        <w:rPr>
          <w:sz w:val="28"/>
          <w:szCs w:val="28"/>
        </w:rPr>
        <w:t xml:space="preserve"> станций.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Мощности самотечных коллекторов также загружены неэффективно. Часть коллекторов работает в «перегруженном» режиме.</w:t>
      </w:r>
      <w:r>
        <w:rPr>
          <w:sz w:val="28"/>
          <w:szCs w:val="28"/>
        </w:rPr>
      </w:r>
    </w:p>
    <w:p>
      <w:pPr>
        <w:pStyle w:val="1544"/>
        <w:ind w:firstLine="709"/>
        <w:jc w:val="both"/>
        <w:keepLines/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Незавершенность начатых проектов по реконструкции системы канализации.</w:t>
      </w:r>
      <w:r>
        <w:rPr>
          <w:b/>
          <w:bCs/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Длительная реализация проект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по изменению технологической схемы транспортировки стоков левобережной части города. В настоящее время </w:t>
      </w:r>
      <w:r>
        <w:rPr>
          <w:sz w:val="28"/>
          <w:szCs w:val="28"/>
        </w:rPr>
        <w:t xml:space="preserve">мощности</w:t>
      </w:r>
      <w:r>
        <w:rPr>
          <w:sz w:val="28"/>
          <w:szCs w:val="28"/>
        </w:rPr>
        <w:t xml:space="preserve"> построенной районной КНС-3 «Парковый» и главного разгрузочного коллектора эффективно не используются.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Система канализации центральной части города по-прежнему работает в перегруженном режиме. На возможност</w:t>
      </w:r>
      <w:r>
        <w:rPr>
          <w:sz w:val="28"/>
          <w:szCs w:val="28"/>
        </w:rPr>
        <w:t xml:space="preserve">ь проведения реконструкции магистральных коллекторов в центральной части города влияют такие факторы, как: стесненность городской застройки, наличие объектов культурного наследия, запрет на нарушение целостности автодорог, высокая капиталоемкость и другие.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Предельная степень физического износа сетей и сооружений.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Износ основных фондов систе</w:t>
      </w:r>
      <w:r>
        <w:rPr>
          <w:sz w:val="28"/>
          <w:szCs w:val="28"/>
        </w:rPr>
        <w:t xml:space="preserve">мы водоотведения достигает 85 %. Существующие темпы восстановления сети не позволяют удержать техническое состояние даже на существующем уровне. В зоне высоких рисков находятся коллекторы, выполненные из железобетонных труб, подверженных газовой коррозии.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Напорные коллекторы насосных станций, выполненные из незащищенных стальных труб, находятся в аварийном состоянии. Десятки насосных станций работают по единственному напорному коллектору, что исключает возможность его реконструкции.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Плохое техническое состояние сетей стало причиной чрезмерно высоких притоков поверхностных вод в систему канализации и вынуждает держать избыточные мощности на насосных станциях.</w:t>
      </w:r>
      <w:r>
        <w:rPr>
          <w:sz w:val="28"/>
          <w:szCs w:val="28"/>
        </w:rPr>
      </w:r>
    </w:p>
    <w:p>
      <w:pPr>
        <w:pStyle w:val="15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Технологическое отставание.</w:t>
      </w:r>
      <w:r>
        <w:rPr>
          <w:b/>
          <w:bCs/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Сооружения системы канализации по своему техническому уровню не соответствуют современным требованиям. Насосные станции используют морально устаревшее и </w:t>
      </w:r>
      <w:r>
        <w:rPr>
          <w:sz w:val="28"/>
          <w:szCs w:val="28"/>
        </w:rPr>
        <w:t xml:space="preserve">неэнергоэффективное</w:t>
      </w:r>
      <w:r>
        <w:rPr>
          <w:sz w:val="28"/>
          <w:szCs w:val="28"/>
        </w:rPr>
        <w:t xml:space="preserve"> насосное и электрическое оборудование. Существующая система управления технологическими процессами перекачки и очистки стоков не позволяет оперативно реагировать на изменяющиеся режимы притока сточных вод.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44"/>
        <w:keepLines/>
        <w:keepNext/>
        <w:rPr>
          <w:b/>
          <w:bCs/>
          <w:sz w:val="28"/>
          <w:szCs w:val="28"/>
        </w:rPr>
      </w:pPr>
      <w:r/>
      <w:bookmarkStart w:id="175" w:name="_Toc175215982"/>
      <w:r>
        <w:rPr>
          <w:b/>
          <w:bCs/>
          <w:sz w:val="28"/>
          <w:szCs w:val="28"/>
        </w:rPr>
        <w:t xml:space="preserve">2.4. Краткий анализ существующего состояния системы электроснабжения</w:t>
      </w:r>
      <w:bookmarkEnd w:id="174"/>
      <w:r/>
      <w:bookmarkEnd w:id="175"/>
      <w:r/>
      <w:r>
        <w:rPr>
          <w:b/>
          <w:bCs/>
          <w:sz w:val="28"/>
          <w:szCs w:val="28"/>
        </w:rPr>
      </w:r>
    </w:p>
    <w:p>
      <w:pPr>
        <w:pStyle w:val="1544"/>
        <w:keepLines/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keepLines/>
        <w:keepNext/>
        <w:rPr>
          <w:b/>
          <w:bCs/>
          <w:sz w:val="28"/>
          <w:szCs w:val="28"/>
        </w:rPr>
      </w:pPr>
      <w:r/>
      <w:bookmarkStart w:id="176" w:name="_Toc119947469"/>
      <w:r/>
      <w:bookmarkStart w:id="177" w:name="_Toc175215983"/>
      <w:r>
        <w:rPr>
          <w:b/>
          <w:bCs/>
          <w:sz w:val="28"/>
          <w:szCs w:val="28"/>
        </w:rPr>
        <w:t xml:space="preserve">2.4.1 Институциональная структура</w:t>
      </w:r>
      <w:bookmarkEnd w:id="176"/>
      <w:r/>
      <w:bookmarkEnd w:id="177"/>
      <w:r/>
      <w:r>
        <w:rPr>
          <w:b/>
          <w:bCs/>
          <w:sz w:val="28"/>
          <w:szCs w:val="28"/>
        </w:rPr>
      </w:r>
    </w:p>
    <w:p>
      <w:pPr>
        <w:jc w:val="center"/>
        <w:keepLines/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Объекты электроэнергетики, расположенные в городе Перми, входят в состав объединенной энергетической системы филиала </w:t>
      </w:r>
      <w:bookmarkStart w:id="178" w:name="_Hlk164946834"/>
      <w:r>
        <w:rPr>
          <w:sz w:val="28"/>
          <w:szCs w:val="28"/>
        </w:rPr>
        <w:t xml:space="preserve">АО «Системный оператор Единой энергетической системы» «Объединенное диспетчерское управление энергосистемы Урала» (далее – филиал АО «СО ЕЭС» «ОДУ Урала») </w:t>
      </w:r>
      <w:bookmarkEnd w:id="178"/>
      <w:r>
        <w:rPr>
          <w:sz w:val="28"/>
          <w:szCs w:val="28"/>
        </w:rPr>
        <w:t xml:space="preserve">(форма собственности – федеральная). Оперативно-диспетчерское управление объектами электроэнергетики осуществляет филиал </w:t>
      </w:r>
      <w:bookmarkStart w:id="179" w:name="_Hlk164946856"/>
      <w:r>
        <w:rPr>
          <w:sz w:val="28"/>
          <w:szCs w:val="28"/>
        </w:rPr>
        <w:t xml:space="preserve">АО «Системный оператор Единой энергетической системы» «Региональное диспетчерское управление энергосистем Пермского края, Удмуртской Республики и Кировской области» (далее – филиал АО «СО ЕЭС» «Пермское РДУ») </w:t>
      </w:r>
      <w:bookmarkEnd w:id="179"/>
      <w:r>
        <w:rPr>
          <w:sz w:val="28"/>
          <w:szCs w:val="28"/>
        </w:rPr>
        <w:t xml:space="preserve">(форма собственности – федеральная).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Электроснабжение муниципального образования осуществляется от магистральных сетей, обслуживаемых филиалом </w:t>
      </w:r>
      <w:bookmarkStart w:id="180" w:name="_Hlk164946864"/>
      <w:r>
        <w:rPr>
          <w:sz w:val="28"/>
          <w:szCs w:val="28"/>
        </w:rPr>
        <w:t xml:space="preserve">ПАО «</w:t>
      </w:r>
      <w:r>
        <w:rPr>
          <w:sz w:val="28"/>
          <w:szCs w:val="28"/>
        </w:rPr>
        <w:t xml:space="preserve">Россети</w:t>
      </w:r>
      <w:r>
        <w:rPr>
          <w:sz w:val="28"/>
          <w:szCs w:val="28"/>
        </w:rPr>
        <w:t xml:space="preserve"> Урал» – «Пермэнерго» </w:t>
      </w:r>
      <w:bookmarkEnd w:id="180"/>
      <w:r>
        <w:rPr>
          <w:sz w:val="28"/>
          <w:szCs w:val="28"/>
        </w:rPr>
        <w:t xml:space="preserve">(форма собственности – государственная), и источников электрической энергии, вырабатывающих последнюю непосредственно в границах города Перми. К ним относятся: 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16"/>
        </w:numPr>
        <w:ind w:left="0" w:firstLine="709"/>
        <w:tabs>
          <w:tab w:val="clear" w:pos="1021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ПТЭЦ-6, ПТЭЦ-9, ПТЭЦ-13, ПТЭЦ-14, эксплуатируемые филиалом «Пермский» ПАО «Т Плюс» (форма собственности – частная); 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16"/>
        </w:numPr>
        <w:ind w:left="0" w:firstLine="709"/>
        <w:tabs>
          <w:tab w:val="clear" w:pos="1021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Камская гидроэлектростанция (далее – ГЭС) (</w:t>
      </w:r>
      <w:bookmarkStart w:id="181" w:name="_Hlk164946928"/>
      <w:r>
        <w:rPr>
          <w:sz w:val="28"/>
          <w:szCs w:val="28"/>
        </w:rPr>
        <w:t xml:space="preserve">филиал ПАО «</w:t>
      </w:r>
      <w:r>
        <w:rPr>
          <w:sz w:val="28"/>
          <w:szCs w:val="28"/>
        </w:rPr>
        <w:t xml:space="preserve">РусГидро</w:t>
      </w:r>
      <w:r>
        <w:rPr>
          <w:sz w:val="28"/>
          <w:szCs w:val="28"/>
        </w:rPr>
        <w:t xml:space="preserve">» – «Камская ГЭС») </w:t>
      </w:r>
      <w:bookmarkEnd w:id="181"/>
      <w:r>
        <w:rPr>
          <w:sz w:val="28"/>
          <w:szCs w:val="28"/>
        </w:rPr>
        <w:t xml:space="preserve">(форма собственности – смешанная российская с долей федеральной собственности).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Электрическая энергия из магистральных сетей поступает в города Перми через следующие подстанции, эксплуатируемые </w:t>
      </w:r>
      <w:bookmarkStart w:id="182" w:name="_Hlk164946962"/>
      <w:r>
        <w:rPr>
          <w:sz w:val="28"/>
          <w:szCs w:val="28"/>
        </w:rPr>
        <w:t xml:space="preserve">филиалом ПАО «Федеральная сетевая компания Единой энергетической системы» Пермского предприятия магистральных электрических сетей (далее – ПАО «ФСК ЕЭС» Пермское ПМЭС</w:t>
      </w:r>
      <w:bookmarkEnd w:id="182"/>
      <w:r>
        <w:rPr>
          <w:sz w:val="28"/>
          <w:szCs w:val="28"/>
        </w:rPr>
        <w:t xml:space="preserve">) (форма собственности – частная):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17"/>
        </w:numPr>
        <w:ind w:left="0" w:firstLine="709"/>
        <w:tabs>
          <w:tab w:val="clear" w:pos="1021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подстанция (далее – ПС) 220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«Владимирская» (располагается в Пермском муниципальном районе);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17"/>
        </w:numPr>
        <w:ind w:left="0" w:firstLine="709"/>
        <w:tabs>
          <w:tab w:val="clear" w:pos="1021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ПС 220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Химкомплекс</w:t>
      </w:r>
      <w:r>
        <w:rPr>
          <w:sz w:val="28"/>
          <w:szCs w:val="28"/>
        </w:rPr>
        <w:t xml:space="preserve">» (располагается в городе Перми);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17"/>
        </w:numPr>
        <w:ind w:left="0" w:firstLine="709"/>
        <w:tabs>
          <w:tab w:val="clear" w:pos="1021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ПС 220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«Соболи» (располагается в Пермском муниципальном районе).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В состав электрических сетей входят: 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высоковольтные линии от вышеупомянутых подстанций, включая </w:t>
      </w:r>
      <w:bookmarkStart w:id="183" w:name="_Hlk164947019"/>
      <w:r>
        <w:rPr>
          <w:sz w:val="28"/>
          <w:szCs w:val="28"/>
        </w:rPr>
        <w:t xml:space="preserve">воздушные линии (далее – ВЛ</w:t>
      </w:r>
      <w:bookmarkEnd w:id="183"/>
      <w:r>
        <w:rPr>
          <w:sz w:val="28"/>
          <w:szCs w:val="28"/>
        </w:rPr>
        <w:t xml:space="preserve">) 110 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«Камская ГЭС – Апрельская II» с отпайками, эксплуатируемых филиалом ПАО «ФСК ЕЭС» Пермское ПМЭС;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распределительные сети среднего и низкого напряжения, эксплуатируемые </w:t>
      </w:r>
      <w:bookmarkStart w:id="184" w:name="_Hlk164947057"/>
      <w:r>
        <w:rPr>
          <w:sz w:val="28"/>
          <w:szCs w:val="28"/>
        </w:rPr>
        <w:t xml:space="preserve">филиалом ПАО «</w:t>
      </w:r>
      <w:r>
        <w:rPr>
          <w:sz w:val="28"/>
          <w:szCs w:val="28"/>
        </w:rPr>
        <w:t xml:space="preserve">Россети</w:t>
      </w:r>
      <w:r>
        <w:rPr>
          <w:sz w:val="28"/>
          <w:szCs w:val="28"/>
        </w:rPr>
        <w:t xml:space="preserve"> Урал» – «Пермэнерго» </w:t>
      </w:r>
      <w:bookmarkEnd w:id="184"/>
      <w:r>
        <w:rPr>
          <w:sz w:val="28"/>
          <w:szCs w:val="28"/>
        </w:rPr>
        <w:t xml:space="preserve">(форма собственности – смешанная р</w:t>
      </w:r>
      <w:r>
        <w:rPr>
          <w:sz w:val="28"/>
          <w:szCs w:val="28"/>
        </w:rPr>
        <w:t xml:space="preserve">оссийская с долей федеральной собственности) через производственные отделения «Пермские городские электрические сети», «Северные электрические сети» и «Центральные электрические сети». Компания также занимается эксплуатацией подстанций напряжением 0,4-110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электрические сети разного напряжения, находящиеся на балансе организаций различных форм собственности (ОАО «РЖД» и другие).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Закупку на оптовом рынке электроэнергии и мощности, проведение оплаты за транспортировку электроэнергии до потребителей, выставление счетов последним и осуществление сбора средств с них осуществляет единственный гарантирующий поставщик </w:t>
      </w:r>
      <w:bookmarkStart w:id="185" w:name="_Hlk164947086"/>
      <w:r>
        <w:rPr>
          <w:sz w:val="28"/>
          <w:szCs w:val="28"/>
        </w:rPr>
        <w:t xml:space="preserve">ПАО «</w:t>
      </w:r>
      <w:r>
        <w:rPr>
          <w:sz w:val="28"/>
          <w:szCs w:val="28"/>
        </w:rPr>
        <w:t xml:space="preserve">Пермэнергосбыт</w:t>
      </w:r>
      <w:r>
        <w:rPr>
          <w:sz w:val="28"/>
          <w:szCs w:val="28"/>
        </w:rPr>
        <w:t xml:space="preserve">»</w:t>
      </w:r>
      <w:bookmarkEnd w:id="185"/>
      <w:r>
        <w:rPr>
          <w:sz w:val="28"/>
          <w:szCs w:val="28"/>
        </w:rPr>
        <w:t xml:space="preserve"> (форма собственности – частная).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Реализация электрической энергии потребителям осуществляется на основании договоров </w:t>
      </w:r>
      <w:r>
        <w:rPr>
          <w:sz w:val="28"/>
          <w:szCs w:val="28"/>
        </w:rPr>
        <w:t xml:space="preserve">ресурсоснабжения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Услуги по снабжению потребителей электроэнергией оказываются по прямым договорам, заключаемым с бюджетными и прочими организациями. С населением заключаются либо прямые договоры, либо услуга оказывается опосредованно (например, через управляющую компанию).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Основной эксплуатирующей организацией, ответственной за уличное освещение города Перми, является муниципальное бюджетное учреждение (далее – МБУ) «</w:t>
      </w:r>
      <w:r>
        <w:rPr>
          <w:sz w:val="28"/>
          <w:szCs w:val="28"/>
        </w:rPr>
        <w:t xml:space="preserve">Горсвет</w:t>
      </w:r>
      <w:r>
        <w:rPr>
          <w:sz w:val="28"/>
          <w:szCs w:val="28"/>
        </w:rPr>
        <w:t xml:space="preserve">». В рамках своих полномочий МБУ «</w:t>
      </w:r>
      <w:r>
        <w:rPr>
          <w:sz w:val="28"/>
          <w:szCs w:val="28"/>
        </w:rPr>
        <w:t xml:space="preserve">Горсвет</w:t>
      </w:r>
      <w:r>
        <w:rPr>
          <w:sz w:val="28"/>
          <w:szCs w:val="28"/>
        </w:rPr>
        <w:t xml:space="preserve">» отвечает за текущее содержание сетей, ремонт и устранение аварий. МБУ «</w:t>
      </w:r>
      <w:r>
        <w:rPr>
          <w:sz w:val="28"/>
          <w:szCs w:val="28"/>
        </w:rPr>
        <w:t xml:space="preserve">Горсвет</w:t>
      </w:r>
      <w:r>
        <w:rPr>
          <w:sz w:val="28"/>
          <w:szCs w:val="28"/>
        </w:rPr>
        <w:t xml:space="preserve">» обслуживает более 30 тысяч светильников, более тысячи километров сетей наружного освещения.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/>
      <w:bookmarkStart w:id="186" w:name="_Toc119947470"/>
      <w:r/>
      <w:bookmarkStart w:id="187" w:name="_Toc175215984"/>
      <w:r>
        <w:rPr>
          <w:b/>
          <w:bCs/>
          <w:sz w:val="28"/>
          <w:szCs w:val="28"/>
        </w:rPr>
        <w:t xml:space="preserve">2.4.2 Характеристика системы электроснабжения</w:t>
      </w:r>
      <w:bookmarkEnd w:id="186"/>
      <w:r/>
      <w:bookmarkEnd w:id="187"/>
      <w:r/>
      <w:r>
        <w:rPr>
          <w:b/>
          <w:bCs/>
          <w:sz w:val="28"/>
          <w:szCs w:val="28"/>
        </w:rPr>
      </w:r>
    </w:p>
    <w:p>
      <w:pPr>
        <w:pStyle w:val="1570"/>
      </w:pPr>
      <w:r/>
      <w:r/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Схемой и программой развития электроэнергетических систем России на 2024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2029 годы. Энергосистема Пермского края», утвержд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нной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риказом Министерства энергетики Российской Федерации от 30.11.2023 № 1095, установленная мощность электростанций энергосистемы муниципального образования город Пермь на 01.01.2023 составила 1495,6 МВт, в том числе: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ГЭС – 552,0 МВт (36,9 %);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ТЭС – 943,6 МВт (63,1 %).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В течение ретроспективного периода динамика изменения потребления электрической энергии и мощности энергосистемы города Перми обуславливалась следующими факторами: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значительной разницей среднесуточных </w:t>
      </w:r>
      <w:bookmarkStart w:id="188" w:name="_Hlk164947136"/>
      <w:r>
        <w:rPr>
          <w:sz w:val="28"/>
          <w:szCs w:val="28"/>
        </w:rPr>
        <w:t xml:space="preserve">температур наружного воздуха </w:t>
      </w:r>
      <w:bookmarkEnd w:id="188"/>
      <w:r>
        <w:rPr>
          <w:sz w:val="28"/>
          <w:szCs w:val="28"/>
        </w:rPr>
        <w:t xml:space="preserve">в дни прохождения годовых максимумов потребления мощности;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увеличением потребления объектами железнодорожного транспорта;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разнонаправленными тенденциями потребления предприятиями обрабатывающих производств;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снижением потерь в сетях при передаче электрической энергии.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На территории города расположена одна ПС 220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Химкомплекс</w:t>
      </w:r>
      <w:r>
        <w:rPr>
          <w:sz w:val="28"/>
          <w:szCs w:val="28"/>
        </w:rPr>
        <w:t xml:space="preserve">». Также в непосредственной близости от границы города расположены ПС 220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«Владимирская» и ПС 220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«Соболи». Данные подстанции являются источниками питания городских сетей электроснабжения 110 </w:t>
      </w:r>
      <w:r>
        <w:rPr>
          <w:sz w:val="28"/>
          <w:szCs w:val="28"/>
        </w:rPr>
        <w:t xml:space="preserve">кВ.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На территории города или в непосредственной близости от его границ расположены 73 ПС </w:t>
      </w:r>
      <w:r>
        <w:rPr>
          <w:color w:val="444444"/>
          <w:sz w:val="28"/>
          <w:szCs w:val="28"/>
        </w:rPr>
        <w:t xml:space="preserve">110 </w:t>
      </w:r>
      <w:r>
        <w:rPr>
          <w:color w:val="444444"/>
          <w:sz w:val="28"/>
          <w:szCs w:val="28"/>
        </w:rPr>
        <w:t xml:space="preserve">кВ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Протяженность линий электропередачи (далее – ЛЭП) производственного отделения </w:t>
      </w:r>
      <w:bookmarkStart w:id="189" w:name="_Hlk164947582"/>
      <w:r>
        <w:rPr>
          <w:sz w:val="28"/>
          <w:szCs w:val="28"/>
        </w:rPr>
        <w:t xml:space="preserve">«Пермские городские электрические сети» филиала «Пермэнерго» (далее – «ПГЭС» филиала «Пермэнерго»)</w:t>
      </w:r>
      <w:bookmarkEnd w:id="189"/>
      <w:r>
        <w:rPr>
          <w:sz w:val="28"/>
          <w:szCs w:val="28"/>
        </w:rPr>
        <w:t xml:space="preserve"> составляет 4 559,5 км с общим износом </w:t>
      </w:r>
      <w:r>
        <w:rPr>
          <w:sz w:val="28"/>
          <w:szCs w:val="28"/>
        </w:rPr>
        <w:t xml:space="preserve">66,2 %. Пермские городские электрические сети обеспечивают электроснабжением потребител</w:t>
      </w:r>
      <w:r>
        <w:rPr>
          <w:sz w:val="28"/>
          <w:szCs w:val="28"/>
        </w:rPr>
        <w:t xml:space="preserve">ей Свердловского, Ленинского, Мотовилихинского, Индустриального, Дзержинского, Орджоникидзевского, Кировского районов города Перми. Центральные электрические сети обеспечивают электроснабжением потребителей Свердловского района города Перми (поселок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) и Пермского муниципального района.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На территории Пермского края расположено более 3 178,4 км (с учетом протяженностей цепей) электрических сетей </w:t>
      </w:r>
      <w:bookmarkStart w:id="190" w:name="_Hlk164947603"/>
      <w:r>
        <w:rPr>
          <w:sz w:val="28"/>
          <w:szCs w:val="28"/>
        </w:rPr>
        <w:t xml:space="preserve">ПАО «ФСК ЕЭС»</w:t>
      </w:r>
      <w:bookmarkEnd w:id="190"/>
      <w:r>
        <w:rPr>
          <w:sz w:val="28"/>
          <w:szCs w:val="28"/>
        </w:rPr>
        <w:t xml:space="preserve">, в том числе: ВЛ 500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– 1 069,72 км, ВЛ 220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– 1 693,0 км, ВЛ 110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– 70,68 км. Из них по территории города Перми пролегает около трети вышеуказанной протяженности.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В городе насчитывается 47 118 опор наружного освещения, на которых размещены 54 570 светильников, в том числе 34 276 натриевых светильников. Автоматизированная система управления </w:t>
      </w:r>
      <w:r>
        <w:rPr>
          <w:sz w:val="28"/>
          <w:szCs w:val="28"/>
        </w:rPr>
        <w:t xml:space="preserve">наружным освещением</w:t>
      </w:r>
      <w:r>
        <w:rPr>
          <w:sz w:val="28"/>
          <w:szCs w:val="28"/>
        </w:rPr>
        <w:t xml:space="preserve"> и автоматизированная система коммерческого учета электроэнергии охватывает весь городской комплекс системы наружного освещения. Протяженность линий составляет 1 724 км, в том числе кабельных линий (далее – </w:t>
      </w:r>
      <w:r>
        <w:rPr>
          <w:sz w:val="28"/>
          <w:szCs w:val="28"/>
        </w:rPr>
        <w:t xml:space="preserve">КЛ)-</w:t>
      </w:r>
      <w:r>
        <w:rPr>
          <w:sz w:val="28"/>
          <w:szCs w:val="28"/>
        </w:rPr>
        <w:t xml:space="preserve">578 км, </w:t>
      </w:r>
      <w:r>
        <w:rPr>
          <w:sz w:val="28"/>
          <w:szCs w:val="28"/>
        </w:rPr>
        <w:br/>
        <w:t xml:space="preserve">ВЛ-1146 км. Потребление электроэнергии составляет 23,2 млн </w:t>
      </w:r>
      <w:r>
        <w:rPr>
          <w:sz w:val="28"/>
          <w:szCs w:val="28"/>
        </w:rPr>
        <w:t xml:space="preserve">кВт‧ч</w:t>
      </w:r>
      <w:r>
        <w:rPr>
          <w:sz w:val="28"/>
          <w:szCs w:val="28"/>
        </w:rPr>
        <w:t xml:space="preserve">, за которые в 2022 году было оплачено 154,6 млн руб.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/>
      <w:bookmarkStart w:id="191" w:name="_Toc119947471"/>
      <w:r/>
      <w:bookmarkStart w:id="192" w:name="_Toc175215985"/>
      <w:r>
        <w:rPr>
          <w:b/>
          <w:bCs/>
          <w:sz w:val="28"/>
          <w:szCs w:val="28"/>
        </w:rPr>
        <w:t xml:space="preserve">2.4.3 Балансы мощности и ресурса</w:t>
      </w:r>
      <w:bookmarkEnd w:id="191"/>
      <w:r/>
      <w:bookmarkEnd w:id="192"/>
      <w:r/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4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Баланс электрической энергии за 2019-2023 годы представлен в таблице 2.22. </w:t>
      </w:r>
      <w:r>
        <w:rPr>
          <w:sz w:val="28"/>
          <w:szCs w:val="28"/>
        </w:rPr>
      </w:r>
    </w:p>
    <w:p>
      <w:pPr>
        <w:pStyle w:val="1544"/>
        <w:jc w:val="right"/>
        <w:rPr>
          <w:b/>
          <w:bCs/>
          <w:sz w:val="28"/>
          <w:szCs w:val="28"/>
        </w:rPr>
      </w:pPr>
      <w:r/>
      <w:bookmarkStart w:id="193" w:name="_Ref159682115"/>
      <w:r/>
      <w:bookmarkStart w:id="194" w:name="_Toc175216098"/>
      <w:r/>
      <w:r>
        <w:rPr>
          <w:b/>
          <w:bCs/>
          <w:sz w:val="28"/>
          <w:szCs w:val="28"/>
        </w:rPr>
      </w:r>
    </w:p>
    <w:p>
      <w:pPr>
        <w:pStyle w:val="1544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Таблица 2.22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Баланс электрической энерги</w:t>
      </w:r>
      <w:bookmarkEnd w:id="193"/>
      <w:r>
        <w:rPr>
          <w:b/>
          <w:bCs/>
          <w:color w:val="000000" w:themeColor="text1"/>
          <w:sz w:val="28"/>
          <w:szCs w:val="28"/>
        </w:rPr>
        <w:t xml:space="preserve">и</w:t>
      </w:r>
      <w:bookmarkEnd w:id="194"/>
      <w:r/>
      <w:r>
        <w:rPr>
          <w:b/>
          <w:bCs/>
          <w:color w:val="000000" w:themeColor="text1"/>
          <w:sz w:val="28"/>
          <w:szCs w:val="28"/>
        </w:rPr>
      </w:r>
    </w:p>
    <w:p>
      <w:pPr>
        <w:pStyle w:val="1570"/>
      </w:pPr>
      <w:r/>
      <w:r/>
    </w:p>
    <w:tbl>
      <w:tblPr>
        <w:tblStyle w:val="988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134"/>
        <w:gridCol w:w="1134"/>
        <w:gridCol w:w="1136"/>
        <w:gridCol w:w="1135"/>
        <w:gridCol w:w="1095"/>
      </w:tblGrid>
      <w:tr>
        <w:tblPrEx/>
        <w:trPr>
          <w:trHeight w:val="20"/>
          <w:tblHeader/>
        </w:trPr>
        <w:tc>
          <w:tcPr>
            <w:tcW w:w="308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Показатели 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Ед. изм.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2019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2023</w:t>
            </w:r>
            <w:r>
              <w:rPr>
                <w:color w:val="000000"/>
                <w:sz w:val="20"/>
                <w:szCs w:val="20"/>
                <w:vertAlign w:val="superscript"/>
              </w:rPr>
              <w:t xml:space="preserve">1</w:t>
            </w:r>
            <w:r>
              <w:rPr>
                <w:color w:val="000000"/>
                <w:sz w:val="20"/>
                <w:szCs w:val="20"/>
                <w:vertAlign w:val="superscript"/>
              </w:rPr>
            </w:r>
          </w:p>
        </w:tc>
      </w:tr>
      <w:tr>
        <w:tblPrEx/>
        <w:trPr>
          <w:trHeight w:val="20"/>
        </w:trPr>
        <w:tc>
          <w:tcPr>
            <w:tcW w:w="3085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Производство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млн </w:t>
            </w:r>
            <w:r>
              <w:rPr>
                <w:bCs/>
                <w:color w:val="000000"/>
                <w:sz w:val="20"/>
                <w:szCs w:val="20"/>
              </w:rPr>
              <w:t xml:space="preserve">кВт‧ч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6 714,3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6 913,4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5 697,9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5 454,8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095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6 195,1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3085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Нетто-</w:t>
            </w:r>
            <w:r>
              <w:rPr>
                <w:bCs/>
                <w:sz w:val="20"/>
                <w:szCs w:val="20"/>
              </w:rPr>
              <w:t xml:space="preserve">переток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млн </w:t>
            </w:r>
            <w:r>
              <w:rPr>
                <w:bCs/>
                <w:color w:val="000000"/>
                <w:sz w:val="20"/>
                <w:szCs w:val="20"/>
              </w:rPr>
              <w:t xml:space="preserve">кВт‧ч</w:t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2 365,9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1 705,4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3 529,8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3 800,4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9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3 022,9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3085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Собственные нужды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млн </w:t>
            </w:r>
            <w:r>
              <w:rPr>
                <w:bCs/>
                <w:color w:val="000000"/>
                <w:sz w:val="20"/>
                <w:szCs w:val="20"/>
              </w:rPr>
              <w:t xml:space="preserve">кВт‧ч</w:t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109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3085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Отпуск в сеть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млн </w:t>
            </w:r>
            <w:r>
              <w:rPr>
                <w:bCs/>
                <w:color w:val="000000"/>
                <w:sz w:val="20"/>
                <w:szCs w:val="20"/>
              </w:rPr>
              <w:t xml:space="preserve">кВт‧ч</w:t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9 080,2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8 618,8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9 227,7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9 255,2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095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9 218,0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3085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Потери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млн </w:t>
            </w:r>
            <w:r>
              <w:rPr>
                <w:bCs/>
                <w:color w:val="000000"/>
                <w:sz w:val="20"/>
                <w:szCs w:val="20"/>
              </w:rPr>
              <w:t xml:space="preserve">кВт‧ч</w:t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-1 150,2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-1 018,5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-1 036,4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-1 120,4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9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-1 116,5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3085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Преобразование топлива, в </w:t>
            </w:r>
            <w:r>
              <w:rPr>
                <w:bCs/>
                <w:sz w:val="20"/>
                <w:szCs w:val="20"/>
              </w:rPr>
              <w:t xml:space="preserve">т.ч</w:t>
            </w:r>
            <w:r>
              <w:rPr>
                <w:bCs/>
                <w:sz w:val="20"/>
                <w:szCs w:val="20"/>
              </w:rPr>
              <w:t xml:space="preserve">.: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млн </w:t>
            </w:r>
            <w:r>
              <w:rPr>
                <w:bCs/>
                <w:color w:val="000000"/>
                <w:sz w:val="20"/>
                <w:szCs w:val="20"/>
              </w:rPr>
              <w:t xml:space="preserve">кВт‧ч</w:t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-551,3</w:t>
            </w:r>
            <w:r>
              <w:rPr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-508,7</w:t>
            </w:r>
            <w:r>
              <w:rPr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-466,1</w:t>
            </w:r>
            <w:r>
              <w:rPr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-466,1</w:t>
            </w:r>
            <w:r>
              <w:rPr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1095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-407,2</w:t>
            </w:r>
            <w:r>
              <w:rPr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3085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котельные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млн </w:t>
            </w:r>
            <w:r>
              <w:rPr>
                <w:bCs/>
                <w:color w:val="000000"/>
                <w:sz w:val="20"/>
                <w:szCs w:val="20"/>
              </w:rPr>
              <w:t xml:space="preserve">кВт‧ч</w:t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-551,3</w:t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-508,7</w:t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-466,1</w:t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-466,1</w:t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09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-407,2</w:t>
            </w: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3085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Полезный отпуск, в </w:t>
            </w:r>
            <w:r>
              <w:rPr>
                <w:bCs/>
                <w:sz w:val="20"/>
                <w:szCs w:val="20"/>
              </w:rPr>
              <w:t xml:space="preserve">т.ч</w:t>
            </w:r>
            <w:r>
              <w:rPr>
                <w:bCs/>
                <w:sz w:val="20"/>
                <w:szCs w:val="20"/>
              </w:rPr>
              <w:t xml:space="preserve">.: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млн </w:t>
            </w:r>
            <w:r>
              <w:rPr>
                <w:bCs/>
                <w:color w:val="000000"/>
                <w:sz w:val="20"/>
                <w:szCs w:val="20"/>
              </w:rPr>
              <w:t xml:space="preserve">кВт‧ч</w:t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7 378,7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7 091,6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7 725,2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7 668,7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095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7 694,3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3085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население, из него: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млн </w:t>
            </w:r>
            <w:r>
              <w:rPr>
                <w:bCs/>
                <w:color w:val="000000"/>
                <w:sz w:val="20"/>
                <w:szCs w:val="20"/>
              </w:rPr>
              <w:t xml:space="preserve">кВт‧ч</w:t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1 435,7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1 448,9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1 460,9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1 460,9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9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1 487,9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3085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МКД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млн </w:t>
            </w:r>
            <w:r>
              <w:rPr>
                <w:bCs/>
                <w:color w:val="000000"/>
                <w:sz w:val="20"/>
                <w:szCs w:val="20"/>
              </w:rPr>
              <w:t xml:space="preserve">кВт‧ч</w:t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1 190,6</w:t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1 200,2</w:t>
            </w:r>
            <w:r>
              <w:rPr>
                <w:sz w:val="20"/>
                <w:szCs w:val="20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1 209,0</w:t>
            </w:r>
            <w:r>
              <w:rPr>
                <w:sz w:val="20"/>
                <w:szCs w:val="20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1 209,0</w:t>
            </w:r>
            <w:r>
              <w:rPr>
                <w:sz w:val="20"/>
                <w:szCs w:val="20"/>
              </w:rPr>
            </w:r>
          </w:p>
        </w:tc>
        <w:tc>
          <w:tcPr>
            <w:tcW w:w="109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1 229,2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3085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ИОЗ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млн </w:t>
            </w:r>
            <w:r>
              <w:rPr>
                <w:bCs/>
                <w:color w:val="000000"/>
                <w:sz w:val="20"/>
                <w:szCs w:val="20"/>
              </w:rPr>
              <w:t xml:space="preserve">кВт‧ч</w:t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245,1</w:t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248,7</w:t>
            </w:r>
            <w:r>
              <w:rPr>
                <w:sz w:val="20"/>
                <w:szCs w:val="20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251,9</w:t>
            </w:r>
            <w:r>
              <w:rPr>
                <w:sz w:val="20"/>
                <w:szCs w:val="20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251,9</w:t>
            </w:r>
            <w:r>
              <w:rPr>
                <w:sz w:val="20"/>
                <w:szCs w:val="20"/>
              </w:rPr>
            </w:r>
          </w:p>
        </w:tc>
        <w:tc>
          <w:tcPr>
            <w:tcW w:w="109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258,7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3085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бюджетные организации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млн </w:t>
            </w:r>
            <w:r>
              <w:rPr>
                <w:bCs/>
                <w:color w:val="000000"/>
                <w:sz w:val="20"/>
                <w:szCs w:val="20"/>
              </w:rPr>
              <w:t xml:space="preserve">кВт‧ч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232,5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230,6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250,5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250,5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9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255,1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3085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прочие потребители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млн </w:t>
            </w:r>
            <w:r>
              <w:rPr>
                <w:bCs/>
                <w:color w:val="000000"/>
                <w:sz w:val="20"/>
                <w:szCs w:val="20"/>
              </w:rPr>
              <w:t xml:space="preserve">кВт‧ч</w:t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5 710,5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5 412,1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6 013,8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5 957,3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9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5 951,3</w:t>
            </w: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ind w:firstLine="709"/>
        <w:rPr>
          <w:rFonts w:cs="Arial Unicode MS"/>
          <w:i/>
          <w:color w:val="000000"/>
          <w:sz w:val="20"/>
          <w:szCs w:val="20"/>
          <w:lang w:eastAsia="en-US"/>
        </w:rPr>
      </w:pPr>
      <w:r>
        <w:rPr>
          <w:rFonts w:cs="Arial Unicode MS"/>
          <w:i/>
          <w:color w:val="000000"/>
          <w:sz w:val="20"/>
          <w:szCs w:val="20"/>
          <w:lang w:eastAsia="en-US"/>
        </w:rPr>
      </w:r>
      <w:r>
        <w:rPr>
          <w:rFonts w:cs="Arial Unicode MS"/>
          <w:i/>
          <w:color w:val="000000"/>
          <w:sz w:val="20"/>
          <w:szCs w:val="20"/>
          <w:lang w:eastAsia="en-US"/>
        </w:rPr>
      </w:r>
    </w:p>
    <w:p>
      <w:pPr>
        <w:ind w:firstLine="709"/>
        <w:rPr>
          <w:rFonts w:cs="Arial Unicode MS"/>
          <w:i/>
          <w:color w:val="000000"/>
          <w:lang w:eastAsia="en-US"/>
        </w:rPr>
      </w:pPr>
      <w:r>
        <w:rPr>
          <w:rFonts w:cs="Arial Unicode MS"/>
          <w:i/>
          <w:color w:val="000000"/>
          <w:lang w:eastAsia="en-US"/>
        </w:rPr>
        <w:t xml:space="preserve">---------------------------</w:t>
      </w:r>
      <w:r>
        <w:rPr>
          <w:rFonts w:cs="Arial Unicode MS"/>
          <w:i/>
          <w:color w:val="000000"/>
          <w:lang w:eastAsia="en-US"/>
        </w:rPr>
      </w:r>
    </w:p>
    <w:p>
      <w:pPr>
        <w:ind w:firstLine="709"/>
        <w:rPr>
          <w:rFonts w:cs="Arial Unicode MS"/>
          <w:iCs/>
          <w:color w:val="000000"/>
          <w:lang w:eastAsia="en-US"/>
        </w:rPr>
      </w:pPr>
      <w:r>
        <w:rPr>
          <w:rFonts w:cs="Arial Unicode MS"/>
          <w:iCs/>
          <w:color w:val="000000"/>
          <w:lang w:eastAsia="en-US"/>
        </w:rPr>
        <w:t xml:space="preserve">1. Указаны прогнозные данные.</w:t>
      </w:r>
      <w:r>
        <w:rPr>
          <w:rFonts w:cs="Arial Unicode MS"/>
          <w:iCs/>
          <w:color w:val="000000"/>
          <w:lang w:eastAsia="en-US"/>
        </w:rPr>
      </w:r>
    </w:p>
    <w:p>
      <w:pPr>
        <w:ind w:firstLine="709"/>
        <w:jc w:val="both"/>
        <w:rPr>
          <w:rFonts w:cs="Arial Unicode MS"/>
          <w:iCs/>
          <w:color w:val="000000"/>
          <w:lang w:eastAsia="en-US"/>
        </w:rPr>
      </w:pPr>
      <w:r>
        <w:rPr>
          <w:rFonts w:cs="Arial Unicode MS"/>
          <w:iCs/>
          <w:color w:val="000000"/>
          <w:lang w:eastAsia="en-US"/>
        </w:rPr>
        <w:t xml:space="preserve">Примечание. Источники информации – форма федерального статистического наблюдения 1-ТЕП «Сведения о снабжении </w:t>
      </w:r>
      <w:r>
        <w:rPr>
          <w:rFonts w:cs="Arial Unicode MS"/>
          <w:iCs/>
          <w:color w:val="000000"/>
          <w:lang w:eastAsia="en-US"/>
        </w:rPr>
        <w:t xml:space="preserve">теплоэнергией</w:t>
      </w:r>
      <w:r>
        <w:rPr>
          <w:rFonts w:cs="Arial Unicode MS"/>
          <w:iCs/>
          <w:color w:val="000000"/>
          <w:lang w:eastAsia="en-US"/>
        </w:rPr>
        <w:t xml:space="preserve">», форма федерального статистического наблюдения 22-ЖКХ (ресурсы) «Сведения о работе </w:t>
      </w:r>
      <w:r>
        <w:rPr>
          <w:rFonts w:cs="Arial Unicode MS"/>
          <w:iCs/>
          <w:color w:val="000000"/>
          <w:lang w:eastAsia="en-US"/>
        </w:rPr>
        <w:t xml:space="preserve">ресурсоснабжающих</w:t>
      </w:r>
      <w:r>
        <w:rPr>
          <w:rFonts w:cs="Arial Unicode MS"/>
          <w:iCs/>
          <w:color w:val="000000"/>
          <w:lang w:eastAsia="en-US"/>
        </w:rPr>
        <w:t xml:space="preserve"> организаций в условиях реформы», балансы электрической мощности и энергии.</w:t>
      </w:r>
      <w:r>
        <w:rPr>
          <w:rFonts w:cs="Arial Unicode MS"/>
          <w:iCs/>
          <w:color w:val="000000"/>
          <w:lang w:eastAsia="en-US"/>
        </w:rPr>
      </w:r>
    </w:p>
    <w:p>
      <w:pPr>
        <w:ind w:firstLine="709"/>
        <w:jc w:val="both"/>
        <w:rPr>
          <w:rFonts w:cs="Arial Unicode MS"/>
          <w:i/>
          <w:color w:val="000000"/>
          <w:sz w:val="20"/>
          <w:lang w:eastAsia="en-US"/>
        </w:rPr>
      </w:pPr>
      <w:r>
        <w:rPr>
          <w:rFonts w:cs="Arial Unicode MS"/>
          <w:i/>
          <w:color w:val="000000"/>
          <w:sz w:val="20"/>
          <w:lang w:eastAsia="en-US"/>
        </w:rPr>
      </w:r>
      <w:r>
        <w:rPr>
          <w:rFonts w:cs="Arial Unicode MS"/>
          <w:i/>
          <w:color w:val="000000"/>
          <w:sz w:val="20"/>
          <w:lang w:eastAsia="en-US"/>
        </w:rPr>
      </w:r>
    </w:p>
    <w:p>
      <w:pPr>
        <w:pStyle w:val="1544"/>
        <w:keepLines/>
        <w:keepNext/>
        <w:rPr>
          <w:b/>
          <w:bCs/>
          <w:sz w:val="28"/>
          <w:szCs w:val="28"/>
        </w:rPr>
      </w:pPr>
      <w:r/>
      <w:bookmarkStart w:id="195" w:name="_Toc119947472"/>
      <w:r/>
      <w:bookmarkStart w:id="196" w:name="_Toc175215986"/>
      <w:r>
        <w:rPr>
          <w:b/>
          <w:bCs/>
          <w:sz w:val="28"/>
          <w:szCs w:val="28"/>
        </w:rPr>
        <w:t xml:space="preserve">2.4.4 Доля поставки ресурса по приборам учета</w:t>
      </w:r>
      <w:bookmarkEnd w:id="195"/>
      <w:r/>
      <w:bookmarkEnd w:id="196"/>
      <w:r/>
      <w:r>
        <w:rPr>
          <w:b/>
          <w:bCs/>
          <w:sz w:val="28"/>
          <w:szCs w:val="28"/>
        </w:rPr>
      </w:r>
    </w:p>
    <w:p>
      <w:pPr>
        <w:keepLines/>
        <w:keepNext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bookmarkStart w:id="197" w:name="_Hlk166592462"/>
      <w:r>
        <w:rPr>
          <w:sz w:val="28"/>
          <w:szCs w:val="28"/>
        </w:rPr>
        <w:t xml:space="preserve">постановлениями Правительства Российской Федерации от 04.05.2012 № 442 «О функционировании розничных рынков электрической энергии, полном и (или) частичном ограничении режима потребления </w:t>
      </w:r>
      <w:r>
        <w:rPr>
          <w:sz w:val="28"/>
          <w:szCs w:val="28"/>
          <w:highlight w:val="white"/>
        </w:rPr>
        <w:t xml:space="preserve">электрической энергии»</w:t>
      </w:r>
      <w:bookmarkEnd w:id="197"/>
      <w:r>
        <w:rPr>
          <w:sz w:val="28"/>
          <w:szCs w:val="28"/>
          <w:highlight w:val="white"/>
        </w:rPr>
        <w:t xml:space="preserve">, от 06.05.2011 № 354 «О предоставлении коммунальных услуг собственникам и пользователям помещений в многоквартирных домах и жилых домов» с 01.07.2020 ответственность за установку и замену приборов учета электроэнергии переходит к энергети</w:t>
      </w:r>
      <w:r>
        <w:rPr>
          <w:sz w:val="28"/>
          <w:szCs w:val="28"/>
        </w:rPr>
        <w:t xml:space="preserve">ческим компаниям: гарантирующим поставщикам в многоквартирных домах и к сетевым компаниям в случае с прочими потребителями (к ним в том числе относятся потребители в частной жилой застройке), при этом </w:t>
      </w:r>
      <w:r>
        <w:rPr>
          <w:sz w:val="28"/>
          <w:szCs w:val="28"/>
          <w:highlight w:val="white"/>
        </w:rPr>
        <w:t xml:space="preserve">с 01.01.2022</w:t>
      </w:r>
      <w:r>
        <w:rPr>
          <w:sz w:val="28"/>
          <w:szCs w:val="28"/>
        </w:rPr>
        <w:t xml:space="preserve"> установке подлежат приборы учета, соответствующие требованиям к приборам учета электрической энергии, которые могут быть присоединены к интеллектуальной системе учета электрической энергии (мощности).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Доля оснащенности приборами учета электроэнергии составляет в 2022 году: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коллективными (общедомовыми) – 100,0 %;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индивидуальными: </w:t>
      </w:r>
      <w:r>
        <w:rPr>
          <w:sz w:val="28"/>
          <w:szCs w:val="28"/>
        </w:rPr>
      </w:r>
    </w:p>
    <w:p>
      <w:pPr>
        <w:pStyle w:val="98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МКД – 100,0 %;</w:t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ИОЗ – 100,0 %.</w:t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/>
      <w:bookmarkStart w:id="198" w:name="_Toc119947473"/>
      <w:r/>
      <w:bookmarkStart w:id="199" w:name="_Toc175215987"/>
      <w:r>
        <w:rPr>
          <w:b/>
          <w:bCs/>
          <w:sz w:val="28"/>
          <w:szCs w:val="28"/>
        </w:rPr>
        <w:t xml:space="preserve">2.4.5 Зоны действия источников ресурсов</w:t>
      </w:r>
      <w:bookmarkEnd w:id="198"/>
      <w:r/>
      <w:bookmarkEnd w:id="199"/>
      <w:r/>
      <w:r>
        <w:rPr>
          <w:b/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Зона действия источника электроснабжения обусловлена рекомендуемой предельной протяженностью ЛЭП в зависимости от номинального напряжения и передаваемой мощности. </w:t>
      </w:r>
      <w:bookmarkStart w:id="200" w:name="_Hlk166592475"/>
      <w:r>
        <w:rPr>
          <w:sz w:val="28"/>
          <w:szCs w:val="28"/>
        </w:rPr>
        <w:t xml:space="preserve">На территории города Перми или в непосредственной близости от его границ расположены 73 ПС 6 – 110 </w:t>
      </w:r>
      <w:r>
        <w:rPr>
          <w:sz w:val="28"/>
          <w:szCs w:val="28"/>
        </w:rPr>
        <w:t xml:space="preserve">кВ.</w:t>
      </w:r>
      <w:r>
        <w:rPr>
          <w:sz w:val="28"/>
          <w:szCs w:val="28"/>
        </w:rPr>
        <w:t xml:space="preserve"> Источники электроснабжения локализованы в местах существующей и перспективной нагрузки, поэтому обеспечивают централизованное электроснабжение потребителей</w:t>
      </w:r>
      <w:r>
        <w:rPr>
          <w:rFonts w:asciiTheme="minorHAnsi" w:hAnsiTheme="minorHAnsi" w:cstheme="minorHAnsi"/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/>
      <w:bookmarkStart w:id="201" w:name="_Toc119947474"/>
      <w:r/>
      <w:bookmarkStart w:id="202" w:name="_Toc175215988"/>
      <w:r/>
      <w:bookmarkEnd w:id="200"/>
      <w:r>
        <w:rPr>
          <w:b/>
          <w:bCs/>
          <w:sz w:val="28"/>
          <w:szCs w:val="28"/>
        </w:rPr>
        <w:t xml:space="preserve">2.4.6 Резервы и дефициты по зонам действия источников ресурсов </w:t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поселению, городскому округу в целом</w:t>
      </w:r>
      <w:bookmarkEnd w:id="201"/>
      <w:r/>
      <w:bookmarkEnd w:id="202"/>
      <w:r/>
      <w:r>
        <w:rPr>
          <w:b/>
          <w:b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На территории города Перми отсутствует недостаток генерирующих мощностей. Однако в связи с интенсивными планами перспективного развития города, возможно, требуется дополнительной объем свободной для технологического присоединения мощности вблизи ПС 35/6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Судозавод</w:t>
      </w:r>
      <w:r>
        <w:rPr>
          <w:sz w:val="28"/>
          <w:szCs w:val="28"/>
        </w:rPr>
        <w:t xml:space="preserve">, ПС 110/35/6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Мост, ПС 110/35/6 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Балмошная</w:t>
      </w:r>
      <w:r>
        <w:rPr>
          <w:sz w:val="28"/>
          <w:szCs w:val="28"/>
        </w:rPr>
        <w:t xml:space="preserve">, ПС 110/6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Старехи</w:t>
      </w:r>
      <w:r>
        <w:rPr>
          <w:sz w:val="28"/>
          <w:szCs w:val="28"/>
        </w:rPr>
        <w:t xml:space="preserve">, ПС 35/6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Закамская</w:t>
      </w:r>
      <w:r>
        <w:rPr>
          <w:sz w:val="28"/>
          <w:szCs w:val="28"/>
        </w:rPr>
        <w:t xml:space="preserve">, ПС 110/35/10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Муллы, ПС 35/6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Телефонная, ПС 35/10/6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Первомайская, ПС 110/10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Краснова для ввода новых потребителей.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rPr>
          <w:b/>
          <w:bCs/>
          <w:sz w:val="28"/>
          <w:szCs w:val="28"/>
        </w:rPr>
      </w:pPr>
      <w:r/>
      <w:bookmarkStart w:id="203" w:name="_Toc119947475"/>
      <w:r/>
      <w:bookmarkStart w:id="204" w:name="_Toc175215989"/>
      <w:r>
        <w:rPr>
          <w:b/>
          <w:bCs/>
          <w:sz w:val="28"/>
          <w:szCs w:val="28"/>
        </w:rPr>
        <w:t xml:space="preserve">2.4.7 Надежность работы системы</w:t>
      </w:r>
      <w:bookmarkEnd w:id="203"/>
      <w:r/>
      <w:bookmarkEnd w:id="204"/>
      <w:r/>
      <w:r>
        <w:rPr>
          <w:b/>
          <w:bCs/>
          <w:sz w:val="28"/>
          <w:szCs w:val="28"/>
        </w:rPr>
      </w:r>
    </w:p>
    <w:p>
      <w:pPr>
        <w:ind w:firstLine="709"/>
        <w:jc w:val="center"/>
        <w:keepLines/>
        <w:keepNext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 и сети системы электроснабжения в основном находятся в удовлетворительном состоянии. Общий износ ЛЭП «ПГЭС» филиала «Пермэнерго» составляет 66,2 %.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система наружного освещения в городе Перми умеренно эффективно функционирует, однако не в полной мере отвечает современным требованиям. В рамках проекта «Умный свет» с 2019 года проводится активная модернизация уличного освещения.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В 2022 году заменены на современные светодиодные светильники 10 880 неэффективных светильников, новое уличное освещение обустроено на более чем 5 км дорожного полотна, установлены контроллеры управления, позволяющие регулировать освещение. </w:t>
      </w:r>
      <w:r>
        <w:rPr>
          <w:sz w:val="28"/>
          <w:szCs w:val="28"/>
        </w:rPr>
      </w:r>
    </w:p>
    <w:p>
      <w:pPr>
        <w:pStyle w:val="157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keepLines/>
        <w:keepNext/>
        <w:rPr>
          <w:b/>
          <w:bCs/>
          <w:sz w:val="28"/>
          <w:szCs w:val="28"/>
        </w:rPr>
      </w:pPr>
      <w:r/>
      <w:bookmarkStart w:id="205" w:name="_Toc119947476"/>
      <w:r/>
      <w:bookmarkStart w:id="206" w:name="_Toc175215990"/>
      <w:r>
        <w:rPr>
          <w:b/>
          <w:bCs/>
          <w:sz w:val="28"/>
          <w:szCs w:val="28"/>
        </w:rPr>
        <w:t xml:space="preserve">2.4.8 Качество поставляемого ресурса</w:t>
      </w:r>
      <w:bookmarkEnd w:id="205"/>
      <w:r/>
      <w:bookmarkEnd w:id="206"/>
      <w:r/>
      <w:r>
        <w:rPr>
          <w:b/>
          <w:bCs/>
          <w:sz w:val="28"/>
          <w:szCs w:val="28"/>
        </w:rPr>
      </w:r>
    </w:p>
    <w:p>
      <w:pPr>
        <w:keepLines/>
        <w:keepNext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качеству коммунальной услуги «электроснабжение», допустимы</w:t>
      </w:r>
      <w:r>
        <w:rPr>
          <w:sz w:val="28"/>
          <w:szCs w:val="28"/>
        </w:rPr>
        <w:t xml:space="preserve">е отступления от этих требований и допустимая продолжительность перерывов предоставления коммунальных услуг определены Правилами предоставления коммунальных услуг собственникам и пользователям помещений в многоквартирных домах и жилых домов, утвержденными </w:t>
      </w:r>
      <w:bookmarkStart w:id="207" w:name="_Hlk166592496"/>
      <w:r>
        <w:rPr>
          <w:sz w:val="28"/>
          <w:szCs w:val="28"/>
        </w:rPr>
        <w:t xml:space="preserve">постановлением Правительства Российской Федерации от 06.05.2011</w:t>
      </w:r>
      <w:bookmarkEnd w:id="207"/>
      <w:r>
        <w:rPr>
          <w:sz w:val="28"/>
          <w:szCs w:val="28"/>
        </w:rPr>
        <w:t xml:space="preserve"> № 354, а именно: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бесперебойное круглосуточное электроснабжение в течение </w:t>
      </w:r>
      <w:r>
        <w:rPr>
          <w:sz w:val="28"/>
          <w:szCs w:val="28"/>
        </w:rPr>
        <w:t xml:space="preserve">года. Допустимая продолжительность перерыва электроснабжения: 2 часа – при наличии двух независимых взаимно резервирующих источников питания; 24 часа – при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наличии 1 источника питания;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постоянное соответствие напряжения и частоты электрического тока требованиям законодательства Российской Федерации о техническом регулировании (</w:t>
      </w:r>
      <w:bookmarkStart w:id="208" w:name="_Hlk166592502"/>
      <w:r>
        <w:rPr>
          <w:sz w:val="28"/>
          <w:szCs w:val="28"/>
        </w:rPr>
        <w:t xml:space="preserve">ГОСТ 32144-2013</w:t>
      </w:r>
      <w:bookmarkEnd w:id="208"/>
      <w:r>
        <w:rPr>
          <w:sz w:val="28"/>
          <w:szCs w:val="28"/>
        </w:rPr>
        <w:t xml:space="preserve"> и </w:t>
      </w:r>
      <w:bookmarkStart w:id="209" w:name="_Hlk166592508"/>
      <w:r>
        <w:rPr>
          <w:sz w:val="28"/>
          <w:szCs w:val="28"/>
        </w:rPr>
        <w:t xml:space="preserve">ГОСТ 29322-2014</w:t>
      </w:r>
      <w:bookmarkEnd w:id="209"/>
      <w:r>
        <w:rPr>
          <w:sz w:val="28"/>
          <w:szCs w:val="28"/>
        </w:rPr>
        <w:t xml:space="preserve">). Отклонение напряжения и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(или) частоты электрического тока от требований законодательства Российской Федерации о техническом регулировании не допускается.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Система электроснабжения города Перми соответствует предъявляемым требованиям.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/>
      <w:bookmarkStart w:id="210" w:name="_Toc119947477"/>
      <w:r/>
      <w:bookmarkStart w:id="211" w:name="_Toc175215991"/>
      <w:r>
        <w:rPr>
          <w:b/>
          <w:bCs/>
          <w:sz w:val="28"/>
          <w:szCs w:val="28"/>
        </w:rPr>
        <w:t xml:space="preserve">2.4.9 Воздействие на окружающую среду</w:t>
      </w:r>
      <w:bookmarkEnd w:id="210"/>
      <w:r/>
      <w:bookmarkEnd w:id="211"/>
      <w:r/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</w:r>
      <w:r>
        <w:rPr>
          <w:b/>
          <w:bCs/>
          <w:sz w:val="28"/>
          <w:szCs w:val="28"/>
          <w:lang w:eastAsia="en-US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Расчет эмиссии парниковых газов проводился в соответствии с Методикой количественного определения объемов выбросов парниковых газов и поглощений парниковых газов, утвержденной </w:t>
      </w:r>
      <w:bookmarkStart w:id="212" w:name="_Hlk166592517"/>
      <w:r>
        <w:rPr>
          <w:sz w:val="28"/>
          <w:szCs w:val="28"/>
        </w:rPr>
        <w:t xml:space="preserve">приказом Минприроды России от 27.05.2022 № 371</w:t>
      </w:r>
      <w:bookmarkEnd w:id="212"/>
      <w:r>
        <w:rPr>
          <w:sz w:val="28"/>
          <w:szCs w:val="28"/>
        </w:rPr>
        <w:t xml:space="preserve">. Выбросы парниковых газов в 2023 году оценены на уровне 1 644,4 тыс. т СО</w:t>
      </w:r>
      <w:r>
        <w:rPr>
          <w:sz w:val="28"/>
          <w:szCs w:val="28"/>
          <w:vertAlign w:val="subscript"/>
        </w:rPr>
        <w:t xml:space="preserve">2-экв. </w:t>
      </w:r>
      <w:r>
        <w:rPr>
          <w:sz w:val="28"/>
          <w:szCs w:val="28"/>
        </w:rPr>
        <w:t xml:space="preserve">Все они возникли в результате сжигания природного газа. Их динамика напрямую зависит от сжигания топлива на источниках электрической энергии.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/>
      <w:bookmarkStart w:id="213" w:name="_Toc119947478"/>
      <w:r/>
      <w:bookmarkStart w:id="214" w:name="_Toc175215992"/>
      <w:r>
        <w:rPr>
          <w:b/>
          <w:bCs/>
          <w:sz w:val="28"/>
          <w:szCs w:val="28"/>
        </w:rPr>
        <w:t xml:space="preserve">2.4.10 Тарифы, плата (тариф) за подключение (присоединение), структура себестоимости производства и транспорта ресурса</w:t>
      </w:r>
      <w:bookmarkEnd w:id="213"/>
      <w:r/>
      <w:bookmarkEnd w:id="214"/>
      <w:r/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Тарифы на электрическую энергию действуют на территории всего Пермского края. На 2024 год они утверждены </w:t>
      </w:r>
      <w:bookmarkStart w:id="215" w:name="_Hlk166592543"/>
      <w:r>
        <w:rPr>
          <w:sz w:val="28"/>
          <w:szCs w:val="28"/>
        </w:rPr>
        <w:t xml:space="preserve">постановлением Министерства тарифного регулирования и энергетики Пермского края от 21.12.2023 № 16-э</w:t>
      </w:r>
      <w:bookmarkEnd w:id="215"/>
      <w:r>
        <w:rPr>
          <w:sz w:val="28"/>
          <w:szCs w:val="28"/>
        </w:rPr>
        <w:t xml:space="preserve">. Действующий в первой половине 2024 года </w:t>
      </w:r>
      <w:r>
        <w:rPr>
          <w:sz w:val="28"/>
          <w:szCs w:val="28"/>
        </w:rPr>
        <w:t xml:space="preserve">одноставочный</w:t>
      </w:r>
      <w:r>
        <w:rPr>
          <w:sz w:val="28"/>
          <w:szCs w:val="28"/>
        </w:rPr>
        <w:t xml:space="preserve"> тариф (с НДС) для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населения городского со стационарными газовыми плитами составляет 5,05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руб. за киловатт-час, для населения с электроплитами – 3,71 руб. за киловатт-час. Более подробно тарифы за предшествующие годы представлены в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таблице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2.23.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Плата за технологическое присоединение к электрическим сетям на 2024 год установлена </w:t>
      </w:r>
      <w:bookmarkStart w:id="216" w:name="_Hlk166592583"/>
      <w:r>
        <w:rPr>
          <w:sz w:val="28"/>
          <w:szCs w:val="28"/>
        </w:rPr>
        <w:t xml:space="preserve">постановлением Министерства тарифного регулирования и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энергетики Пермского края от 23.11.2023 № 121-тп </w:t>
      </w:r>
      <w:bookmarkEnd w:id="216"/>
      <w:r>
        <w:rPr>
          <w:sz w:val="28"/>
          <w:szCs w:val="28"/>
        </w:rPr>
        <w:t xml:space="preserve">(с дополнениями и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изменениями в рамках </w:t>
      </w:r>
      <w:bookmarkStart w:id="217" w:name="_Hlk166592590"/>
      <w:r>
        <w:rPr>
          <w:sz w:val="28"/>
          <w:szCs w:val="28"/>
        </w:rPr>
        <w:t xml:space="preserve">постановлений от </w:t>
      </w:r>
      <w:bookmarkStart w:id="218" w:name="_Hlk166592605"/>
      <w:r>
        <w:rPr>
          <w:sz w:val="28"/>
          <w:szCs w:val="28"/>
        </w:rPr>
        <w:t xml:space="preserve">28.12.2023</w:t>
      </w:r>
      <w:bookmarkEnd w:id="218"/>
      <w:r>
        <w:rPr>
          <w:sz w:val="28"/>
          <w:szCs w:val="28"/>
        </w:rPr>
        <w:t xml:space="preserve"> № 154-тп, от 24.01.2024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1-тп, </w:t>
      </w:r>
      <w:bookmarkStart w:id="219" w:name="_Hlk166592595"/>
      <w:r/>
      <w:bookmarkEnd w:id="217"/>
      <w:r>
        <w:rPr>
          <w:sz w:val="28"/>
          <w:szCs w:val="28"/>
        </w:rPr>
        <w:t xml:space="preserve">от 07.02.2024</w:t>
      </w:r>
      <w:bookmarkEnd w:id="219"/>
      <w:r>
        <w:rPr>
          <w:sz w:val="28"/>
          <w:szCs w:val="28"/>
        </w:rPr>
        <w:t xml:space="preserve"> № 2-тп,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06.03.2024 № 8-тп, </w:t>
      </w:r>
      <w:r>
        <w:rPr>
          <w:sz w:val="28"/>
          <w:szCs w:val="28"/>
          <w:highlight w:val="white"/>
        </w:rPr>
        <w:t xml:space="preserve">от 12.04.2024 № 18-тп, от 26.04.2024 № 22-тп, от 20.06.2024 № 51-тп, от 31.07.2024 № 80-тп, от 23.08.2024 № 97-тп, от 15.10.2024 № 129-тп). В данном </w:t>
      </w:r>
      <w:r>
        <w:rPr>
          <w:sz w:val="28"/>
          <w:szCs w:val="28"/>
        </w:rPr>
        <w:t xml:space="preserve">документе содержатся стандартизированные тарифные ставки, ставки за единицу максимальной мощности и формулы платы за технологическое присоединение </w:t>
      </w:r>
      <w:r>
        <w:rPr>
          <w:sz w:val="28"/>
          <w:szCs w:val="28"/>
        </w:rPr>
        <w:t xml:space="preserve">энергопринимающих</w:t>
      </w:r>
      <w:r>
        <w:rPr>
          <w:sz w:val="28"/>
          <w:szCs w:val="28"/>
        </w:rPr>
        <w:t xml:space="preserve"> устройств потребителей и объектов электросетевого хозяйства к электрическим сетям территориальных сетевых организаций.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70"/>
        <w:sectPr>
          <w:footnotePr/>
          <w:endnotePr/>
          <w:type w:val="nextPage"/>
          <w:pgSz w:w="11906" w:h="16838" w:orient="portrait"/>
          <w:pgMar w:top="1134" w:right="567" w:bottom="1134" w:left="1418" w:header="567" w:footer="567" w:gutter="0"/>
          <w:cols w:num="1" w:sep="0" w:space="708" w:equalWidth="1"/>
          <w:docGrid w:linePitch="360"/>
        </w:sectPr>
      </w:pPr>
      <w:r/>
      <w:r/>
    </w:p>
    <w:p>
      <w:pPr>
        <w:pStyle w:val="1544"/>
        <w:jc w:val="right"/>
        <w:rPr>
          <w:b/>
          <w:bCs/>
          <w:sz w:val="28"/>
          <w:szCs w:val="28"/>
        </w:rPr>
      </w:pPr>
      <w:r/>
      <w:bookmarkStart w:id="220" w:name="_Toc175216099"/>
      <w:r>
        <w:rPr>
          <w:b/>
          <w:bCs/>
          <w:sz w:val="28"/>
          <w:szCs w:val="28"/>
        </w:rPr>
        <w:t xml:space="preserve">Таблица 2.23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Тарифы на электрическую энергию для населения в 2019-2024 год</w:t>
      </w:r>
      <w:bookmarkEnd w:id="220"/>
      <w:r>
        <w:rPr>
          <w:b/>
          <w:bCs/>
          <w:sz w:val="28"/>
          <w:szCs w:val="28"/>
        </w:rPr>
        <w:t xml:space="preserve">ах</w:t>
      </w:r>
      <w:r>
        <w:rPr>
          <w:b/>
          <w:bCs/>
          <w:sz w:val="28"/>
          <w:szCs w:val="28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045"/>
        <w:gridCol w:w="1161"/>
        <w:gridCol w:w="904"/>
        <w:gridCol w:w="907"/>
        <w:gridCol w:w="907"/>
        <w:gridCol w:w="907"/>
        <w:gridCol w:w="907"/>
        <w:gridCol w:w="907"/>
        <w:gridCol w:w="907"/>
        <w:gridCol w:w="907"/>
        <w:gridCol w:w="910"/>
        <w:gridCol w:w="907"/>
        <w:gridCol w:w="907"/>
        <w:gridCol w:w="886"/>
      </w:tblGrid>
      <w:tr>
        <w:tblPrEx/>
        <w:trPr>
          <w:trHeight w:val="20"/>
          <w:tblHeader/>
        </w:trPr>
        <w:tc>
          <w:tcPr>
            <w:shd w:val="clear" w:color="auto" w:fill="auto"/>
            <w:tcW w:w="1010" w:type="pct"/>
            <w:vMerge w:val="restart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Потребители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5" w:type="pct"/>
            <w:vMerge w:val="restart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изм.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601" w:type="pct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602" w:type="pct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602" w:type="pct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04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2022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596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  <w:tblHeader/>
        </w:trPr>
        <w:tc>
          <w:tcPr>
            <w:shd w:val="clear" w:color="auto" w:fill="auto"/>
            <w:tcW w:w="1010" w:type="pct"/>
            <w:vMerge w:val="continue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5" w:type="pct"/>
            <w:vMerge w:val="continue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0" w:type="pct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пол.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</w:t>
            </w:r>
            <w:r>
              <w:rPr>
                <w:sz w:val="20"/>
                <w:szCs w:val="20"/>
                <w:lang w:val="en-US"/>
              </w:rPr>
              <w:t xml:space="preserve">I</w:t>
            </w:r>
            <w:r>
              <w:rPr>
                <w:sz w:val="20"/>
                <w:szCs w:val="20"/>
              </w:rPr>
              <w:t xml:space="preserve"> пол.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пол.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</w:t>
            </w:r>
            <w:r>
              <w:rPr>
                <w:sz w:val="20"/>
                <w:szCs w:val="20"/>
                <w:lang w:val="en-US"/>
              </w:rPr>
              <w:t xml:space="preserve">I</w:t>
            </w:r>
            <w:r>
              <w:rPr>
                <w:sz w:val="20"/>
                <w:szCs w:val="20"/>
              </w:rPr>
              <w:t xml:space="preserve"> пол.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пол.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</w:t>
            </w:r>
            <w:r>
              <w:rPr>
                <w:sz w:val="20"/>
                <w:szCs w:val="20"/>
                <w:lang w:val="en-US"/>
              </w:rPr>
              <w:t xml:space="preserve">I</w:t>
            </w:r>
            <w:r>
              <w:rPr>
                <w:sz w:val="20"/>
                <w:szCs w:val="20"/>
              </w:rPr>
              <w:t xml:space="preserve"> пол.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пол.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</w:t>
            </w:r>
            <w:r>
              <w:rPr>
                <w:sz w:val="20"/>
                <w:szCs w:val="20"/>
                <w:lang w:val="en-US"/>
              </w:rPr>
              <w:t xml:space="preserve">I</w:t>
            </w:r>
            <w:r>
              <w:rPr>
                <w:sz w:val="20"/>
                <w:szCs w:val="20"/>
              </w:rPr>
              <w:t xml:space="preserve"> пол.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01.12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пол.</w:t>
            </w:r>
            <w:r>
              <w:rPr>
                <w:sz w:val="20"/>
                <w:szCs w:val="20"/>
              </w:rPr>
            </w:r>
          </w:p>
        </w:tc>
        <w:tc>
          <w:tcPr>
            <w:tcW w:w="295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</w:t>
            </w:r>
            <w:r>
              <w:rPr>
                <w:sz w:val="20"/>
                <w:szCs w:val="20"/>
                <w:lang w:val="en-US"/>
              </w:rPr>
              <w:t xml:space="preserve">I</w:t>
            </w:r>
            <w:r>
              <w:rPr>
                <w:sz w:val="20"/>
                <w:szCs w:val="20"/>
              </w:rPr>
              <w:t xml:space="preserve"> пол.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14"/>
            <w:tcW w:w="5000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Население городское со стационарными газовыми плитами 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010" w:type="pct"/>
            <w:vAlign w:val="center"/>
            <w:textDirection w:val="lrTb"/>
            <w:noWrap/>
          </w:tcPr>
          <w:p>
            <w:pPr>
              <w:ind w:firstLine="4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одноставочный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5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руб./</w:t>
            </w:r>
            <w:r>
              <w:rPr>
                <w:sz w:val="20"/>
                <w:szCs w:val="20"/>
              </w:rPr>
              <w:t xml:space="preserve">кВт-ч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0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3,99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4,13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4,13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4,25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4,25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4,44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4,44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4,64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5,05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5,05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5,05</w:t>
            </w:r>
            <w:r>
              <w:rPr>
                <w:sz w:val="20"/>
                <w:szCs w:val="20"/>
              </w:rPr>
            </w:r>
          </w:p>
        </w:tc>
        <w:tc>
          <w:tcPr>
            <w:tcW w:w="295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5,50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14"/>
            <w:tcW w:w="5000" w:type="pct"/>
            <w:textDirection w:val="lrTb"/>
            <w:noWrap w:val="false"/>
          </w:tcPr>
          <w:p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двум зонам суток, в </w:t>
            </w:r>
            <w:r>
              <w:rPr>
                <w:sz w:val="20"/>
                <w:szCs w:val="20"/>
              </w:rPr>
              <w:t xml:space="preserve">т.ч</w:t>
            </w:r>
            <w:r>
              <w:rPr>
                <w:sz w:val="20"/>
                <w:szCs w:val="20"/>
              </w:rPr>
              <w:t xml:space="preserve">.: 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010" w:type="pct"/>
            <w:vAlign w:val="center"/>
            <w:textDirection w:val="lrTb"/>
            <w:noWrap/>
          </w:tcPr>
          <w:p>
            <w:pPr>
              <w:ind w:firstLine="8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дневная 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5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руб./</w:t>
            </w:r>
            <w:r>
              <w:rPr>
                <w:sz w:val="20"/>
                <w:szCs w:val="20"/>
              </w:rPr>
              <w:t xml:space="preserve">кВт-ч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0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4,03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4,17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4,17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4,29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4,29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4,48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4,48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4,68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5,30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5,30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5,30</w:t>
            </w:r>
            <w:r>
              <w:rPr>
                <w:sz w:val="20"/>
                <w:szCs w:val="20"/>
              </w:rPr>
            </w:r>
          </w:p>
        </w:tc>
        <w:tc>
          <w:tcPr>
            <w:tcW w:w="295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6,05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010" w:type="pct"/>
            <w:vAlign w:val="center"/>
            <w:textDirection w:val="lrTb"/>
            <w:noWrap/>
          </w:tcPr>
          <w:p>
            <w:pPr>
              <w:ind w:firstLine="8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ночная 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5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руб./</w:t>
            </w:r>
            <w:r>
              <w:rPr>
                <w:sz w:val="20"/>
                <w:szCs w:val="20"/>
              </w:rPr>
              <w:t xml:space="preserve">кВт-ч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0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2,57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2,66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2,66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2,74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2,74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2,86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2,86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2,99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3,25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3,25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3,25</w:t>
            </w:r>
            <w:r>
              <w:rPr>
                <w:sz w:val="20"/>
                <w:szCs w:val="20"/>
              </w:rPr>
            </w:r>
          </w:p>
        </w:tc>
        <w:tc>
          <w:tcPr>
            <w:tcW w:w="295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3,72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14"/>
            <w:tcW w:w="5000" w:type="pct"/>
            <w:textDirection w:val="lrTb"/>
            <w:noWrap w:val="false"/>
          </w:tcPr>
          <w:p>
            <w:pPr>
              <w:ind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трем зонам суток, в </w:t>
            </w:r>
            <w:r>
              <w:rPr>
                <w:sz w:val="20"/>
                <w:szCs w:val="20"/>
              </w:rPr>
              <w:t xml:space="preserve">т.ч</w:t>
            </w:r>
            <w:r>
              <w:rPr>
                <w:sz w:val="20"/>
                <w:szCs w:val="20"/>
              </w:rPr>
              <w:t xml:space="preserve">. 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010" w:type="pct"/>
            <w:vAlign w:val="center"/>
            <w:textDirection w:val="lrTb"/>
            <w:noWrap/>
          </w:tcPr>
          <w:p>
            <w:pPr>
              <w:ind w:firstLine="8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пиковая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5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руб./</w:t>
            </w:r>
            <w:r>
              <w:rPr>
                <w:sz w:val="20"/>
                <w:szCs w:val="20"/>
              </w:rPr>
              <w:t xml:space="preserve">кВт-ч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0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4,06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4,20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4,20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4,32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4,32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4,51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4,51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4,71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5,81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5,81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5,81</w:t>
            </w:r>
            <w:r>
              <w:rPr>
                <w:sz w:val="20"/>
                <w:szCs w:val="20"/>
              </w:rPr>
            </w:r>
          </w:p>
        </w:tc>
        <w:tc>
          <w:tcPr>
            <w:tcW w:w="295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7,02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010" w:type="pct"/>
            <w:vAlign w:val="center"/>
            <w:textDirection w:val="lrTb"/>
            <w:noWrap/>
          </w:tcPr>
          <w:p>
            <w:pPr>
              <w:ind w:firstLine="8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полупиковая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5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руб./</w:t>
            </w:r>
            <w:r>
              <w:rPr>
                <w:sz w:val="20"/>
                <w:szCs w:val="20"/>
              </w:rPr>
              <w:t xml:space="preserve">кВт-ч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0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3,99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4,13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4,13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4,25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4,25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4,44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4,44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4,64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5,05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5,05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5,05</w:t>
            </w:r>
            <w:r>
              <w:rPr>
                <w:sz w:val="20"/>
                <w:szCs w:val="20"/>
              </w:rPr>
            </w:r>
          </w:p>
        </w:tc>
        <w:tc>
          <w:tcPr>
            <w:tcW w:w="295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5,50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010" w:type="pct"/>
            <w:vAlign w:val="center"/>
            <w:textDirection w:val="lrTb"/>
            <w:noWrap/>
          </w:tcPr>
          <w:p>
            <w:pPr>
              <w:ind w:firstLine="8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ночная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5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руб./</w:t>
            </w:r>
            <w:r>
              <w:rPr>
                <w:sz w:val="20"/>
                <w:szCs w:val="20"/>
              </w:rPr>
              <w:t xml:space="preserve">кВт-ч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0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2,57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2,66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2,66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2,74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2,74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2,86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2,86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2,99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3,25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3,25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3,25</w:t>
            </w:r>
            <w:r>
              <w:rPr>
                <w:sz w:val="20"/>
                <w:szCs w:val="20"/>
              </w:rPr>
            </w:r>
          </w:p>
        </w:tc>
        <w:tc>
          <w:tcPr>
            <w:tcW w:w="295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3,72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14"/>
            <w:tcW w:w="5000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Население городское со стационарными электроплитами и сельское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010" w:type="pct"/>
            <w:vAlign w:val="center"/>
            <w:textDirection w:val="lrTb"/>
            <w:noWrap/>
          </w:tcPr>
          <w:p>
            <w:pPr>
              <w:ind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одноставочный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5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руб./</w:t>
            </w:r>
            <w:r>
              <w:rPr>
                <w:sz w:val="20"/>
                <w:szCs w:val="20"/>
              </w:rPr>
              <w:t xml:space="preserve">кВт-ч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0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2,85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2,96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2,96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3,10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3,10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3,25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3,25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3,40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3,71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3,71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3,71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95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4,07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14"/>
            <w:tcW w:w="5000" w:type="pct"/>
            <w:textDirection w:val="lrTb"/>
            <w:noWrap w:val="false"/>
          </w:tcPr>
          <w:p>
            <w:pPr>
              <w:ind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двум зонам суток, в </w:t>
            </w:r>
            <w:r>
              <w:rPr>
                <w:sz w:val="20"/>
                <w:szCs w:val="20"/>
              </w:rPr>
              <w:t xml:space="preserve">т.ч</w:t>
            </w:r>
            <w:r>
              <w:rPr>
                <w:sz w:val="20"/>
                <w:szCs w:val="20"/>
              </w:rPr>
              <w:t xml:space="preserve">.: 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010" w:type="pct"/>
            <w:vAlign w:val="center"/>
            <w:textDirection w:val="lrTb"/>
            <w:noWrap/>
          </w:tcPr>
          <w:p>
            <w:pPr>
              <w:ind w:firstLine="8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дневная 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5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руб./</w:t>
            </w:r>
            <w:r>
              <w:rPr>
                <w:sz w:val="20"/>
                <w:szCs w:val="20"/>
              </w:rPr>
              <w:t xml:space="preserve">кВт-ч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0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2,88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2,99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2,99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3,12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3,12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3,28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3,28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3,43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3,89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3,89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3,89</w:t>
            </w:r>
            <w:r>
              <w:rPr>
                <w:sz w:val="20"/>
                <w:szCs w:val="20"/>
              </w:rPr>
            </w:r>
          </w:p>
        </w:tc>
        <w:tc>
          <w:tcPr>
            <w:tcW w:w="295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4,48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010" w:type="pct"/>
            <w:vAlign w:val="center"/>
            <w:textDirection w:val="lrTb"/>
            <w:noWrap/>
          </w:tcPr>
          <w:p>
            <w:pPr>
              <w:ind w:firstLine="8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ночная 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5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руб./</w:t>
            </w:r>
            <w:r>
              <w:rPr>
                <w:sz w:val="20"/>
                <w:szCs w:val="20"/>
              </w:rPr>
              <w:t xml:space="preserve">кВт-ч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0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1,84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1,91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1,91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2,00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2,10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2,10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2,20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2,39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2,39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2,39</w:t>
            </w:r>
            <w:r>
              <w:rPr>
                <w:sz w:val="20"/>
                <w:szCs w:val="20"/>
              </w:rPr>
            </w:r>
          </w:p>
        </w:tc>
        <w:tc>
          <w:tcPr>
            <w:tcW w:w="295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2,75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14"/>
            <w:tcW w:w="5000" w:type="pct"/>
            <w:textDirection w:val="lrTb"/>
            <w:noWrap w:val="false"/>
          </w:tcPr>
          <w:p>
            <w:pPr>
              <w:ind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трем зонам суток, в </w:t>
            </w:r>
            <w:r>
              <w:rPr>
                <w:sz w:val="20"/>
                <w:szCs w:val="20"/>
              </w:rPr>
              <w:t xml:space="preserve">т.ч</w:t>
            </w:r>
            <w:r>
              <w:rPr>
                <w:sz w:val="20"/>
                <w:szCs w:val="20"/>
              </w:rPr>
              <w:t xml:space="preserve">.: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010" w:type="pct"/>
            <w:vAlign w:val="center"/>
            <w:textDirection w:val="lrTb"/>
            <w:noWrap/>
          </w:tcPr>
          <w:p>
            <w:pPr>
              <w:ind w:firstLine="8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пиковая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5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руб./</w:t>
            </w:r>
            <w:r>
              <w:rPr>
                <w:sz w:val="20"/>
                <w:szCs w:val="20"/>
              </w:rPr>
              <w:t xml:space="preserve">кВт-ч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0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2,90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3,02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3,02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3,16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3,16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3,31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3,31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3,46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4,27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4,27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4,27</w:t>
            </w:r>
            <w:r>
              <w:rPr>
                <w:sz w:val="20"/>
                <w:szCs w:val="20"/>
              </w:rPr>
            </w:r>
          </w:p>
        </w:tc>
        <w:tc>
          <w:tcPr>
            <w:tcW w:w="295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5,19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010" w:type="pct"/>
            <w:vAlign w:val="center"/>
            <w:textDirection w:val="lrTb"/>
            <w:noWrap/>
          </w:tcPr>
          <w:p>
            <w:pPr>
              <w:ind w:firstLine="8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полупиковая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5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руб./</w:t>
            </w:r>
            <w:r>
              <w:rPr>
                <w:sz w:val="20"/>
                <w:szCs w:val="20"/>
              </w:rPr>
              <w:t xml:space="preserve">кВт-ч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0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2,85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2,96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2,96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3,09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3,09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3,25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3,25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3,40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3,71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3,71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3,71</w:t>
            </w:r>
            <w:r>
              <w:rPr>
                <w:sz w:val="20"/>
                <w:szCs w:val="20"/>
              </w:rPr>
            </w:r>
          </w:p>
        </w:tc>
        <w:tc>
          <w:tcPr>
            <w:tcW w:w="295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4,07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010" w:type="pct"/>
            <w:vAlign w:val="center"/>
            <w:textDirection w:val="lrTb"/>
            <w:noWrap/>
          </w:tcPr>
          <w:p>
            <w:pPr>
              <w:ind w:firstLine="8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ночная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5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руб./</w:t>
            </w:r>
            <w:r>
              <w:rPr>
                <w:sz w:val="20"/>
                <w:szCs w:val="20"/>
              </w:rPr>
              <w:t xml:space="preserve">кВт-ч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0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1,84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1,91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1,91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2,00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2,10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2,10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2,20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2,39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2,39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2,39</w:t>
            </w:r>
            <w:r>
              <w:rPr>
                <w:sz w:val="20"/>
                <w:szCs w:val="20"/>
              </w:rPr>
            </w:r>
          </w:p>
        </w:tc>
        <w:tc>
          <w:tcPr>
            <w:tcW w:w="295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2,75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14"/>
            <w:tcW w:w="5000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Потребители, приравненные к населению городскому со стационарными электрическими плитами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010" w:type="pct"/>
            <w:vAlign w:val="center"/>
            <w:textDirection w:val="lrTb"/>
            <w:noWrap/>
          </w:tcPr>
          <w:p>
            <w:pPr>
              <w:ind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одноставочный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5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руб./</w:t>
            </w:r>
            <w:r>
              <w:rPr>
                <w:sz w:val="20"/>
                <w:szCs w:val="20"/>
              </w:rPr>
              <w:t xml:space="preserve">кВт-ч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0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2,85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2,96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2,96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3,10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3,10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3,25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3,25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3,40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3,71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3,71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3,71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95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4,07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14"/>
            <w:tcW w:w="5000" w:type="pct"/>
            <w:textDirection w:val="lrTb"/>
            <w:noWrap w:val="false"/>
          </w:tcPr>
          <w:p>
            <w:pPr>
              <w:ind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двум зонам суток, в </w:t>
            </w:r>
            <w:r>
              <w:rPr>
                <w:sz w:val="20"/>
                <w:szCs w:val="20"/>
              </w:rPr>
              <w:t xml:space="preserve">т.ч</w:t>
            </w:r>
            <w:r>
              <w:rPr>
                <w:sz w:val="20"/>
                <w:szCs w:val="20"/>
              </w:rPr>
              <w:t xml:space="preserve">.: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010" w:type="pct"/>
            <w:vAlign w:val="center"/>
            <w:textDirection w:val="lrTb"/>
            <w:noWrap/>
          </w:tcPr>
          <w:p>
            <w:pPr>
              <w:ind w:firstLine="8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дневная 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5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руб./</w:t>
            </w:r>
            <w:r>
              <w:rPr>
                <w:sz w:val="20"/>
                <w:szCs w:val="20"/>
              </w:rPr>
              <w:t xml:space="preserve">кВт-ч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0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2,88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2,99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2,99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3,12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3,12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3,28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3,28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3,43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3,89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3,89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3,89</w:t>
            </w:r>
            <w:r>
              <w:rPr>
                <w:sz w:val="20"/>
                <w:szCs w:val="20"/>
              </w:rPr>
            </w:r>
          </w:p>
        </w:tc>
        <w:tc>
          <w:tcPr>
            <w:tcW w:w="295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4,48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010" w:type="pct"/>
            <w:vAlign w:val="center"/>
            <w:textDirection w:val="lrTb"/>
            <w:noWrap/>
          </w:tcPr>
          <w:p>
            <w:pPr>
              <w:ind w:firstLine="8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ночная 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5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руб./</w:t>
            </w:r>
            <w:r>
              <w:rPr>
                <w:sz w:val="20"/>
                <w:szCs w:val="20"/>
              </w:rPr>
              <w:t xml:space="preserve">кВт-ч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0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1,84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1,91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1,91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2,00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2,10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2,10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2,20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2,39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2,39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2,39</w:t>
            </w:r>
            <w:r>
              <w:rPr>
                <w:sz w:val="20"/>
                <w:szCs w:val="20"/>
              </w:rPr>
            </w:r>
          </w:p>
        </w:tc>
        <w:tc>
          <w:tcPr>
            <w:tcW w:w="295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2,75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14"/>
            <w:tcW w:w="5000" w:type="pct"/>
            <w:textDirection w:val="lrTb"/>
            <w:noWrap w:val="false"/>
          </w:tcPr>
          <w:p>
            <w:pPr>
              <w:ind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трем зонам суток, в </w:t>
            </w:r>
            <w:r>
              <w:rPr>
                <w:sz w:val="20"/>
                <w:szCs w:val="20"/>
              </w:rPr>
              <w:t xml:space="preserve">т.ч</w:t>
            </w:r>
            <w:r>
              <w:rPr>
                <w:sz w:val="20"/>
                <w:szCs w:val="20"/>
              </w:rPr>
              <w:t xml:space="preserve">.: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010" w:type="pct"/>
            <w:vAlign w:val="center"/>
            <w:textDirection w:val="lrTb"/>
            <w:noWrap/>
          </w:tcPr>
          <w:p>
            <w:pPr>
              <w:ind w:firstLine="8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пиковая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5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руб./</w:t>
            </w:r>
            <w:r>
              <w:rPr>
                <w:sz w:val="20"/>
                <w:szCs w:val="20"/>
              </w:rPr>
              <w:t xml:space="preserve">кВт-ч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0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2,90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3,02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3,02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3,16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3,16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3,31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3,31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3,46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4,27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4,27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4,27</w:t>
            </w:r>
            <w:r>
              <w:rPr>
                <w:sz w:val="20"/>
                <w:szCs w:val="20"/>
              </w:rPr>
            </w:r>
          </w:p>
        </w:tc>
        <w:tc>
          <w:tcPr>
            <w:tcW w:w="295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5,19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010" w:type="pct"/>
            <w:vAlign w:val="center"/>
            <w:textDirection w:val="lrTb"/>
            <w:noWrap/>
          </w:tcPr>
          <w:p>
            <w:pPr>
              <w:ind w:firstLine="8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полупиковая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5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руб./</w:t>
            </w:r>
            <w:r>
              <w:rPr>
                <w:sz w:val="20"/>
                <w:szCs w:val="20"/>
              </w:rPr>
              <w:t xml:space="preserve">кВт-ч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0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2,85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2,96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2,96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3,09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3,09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3,25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3,25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3,40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3,71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3,71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3,71</w:t>
            </w:r>
            <w:r>
              <w:rPr>
                <w:sz w:val="20"/>
                <w:szCs w:val="20"/>
              </w:rPr>
            </w:r>
          </w:p>
        </w:tc>
        <w:tc>
          <w:tcPr>
            <w:tcW w:w="295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4,07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010" w:type="pct"/>
            <w:vAlign w:val="center"/>
            <w:textDirection w:val="lrTb"/>
            <w:noWrap/>
          </w:tcPr>
          <w:p>
            <w:pPr>
              <w:ind w:firstLine="8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ночная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5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руб./</w:t>
            </w:r>
            <w:r>
              <w:rPr>
                <w:sz w:val="20"/>
                <w:szCs w:val="20"/>
              </w:rPr>
              <w:t xml:space="preserve">кВт-ч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0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1,84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1,91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1,91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01" w:type="pct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2,00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2,10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2,10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2,20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2,39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2,39</w:t>
            </w:r>
            <w:r>
              <w:rPr>
                <w:sz w:val="20"/>
                <w:szCs w:val="20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2,39</w:t>
            </w:r>
            <w:r>
              <w:rPr>
                <w:sz w:val="20"/>
                <w:szCs w:val="20"/>
              </w:rPr>
            </w:r>
          </w:p>
        </w:tc>
        <w:tc>
          <w:tcPr>
            <w:tcW w:w="295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2,75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1570"/>
        <w:ind w:firstLine="0"/>
        <w:rPr>
          <w:rFonts w:asciiTheme="minorHAnsi" w:hAnsiTheme="minorHAnsi" w:cstheme="minorHAnsi"/>
          <w:i/>
          <w:iCs w:val="0"/>
          <w:szCs w:val="24"/>
        </w:rPr>
      </w:pPr>
      <w:r>
        <w:rPr>
          <w:rFonts w:asciiTheme="minorHAnsi" w:hAnsiTheme="minorHAnsi" w:cstheme="minorHAnsi"/>
          <w:i/>
          <w:iCs w:val="0"/>
          <w:szCs w:val="24"/>
        </w:rPr>
      </w:r>
      <w:r>
        <w:rPr>
          <w:rFonts w:asciiTheme="minorHAnsi" w:hAnsiTheme="minorHAnsi" w:cstheme="minorHAnsi"/>
          <w:i/>
          <w:iCs w:val="0"/>
          <w:szCs w:val="24"/>
        </w:rPr>
      </w:r>
    </w:p>
    <w:p>
      <w:pPr>
        <w:pStyle w:val="157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i/>
          <w:iCs w:val="0"/>
          <w:szCs w:val="24"/>
        </w:rPr>
        <w:t xml:space="preserve">------------</w:t>
      </w:r>
      <w:r>
        <w:rPr>
          <w:rFonts w:asciiTheme="minorHAnsi" w:hAnsiTheme="minorHAnsi" w:cstheme="minorHAnsi"/>
          <w:szCs w:val="24"/>
        </w:rPr>
        <w:t xml:space="preserve">---------------</w:t>
      </w:r>
      <w:r>
        <w:rPr>
          <w:rFonts w:asciiTheme="minorHAnsi" w:hAnsiTheme="minorHAnsi" w:cstheme="minorHAnsi"/>
          <w:szCs w:val="24"/>
        </w:rPr>
      </w:r>
    </w:p>
    <w:p>
      <w:pPr>
        <w:pStyle w:val="157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Примечание. Источники информации – постановления Министерства тарифного регулирования и энергетики Пермского края </w:t>
      </w:r>
      <w:r>
        <w:t xml:space="preserve">о ценах (тарифах) на электрическую энергию</w:t>
      </w:r>
      <w:r>
        <w:rPr>
          <w:rFonts w:asciiTheme="minorHAnsi" w:hAnsiTheme="minorHAnsi" w:cstheme="minorHAnsi"/>
          <w:szCs w:val="24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  <w:sectPr>
          <w:footnotePr/>
          <w:endnotePr/>
          <w:type w:val="nextPage"/>
          <w:pgSz w:w="16838" w:h="11906" w:orient="landscape"/>
          <w:pgMar w:top="1134" w:right="567" w:bottom="1134" w:left="1418" w:header="567" w:footer="567" w:gutter="0"/>
          <w:cols w:num="1" w:sep="0" w:space="708" w:equalWidth="1"/>
          <w:docGrid w:linePitch="360"/>
        </w:sectPr>
      </w:pPr>
      <w:r>
        <w:rPr>
          <w:lang w:eastAsia="en-US"/>
        </w:rPr>
      </w:r>
      <w:r>
        <w:rPr>
          <w:lang w:eastAsia="en-US"/>
        </w:rPr>
      </w:r>
    </w:p>
    <w:p>
      <w:pPr>
        <w:pStyle w:val="1570"/>
        <w:jc w:val="center"/>
        <w:rPr>
          <w:b/>
          <w:bCs/>
          <w:sz w:val="28"/>
          <w:szCs w:val="28"/>
        </w:rPr>
      </w:pPr>
      <w:r/>
      <w:bookmarkStart w:id="221" w:name="_Toc119947479"/>
      <w:r/>
      <w:bookmarkStart w:id="222" w:name="_Toc175215993"/>
      <w:r>
        <w:rPr>
          <w:b/>
          <w:bCs/>
          <w:sz w:val="28"/>
          <w:szCs w:val="28"/>
        </w:rPr>
        <w:t xml:space="preserve">2.4.11 Технические и технологические проблемы в системе</w:t>
      </w:r>
      <w:bookmarkEnd w:id="221"/>
      <w:r/>
      <w:bookmarkEnd w:id="222"/>
      <w:r/>
      <w:r>
        <w:rPr>
          <w:b/>
          <w:bCs/>
          <w:sz w:val="28"/>
          <w:szCs w:val="28"/>
        </w:rPr>
      </w:r>
    </w:p>
    <w:p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технического анализа выделены следующие ключевые проблемы и задачи развития системы электроснабжения.</w:t>
      </w:r>
      <w:r>
        <w:rPr>
          <w:sz w:val="28"/>
          <w:szCs w:val="28"/>
        </w:rPr>
      </w:r>
    </w:p>
    <w:p>
      <w:pPr>
        <w:pStyle w:val="1570"/>
        <w:tabs>
          <w:tab w:val="left" w:pos="1134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На </w:t>
      </w:r>
      <w:r>
        <w:rPr>
          <w:sz w:val="28"/>
          <w:szCs w:val="28"/>
        </w:rPr>
        <w:t xml:space="preserve">территории города Перми отсутствует недостаток генерирующих мощностей. Однако в связи с интенсивными планами перспективного развития города, возможно, требуется дополнительной о</w:t>
      </w:r>
      <w:r>
        <w:rPr>
          <w:sz w:val="28"/>
          <w:szCs w:val="28"/>
          <w:shd w:val="clear" w:color="auto" w:fill="ffffff"/>
        </w:rPr>
        <w:t xml:space="preserve">бъем свободной для технологического присоединения мощности вблизи </w:t>
      </w:r>
      <w:r>
        <w:rPr>
          <w:sz w:val="28"/>
          <w:szCs w:val="28"/>
        </w:rPr>
        <w:t xml:space="preserve">ПС 35/6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Судозавод</w:t>
      </w:r>
      <w:r>
        <w:rPr>
          <w:sz w:val="28"/>
          <w:szCs w:val="28"/>
        </w:rPr>
        <w:t xml:space="preserve">, ПС 110/35/6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Мост, ПС 110/35/6 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Балмошная</w:t>
      </w:r>
      <w:r>
        <w:rPr>
          <w:sz w:val="28"/>
          <w:szCs w:val="28"/>
        </w:rPr>
        <w:t xml:space="preserve">, ПС 110/6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Старехи</w:t>
      </w:r>
      <w:r>
        <w:rPr>
          <w:sz w:val="28"/>
          <w:szCs w:val="28"/>
        </w:rPr>
        <w:t xml:space="preserve">, ПС 35/6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Закамская</w:t>
      </w:r>
      <w:r>
        <w:rPr>
          <w:sz w:val="28"/>
          <w:szCs w:val="28"/>
        </w:rPr>
        <w:t xml:space="preserve">, ПС 110/35/10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Муллы, ПС 35/6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Телефонная, ПС 35/10/6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Первомайская, ПС 110/10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Краснова для ввода новых потребителей. </w:t>
      </w:r>
      <w:r>
        <w:rPr>
          <w:sz w:val="28"/>
          <w:szCs w:val="28"/>
        </w:rPr>
      </w:r>
    </w:p>
    <w:p>
      <w:pPr>
        <w:pStyle w:val="1570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Оборудование и сети системы электроснабжения в основном находятся в удовлетворительном состоянии, однако: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зафиксирован высокий процент износа существующих электрических подстанций;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наблюдается отсутствие свободной трансформаторной мощности не менее 5 существующих электрических подстанций;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выявлена значительная доля электрических сетей с превышением нормативного эксплуатационного срока элементов воздушных линий, исходя из сроков ввода в эксплуатацию оборудования, с учетом нормируемых сроков эксплуатации элементов возду</w:t>
      </w:r>
      <w:r>
        <w:rPr>
          <w:sz w:val="28"/>
          <w:szCs w:val="28"/>
        </w:rPr>
        <w:t xml:space="preserve">шных линий. Показана низкая пропускная способность электрических сетей, отсутствие возможности подключения новых потребителей без ухудшения условий электроснабжения существующих потребителей на фоне заявленного интенсивного перспективного развития города. </w:t>
      </w:r>
      <w:r>
        <w:rPr>
          <w:color w:val="000000"/>
          <w:sz w:val="28"/>
          <w:szCs w:val="28"/>
        </w:rPr>
      </w:r>
    </w:p>
    <w:p>
      <w:pPr>
        <w:pStyle w:val="1570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Требуется форсированная модернизация системы энергоснабжения, о чем свидетельствует ежегодный рост технических потерь. Среди приоритетных технологических направлений: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реконструкция ЛЭП с заменой провода на аналог большей пропускной способности;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реконструкция и капитальный ремонт изношенного электросетевого оборудования;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строительство новых подстанций, воздушных ЛЭП;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реконструкция ПС;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развитие локальных зон альтернативных источников электроснабжения.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Визуальный анализ функционального наружного освещения выявил следующую проблематику: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применение усиленных железобетонных опор, металлических трубчатых опор на центральных улицах, что портит внешний вид центра города;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две трети линий выполнены в воздушном исполнении, что также портит внешний вид центральной и исторических частей города;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телемеханическое и диспетчерское оборудование установок морально и физически устарело и требует реконструкции;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присутствует дефицит освещения дворовых территорий;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отсутствует полноценное освещение пешеходных зон в большинстве случаев. Функциональная подсветка на высоких опорах рассчитана на освещение </w:t>
      </w:r>
      <w:r>
        <w:rPr>
          <w:sz w:val="28"/>
          <w:szCs w:val="28"/>
        </w:rPr>
        <w:t xml:space="preserve">проезжей части улицы. Пешеходной части недостаточно освещения от подсветки витрин магазинов и проезжей части;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присутствует прокладка самонесущего изолированного провода (далее – СИП) по опорам наружного освещения, не предназначенным для этого;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на улицах почти не используют дизайнерские </w:t>
      </w:r>
      <w:r>
        <w:rPr>
          <w:sz w:val="28"/>
          <w:szCs w:val="28"/>
        </w:rPr>
        <w:t xml:space="preserve">опоры, которые являются малыми архитектурными формами и влияют на архитектурный облик города. Применяются унифицированные светильники, используемые и на дорогах, и на центральных улицах города, которые не подчеркивают особенности и исторический облик улиц;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отсутствует целостность светового облика главных улиц города как достопримечательных мест;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уровень освещенности отличается на разных участках улицы, архитектурная подсветка имеет фрагментарный характер. Большинство культовых объектов не имеют архитектурной подсветки, их восприятие в ночное вр</w:t>
      </w:r>
      <w:r>
        <w:rPr>
          <w:sz w:val="28"/>
          <w:szCs w:val="28"/>
        </w:rPr>
        <w:t xml:space="preserve">емя обеспечивается за счет функционального освещения улиц. Визуальное восприятие объектов культурного наследия города, в основном, обеспечивается за счет функционального освещения улиц. Таким образом, нивелируется историческая составляющая городской среды.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/>
      <w:bookmarkStart w:id="223" w:name="_Toc119947480"/>
      <w:r/>
      <w:bookmarkStart w:id="224" w:name="_Toc175215994"/>
      <w:r/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2.5. Краткий анализ существующего состояния системы газоснабжения</w:t>
      </w:r>
      <w:bookmarkEnd w:id="223"/>
      <w:r/>
      <w:bookmarkEnd w:id="224"/>
      <w:r/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/>
      <w:bookmarkStart w:id="225" w:name="_Toc119947481"/>
      <w:r/>
      <w:bookmarkStart w:id="226" w:name="_Toc175215995"/>
      <w:r>
        <w:rPr>
          <w:b/>
          <w:bCs/>
          <w:sz w:val="28"/>
          <w:szCs w:val="28"/>
        </w:rPr>
        <w:t xml:space="preserve">2.5.1 Институциональная структура</w:t>
      </w:r>
      <w:bookmarkEnd w:id="225"/>
      <w:r/>
      <w:bookmarkEnd w:id="226"/>
      <w:r/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/>
      <w:bookmarkStart w:id="227" w:name="_Hlk52897698"/>
      <w:r>
        <w:rPr>
          <w:sz w:val="28"/>
          <w:szCs w:val="28"/>
        </w:rPr>
        <w:t xml:space="preserve">Природный (сетевой) газ поступает в городской округ из магистральных трубопроводов </w:t>
      </w:r>
      <w:bookmarkStart w:id="228" w:name="_Hlk164947883"/>
      <w:r>
        <w:rPr>
          <w:sz w:val="28"/>
          <w:szCs w:val="28"/>
        </w:rPr>
        <w:t xml:space="preserve">ООО «Газпром </w:t>
      </w:r>
      <w:r>
        <w:rPr>
          <w:sz w:val="28"/>
          <w:szCs w:val="28"/>
        </w:rPr>
        <w:t xml:space="preserve">трансгаз</w:t>
      </w:r>
      <w:r>
        <w:rPr>
          <w:sz w:val="28"/>
          <w:szCs w:val="28"/>
        </w:rPr>
        <w:t xml:space="preserve"> Чайковский» </w:t>
      </w:r>
      <w:bookmarkEnd w:id="228"/>
      <w:r>
        <w:rPr>
          <w:sz w:val="28"/>
          <w:szCs w:val="28"/>
        </w:rPr>
        <w:t xml:space="preserve">(форма собственности – частная), обслуживаемых филиалом ООО «Газпром </w:t>
      </w:r>
      <w:r>
        <w:rPr>
          <w:sz w:val="28"/>
          <w:szCs w:val="28"/>
        </w:rPr>
        <w:t xml:space="preserve">трансгаз</w:t>
      </w:r>
      <w:r>
        <w:rPr>
          <w:sz w:val="28"/>
          <w:szCs w:val="28"/>
        </w:rPr>
        <w:t xml:space="preserve"> Чайковский» </w:t>
      </w:r>
      <w:bookmarkStart w:id="229" w:name="_Hlk164947906"/>
      <w:r>
        <w:rPr>
          <w:sz w:val="28"/>
          <w:szCs w:val="28"/>
        </w:rPr>
        <w:t xml:space="preserve">Пермским линейным производственным управлением магистральных газопроводов (далее – Пермское ЛПУМГ) </w:t>
      </w:r>
      <w:bookmarkEnd w:id="229"/>
      <w:r>
        <w:rPr>
          <w:sz w:val="28"/>
          <w:szCs w:val="28"/>
        </w:rPr>
        <w:t xml:space="preserve">(форма собственности – частная). Компания также занимается эксплуатацией </w:t>
      </w:r>
      <w:bookmarkStart w:id="230" w:name="_Hlk164947920"/>
      <w:r>
        <w:rPr>
          <w:sz w:val="28"/>
          <w:szCs w:val="28"/>
        </w:rPr>
        <w:t xml:space="preserve">газораспределительных станций (далее – ГРС</w:t>
      </w:r>
      <w:bookmarkEnd w:id="230"/>
      <w:r>
        <w:rPr>
          <w:sz w:val="28"/>
          <w:szCs w:val="28"/>
        </w:rPr>
        <w:t xml:space="preserve">). Далее по системе распределительных газопроводов </w:t>
      </w:r>
      <w:bookmarkStart w:id="231" w:name="_Hlk164947959"/>
      <w:r>
        <w:rPr>
          <w:sz w:val="28"/>
          <w:szCs w:val="28"/>
        </w:rPr>
        <w:t xml:space="preserve">АО «Газпром газораспределение Пермь»</w:t>
      </w:r>
      <w:bookmarkEnd w:id="231"/>
      <w:r>
        <w:rPr>
          <w:sz w:val="28"/>
          <w:szCs w:val="28"/>
        </w:rPr>
        <w:t xml:space="preserve"> (форма собственности – государственная) природный газ доставляется конечным потребителям. Предприятие также оказывает услуги по техническому обслуживанию газовых сетей, оборудования абонентов и осуществляет подключение потребителей. </w:t>
      </w:r>
      <w:bookmarkStart w:id="232" w:name="_Hlk164947977"/>
      <w:r>
        <w:rPr>
          <w:sz w:val="28"/>
          <w:szCs w:val="28"/>
        </w:rPr>
        <w:t xml:space="preserve">ООО «Газпром </w:t>
      </w:r>
      <w:r>
        <w:rPr>
          <w:sz w:val="28"/>
          <w:szCs w:val="28"/>
        </w:rPr>
        <w:t xml:space="preserve">межрегионгаз</w:t>
      </w:r>
      <w:r>
        <w:rPr>
          <w:sz w:val="28"/>
          <w:szCs w:val="28"/>
        </w:rPr>
        <w:t xml:space="preserve"> Пермь» </w:t>
      </w:r>
      <w:bookmarkEnd w:id="232"/>
      <w:r>
        <w:rPr>
          <w:sz w:val="28"/>
          <w:szCs w:val="28"/>
        </w:rPr>
        <w:t xml:space="preserve">(форма собственности – смешанная российская с долей субъекта Российской Федерации) занимается непосредственно реализацией природного газа конечным потребителям, оказывая снабженческо-сбытовые услуги.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Услуги по с</w:t>
      </w:r>
      <w:r>
        <w:rPr>
          <w:sz w:val="28"/>
          <w:szCs w:val="28"/>
        </w:rPr>
        <w:t xml:space="preserve">набжению потребителей природным газом оказываются по прямым договорам, заключаемым с населением, бюджетными и прочими организациями. С частью граждан – собственниками (нанимателями) жилых помещений в многоквартирных домах – прямые договоры не заключаются.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>
        <w:rPr>
          <w:sz w:val="28"/>
          <w:szCs w:val="28"/>
          <w:highlight w:val="white"/>
        </w:rPr>
        <w:t xml:space="preserve">01.09.2023</w:t>
      </w:r>
      <w:r>
        <w:rPr>
          <w:sz w:val="28"/>
          <w:szCs w:val="28"/>
        </w:rPr>
        <w:t xml:space="preserve"> обслуживать </w:t>
      </w:r>
      <w:bookmarkStart w:id="233" w:name="_Hlk164948010"/>
      <w:r>
        <w:rPr>
          <w:sz w:val="28"/>
          <w:szCs w:val="28"/>
        </w:rPr>
        <w:t xml:space="preserve">внутридомовое и внутриквартирное газовое оборудование</w:t>
      </w:r>
      <w:bookmarkEnd w:id="233"/>
      <w:r>
        <w:rPr>
          <w:sz w:val="28"/>
          <w:szCs w:val="28"/>
        </w:rPr>
        <w:t xml:space="preserve"> могут только газораспределительные организации и компании, занимающиеся транспортировкой природного газа по распределительным сетям. Поэтому абоненты, проживающие в индивидуальных жилых домах, обязаны </w:t>
      </w:r>
      <w:r>
        <w:rPr>
          <w:sz w:val="28"/>
          <w:szCs w:val="28"/>
        </w:rPr>
        <w:t xml:space="preserve">перезаключить договор о техническом обслуживании и ремонте по истечении срока действия име</w:t>
      </w:r>
      <w:r>
        <w:rPr>
          <w:sz w:val="28"/>
          <w:szCs w:val="28"/>
        </w:rPr>
        <w:t xml:space="preserve">ющегося договора. Пролонгация таких договоров не предусмотрена. Абоненты, проживающие в многоквартирных домах, обязаны были заключить (перезаключить) договор о техническом обслуживании и ремонте внутриквартирного газового оборудования в срок до 31.12.2023.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/>
      <w:bookmarkStart w:id="234" w:name="_Toc119947482"/>
      <w:r/>
      <w:bookmarkStart w:id="235" w:name="_Toc175215996"/>
      <w:r/>
      <w:bookmarkEnd w:id="227"/>
      <w:r>
        <w:rPr>
          <w:b/>
          <w:bCs/>
          <w:sz w:val="28"/>
          <w:szCs w:val="28"/>
        </w:rPr>
        <w:t xml:space="preserve">2.5.2 Характеристика системы газоснабжения</w:t>
      </w:r>
      <w:bookmarkEnd w:id="234"/>
      <w:r/>
      <w:bookmarkEnd w:id="235"/>
      <w:r/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Источниками газоснабжения города Перми являются ГРС: на левом берегу – ГРС-1 «Соболи» и ГРС-3 «</w:t>
      </w:r>
      <w:r>
        <w:rPr>
          <w:sz w:val="28"/>
          <w:szCs w:val="28"/>
        </w:rPr>
        <w:t xml:space="preserve">Гамово</w:t>
      </w:r>
      <w:r>
        <w:rPr>
          <w:sz w:val="28"/>
          <w:szCs w:val="28"/>
        </w:rPr>
        <w:t xml:space="preserve">»; на правом берегу – ГРС «</w:t>
      </w:r>
      <w:r>
        <w:rPr>
          <w:sz w:val="28"/>
          <w:szCs w:val="28"/>
        </w:rPr>
        <w:t xml:space="preserve">Гайва</w:t>
      </w:r>
      <w:r>
        <w:rPr>
          <w:sz w:val="28"/>
          <w:szCs w:val="28"/>
        </w:rPr>
        <w:t xml:space="preserve">». ГРС-2 «Крым» был</w:t>
      </w:r>
      <w:r>
        <w:rPr>
          <w:sz w:val="28"/>
          <w:szCs w:val="28"/>
        </w:rPr>
        <w:t xml:space="preserve">а относительно недавно выведена из эксплуатации. Подсистема газоснабжения левого берега не отвечает всем требованиям надежности из-за наличия вероятности прекращения подачи природного газа части потребителей при выходе из строя одного из источников (ГРС-1 </w:t>
      </w:r>
      <w:r>
        <w:rPr>
          <w:sz w:val="28"/>
          <w:szCs w:val="28"/>
        </w:rPr>
        <w:br/>
        <w:t xml:space="preserve">или ГРС-3), а также при необходимости проведения ремонтных работ на газовых сетях высокого давления.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Система газораспределения состоит из трех изолированных частей: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правобережная часть, получающая природный газ от ГРС «</w:t>
      </w:r>
      <w:r>
        <w:rPr>
          <w:sz w:val="28"/>
          <w:szCs w:val="28"/>
        </w:rPr>
        <w:t xml:space="preserve">Гайва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левобережная часть, получающая природный газ от ГРС-3;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левобережная часть, получающая природный газ от ГРС-1.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 на территории города Перми располагается только ГРС «</w:t>
      </w:r>
      <w:r>
        <w:rPr>
          <w:sz w:val="28"/>
          <w:szCs w:val="28"/>
        </w:rPr>
        <w:t xml:space="preserve">Гайва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расчетами </w:t>
      </w:r>
      <w:bookmarkStart w:id="236" w:name="_Hlk164949702"/>
      <w:r>
        <w:rPr>
          <w:sz w:val="28"/>
          <w:szCs w:val="28"/>
        </w:rPr>
        <w:t xml:space="preserve">ОАО «</w:t>
      </w:r>
      <w:r>
        <w:rPr>
          <w:sz w:val="28"/>
          <w:szCs w:val="28"/>
        </w:rPr>
        <w:t xml:space="preserve">ГипроНИИгаз</w:t>
      </w:r>
      <w:r>
        <w:rPr>
          <w:sz w:val="28"/>
          <w:szCs w:val="28"/>
        </w:rPr>
        <w:t xml:space="preserve">» </w:t>
      </w:r>
      <w:bookmarkEnd w:id="236"/>
      <w:r>
        <w:rPr>
          <w:sz w:val="28"/>
          <w:szCs w:val="28"/>
        </w:rPr>
        <w:t xml:space="preserve">гидравлических режимов для газопроводов высокого давления (1,2 МПа) параметры и характеристики обеспечивают во всех трех подсистемах подачу природного газа требуемого давления.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Дальнейшее распределение пр</w:t>
      </w:r>
      <w:r>
        <w:rPr>
          <w:sz w:val="28"/>
          <w:szCs w:val="28"/>
        </w:rPr>
        <w:t xml:space="preserve">иродного газа происходит через головной газораспределительный пункт (далее – ГРП), которые обеспечивают потребителям подачу топлива необходимого среднего давления. Требования надежности системы не обеспечиваются только в случае отключения головного ГРП-1.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Согласно данным АО «Газпром газораспределение Пермь» в системе газораспределения по состоянию на 01.10.2</w:t>
      </w:r>
      <w:r>
        <w:rPr>
          <w:sz w:val="28"/>
          <w:szCs w:val="28"/>
        </w:rPr>
        <w:t xml:space="preserve">023 функционировали в общей сложности 820 пунктов редуцирования природного газа совокупной проектной мощностью 2 410 675 куб. м/час, средняя загрузка которых составила 1 446 045 куб. м/час, или примерно 60 %. Средний износ газорегуляторных пунктов – 40 %.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Система транспортировки природного газа в городе Перми трехступенчатая: трубопроводы высокого, среднего и низкого давления. Основная часть газопроводов эксплуатируется АО «Газпром газораспределение Пермь», другая – прочими организациями.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01.10.2023 АО «Газпро</w:t>
      </w:r>
      <w:r>
        <w:rPr>
          <w:sz w:val="28"/>
          <w:szCs w:val="28"/>
        </w:rPr>
        <w:t xml:space="preserve">м газораспределение Пермь» эксплуатировало 1 498,454 км стальных газопроводов (в 2021 году – 1 479,260 км; в 2022 году – 1 490,970 км). Средний износ стальных газопроводов – 60 %. Почти все они имеют электрохимическую защиту. Протяженность эксплуатируемых </w:t>
      </w:r>
      <w:r>
        <w:rPr>
          <w:sz w:val="28"/>
          <w:szCs w:val="28"/>
        </w:rPr>
        <w:t xml:space="preserve">полимерных газопроводов на 0</w:t>
      </w:r>
      <w:r>
        <w:rPr>
          <w:sz w:val="28"/>
          <w:szCs w:val="28"/>
        </w:rPr>
        <w:t xml:space="preserve">1.10.2023 – 578,472 км (в 2021 году – 499,080 км; в 2022 году – 542,770 км). Средний износ полимерных газопроводов – 5 %. Общая протяженность газопроводов в 2023 году – 2 076,926 км (в 2021 году – 1 978,340 км; в 2022 году – 2 033,740 км). Средний износ га</w:t>
      </w:r>
      <w:r>
        <w:rPr>
          <w:sz w:val="28"/>
          <w:szCs w:val="28"/>
        </w:rPr>
        <w:t xml:space="preserve">зовых сетей – 45 %. Большую их часть составляют газопроводы низкого давления. В структуре с каждым годом увеличивается доля полимерных трубопроводов, что также положительно влияет на износ газовых сетей ввиду более продолжительного срока службы последних.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Протяженность бесхозяйных газопроводов – 16,848 км; их средний износ – 50 %. За рассматриваемый период их протяженность сокращалась – в 2021 году они насчитывали 22,311 км. 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/>
      <w:bookmarkStart w:id="237" w:name="_Toc119947483"/>
      <w:r/>
      <w:bookmarkStart w:id="238" w:name="_Toc175215997"/>
      <w:r>
        <w:rPr>
          <w:b/>
          <w:bCs/>
          <w:sz w:val="28"/>
          <w:szCs w:val="28"/>
        </w:rPr>
        <w:t xml:space="preserve">2.5.3 Балансы мощности и ресурса</w:t>
      </w:r>
      <w:bookmarkEnd w:id="237"/>
      <w:r/>
      <w:bookmarkEnd w:id="238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Баланс природного газа за 2019-2023 годы был сформирован по сведениям из форм статистического наблюдения 1-ТЕП «Сведения о снабжении </w:t>
      </w:r>
      <w:r>
        <w:rPr>
          <w:sz w:val="28"/>
          <w:szCs w:val="28"/>
        </w:rPr>
        <w:t xml:space="preserve">теплоэнергией</w:t>
      </w:r>
      <w:r>
        <w:rPr>
          <w:sz w:val="28"/>
          <w:szCs w:val="28"/>
        </w:rPr>
        <w:t xml:space="preserve">», 4-ТЭР «Сведения об использовании топливно-энергетических ресурсов», 22-ЖКХ (ресурсы) «Сведения о работе </w:t>
      </w:r>
      <w:r>
        <w:rPr>
          <w:sz w:val="28"/>
          <w:szCs w:val="28"/>
        </w:rPr>
        <w:t xml:space="preserve">ресурсоснабжающих</w:t>
      </w:r>
      <w:r>
        <w:rPr>
          <w:sz w:val="28"/>
          <w:szCs w:val="28"/>
        </w:rPr>
        <w:t xml:space="preserve"> организаций в условиях реформы» и данных, представленных тепло- и </w:t>
      </w:r>
      <w:r>
        <w:rPr>
          <w:sz w:val="28"/>
          <w:szCs w:val="28"/>
        </w:rPr>
        <w:t xml:space="preserve">электроснабжающими</w:t>
      </w:r>
      <w:r>
        <w:rPr>
          <w:sz w:val="28"/>
          <w:szCs w:val="28"/>
        </w:rPr>
        <w:t xml:space="preserve"> организациями. Баланс природного газа за рассматриваемый период представлен в таблице 2.24. </w:t>
      </w:r>
      <w:r>
        <w:rPr>
          <w:sz w:val="28"/>
          <w:szCs w:val="28"/>
        </w:rPr>
      </w:r>
    </w:p>
    <w:p>
      <w:pPr>
        <w:pStyle w:val="1544"/>
        <w:jc w:val="left"/>
        <w:rPr>
          <w:sz w:val="28"/>
          <w:szCs w:val="28"/>
        </w:rPr>
      </w:pPr>
      <w:r/>
      <w:bookmarkStart w:id="239" w:name="_Ref159505273"/>
      <w:r/>
      <w:bookmarkStart w:id="240" w:name="_Toc156460432"/>
      <w:r/>
      <w:bookmarkStart w:id="241" w:name="_Toc175216100"/>
      <w:r/>
      <w:r>
        <w:rPr>
          <w:sz w:val="28"/>
          <w:szCs w:val="28"/>
        </w:rPr>
      </w:r>
    </w:p>
    <w:p>
      <w:pPr>
        <w:pStyle w:val="1544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Таблица 2.24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Баланс природного газа</w:t>
      </w:r>
      <w:bookmarkEnd w:id="239"/>
      <w:r/>
      <w:bookmarkEnd w:id="240"/>
      <w:r/>
      <w:bookmarkEnd w:id="241"/>
      <w:r/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</w:r>
      <w:r>
        <w:rPr>
          <w:b/>
          <w:bCs/>
          <w:sz w:val="28"/>
          <w:szCs w:val="28"/>
          <w:lang w:eastAsia="en-US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73"/>
        <w:gridCol w:w="1526"/>
        <w:gridCol w:w="1304"/>
        <w:gridCol w:w="1162"/>
        <w:gridCol w:w="1160"/>
        <w:gridCol w:w="1160"/>
        <w:gridCol w:w="1152"/>
      </w:tblGrid>
      <w:tr>
        <w:tblPrEx/>
        <w:trPr>
          <w:trHeight w:val="20"/>
          <w:tblHeader/>
        </w:trPr>
        <w:tc>
          <w:tcPr>
            <w:shd w:val="clear" w:color="auto" w:fill="auto"/>
            <w:tcW w:w="1319" w:type="pct"/>
            <w:vAlign w:val="center"/>
            <w:textDirection w:val="lrTb"/>
            <w:noWrap w:val="false"/>
          </w:tcPr>
          <w:p>
            <w:pPr>
              <w:ind w:firstLine="37"/>
              <w:jc w:val="center"/>
              <w:rPr>
                <w:bCs/>
                <w:iCs/>
              </w:rPr>
            </w:pPr>
            <w:r/>
            <w:bookmarkStart w:id="242" w:name="_Hlk60850553"/>
            <w:r>
              <w:rPr>
                <w:bCs/>
                <w:iCs/>
              </w:rPr>
              <w:t xml:space="preserve">Показатели</w:t>
            </w:r>
            <w:r>
              <w:rPr>
                <w:bCs/>
                <w:iCs/>
              </w:rPr>
            </w:r>
          </w:p>
        </w:tc>
        <w:tc>
          <w:tcPr>
            <w:shd w:val="clear" w:color="auto" w:fill="auto"/>
            <w:tcW w:w="753" w:type="pct"/>
            <w:vAlign w:val="center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Ед. изм.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643" w:type="pct"/>
            <w:vAlign w:val="center"/>
            <w:textDirection w:val="lrTb"/>
            <w:noWrap/>
          </w:tcPr>
          <w:p>
            <w:pPr>
              <w:ind w:firstLine="28"/>
              <w:jc w:val="center"/>
              <w:rPr>
                <w:bCs/>
              </w:rPr>
            </w:pPr>
            <w:r>
              <w:rPr>
                <w:bCs/>
              </w:rPr>
              <w:t xml:space="preserve">2019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573" w:type="pct"/>
            <w:vAlign w:val="center"/>
            <w:textDirection w:val="lrTb"/>
            <w:noWrap/>
          </w:tcPr>
          <w:p>
            <w:pPr>
              <w:ind w:firstLine="28"/>
              <w:jc w:val="center"/>
              <w:rPr>
                <w:bCs/>
              </w:rPr>
            </w:pPr>
            <w:r>
              <w:rPr>
                <w:bCs/>
              </w:rPr>
              <w:t xml:space="preserve">2020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572" w:type="pct"/>
            <w:vAlign w:val="center"/>
            <w:textDirection w:val="lrTb"/>
            <w:noWrap/>
          </w:tcPr>
          <w:p>
            <w:pPr>
              <w:ind w:firstLine="28"/>
              <w:jc w:val="center"/>
              <w:rPr>
                <w:bCs/>
              </w:rPr>
            </w:pPr>
            <w:r>
              <w:rPr>
                <w:bCs/>
              </w:rPr>
              <w:t xml:space="preserve">2021</w:t>
            </w:r>
            <w:r>
              <w:rPr>
                <w:bCs/>
              </w:rPr>
            </w:r>
          </w:p>
        </w:tc>
        <w:tc>
          <w:tcPr>
            <w:tcW w:w="572" w:type="pct"/>
            <w:vAlign w:val="center"/>
            <w:textDirection w:val="lrTb"/>
            <w:noWrap w:val="false"/>
          </w:tcPr>
          <w:p>
            <w:pPr>
              <w:ind w:firstLine="28"/>
              <w:jc w:val="center"/>
              <w:rPr>
                <w:bCs/>
              </w:rPr>
            </w:pPr>
            <w:r>
              <w:rPr>
                <w:bCs/>
              </w:rPr>
              <w:t xml:space="preserve">2022</w:t>
            </w:r>
            <w:r>
              <w:rPr>
                <w:bCs/>
              </w:rPr>
            </w:r>
          </w:p>
        </w:tc>
        <w:tc>
          <w:tcPr>
            <w:tcW w:w="569" w:type="pct"/>
            <w:vAlign w:val="center"/>
            <w:textDirection w:val="lrTb"/>
            <w:noWrap w:val="false"/>
          </w:tcPr>
          <w:p>
            <w:pPr>
              <w:ind w:firstLine="28"/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 xml:space="preserve">2023</w:t>
            </w:r>
            <w:r>
              <w:rPr>
                <w:bCs/>
                <w:vertAlign w:val="superscript"/>
              </w:rPr>
              <w:t xml:space="preserve">1</w:t>
            </w:r>
            <w:r>
              <w:rPr>
                <w:bCs/>
                <w:vertAlign w:val="superscript"/>
              </w:rPr>
            </w:r>
          </w:p>
        </w:tc>
      </w:tr>
    </w:tbl>
    <w:p>
      <w:pPr>
        <w:spacing w:line="48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73"/>
        <w:gridCol w:w="1526"/>
        <w:gridCol w:w="1304"/>
        <w:gridCol w:w="1162"/>
        <w:gridCol w:w="1160"/>
        <w:gridCol w:w="1160"/>
        <w:gridCol w:w="1152"/>
      </w:tblGrid>
      <w:tr>
        <w:tblPrEx/>
        <w:trPr>
          <w:trHeight w:val="20"/>
          <w:tblHeader/>
        </w:trPr>
        <w:tc>
          <w:tcPr>
            <w:shd w:val="clear" w:color="auto" w:fill="auto"/>
            <w:tcW w:w="1319" w:type="pct"/>
            <w:vAlign w:val="center"/>
            <w:textDirection w:val="lrTb"/>
            <w:noWrap w:val="false"/>
          </w:tcPr>
          <w:p>
            <w:pPr>
              <w:ind w:firstLine="3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1</w:t>
            </w:r>
            <w:r>
              <w:rPr>
                <w:bCs/>
                <w:iCs/>
              </w:rPr>
            </w:r>
          </w:p>
        </w:tc>
        <w:tc>
          <w:tcPr>
            <w:shd w:val="clear" w:color="auto" w:fill="auto"/>
            <w:tcW w:w="753" w:type="pct"/>
            <w:vAlign w:val="center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643" w:type="pct"/>
            <w:vAlign w:val="center"/>
            <w:textDirection w:val="lrTb"/>
            <w:noWrap/>
          </w:tcPr>
          <w:p>
            <w:pPr>
              <w:ind w:firstLine="28"/>
              <w:jc w:val="center"/>
              <w:rPr>
                <w:bCs/>
              </w:rPr>
            </w:pPr>
            <w:r>
              <w:rPr>
                <w:bCs/>
              </w:rPr>
              <w:t xml:space="preserve">3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573" w:type="pct"/>
            <w:vAlign w:val="center"/>
            <w:textDirection w:val="lrTb"/>
            <w:noWrap/>
          </w:tcPr>
          <w:p>
            <w:pPr>
              <w:ind w:firstLine="28"/>
              <w:jc w:val="center"/>
              <w:rPr>
                <w:bCs/>
              </w:rPr>
            </w:pPr>
            <w:r>
              <w:rPr>
                <w:bCs/>
              </w:rPr>
              <w:t xml:space="preserve">4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572" w:type="pct"/>
            <w:vAlign w:val="center"/>
            <w:textDirection w:val="lrTb"/>
            <w:noWrap/>
          </w:tcPr>
          <w:p>
            <w:pPr>
              <w:ind w:firstLine="28"/>
              <w:jc w:val="center"/>
              <w:rPr>
                <w:bCs/>
              </w:rPr>
            </w:pPr>
            <w:r>
              <w:rPr>
                <w:bCs/>
              </w:rPr>
              <w:t xml:space="preserve">5</w:t>
            </w:r>
            <w:r>
              <w:rPr>
                <w:bCs/>
              </w:rPr>
            </w:r>
          </w:p>
        </w:tc>
        <w:tc>
          <w:tcPr>
            <w:tcW w:w="572" w:type="pct"/>
            <w:vAlign w:val="center"/>
            <w:textDirection w:val="lrTb"/>
            <w:noWrap w:val="false"/>
          </w:tcPr>
          <w:p>
            <w:pPr>
              <w:ind w:firstLine="28"/>
              <w:jc w:val="center"/>
              <w:rPr>
                <w:bCs/>
              </w:rPr>
            </w:pPr>
            <w:r>
              <w:rPr>
                <w:bCs/>
              </w:rPr>
              <w:t xml:space="preserve">6</w:t>
            </w:r>
            <w:r>
              <w:rPr>
                <w:bCs/>
              </w:rPr>
            </w:r>
          </w:p>
        </w:tc>
        <w:tc>
          <w:tcPr>
            <w:tcW w:w="569" w:type="pct"/>
            <w:vAlign w:val="center"/>
            <w:textDirection w:val="lrTb"/>
            <w:noWrap w:val="false"/>
          </w:tcPr>
          <w:p>
            <w:pPr>
              <w:ind w:firstLine="28"/>
              <w:jc w:val="center"/>
              <w:rPr>
                <w:bCs/>
              </w:rPr>
            </w:pPr>
            <w:r>
              <w:rPr>
                <w:bCs/>
              </w:rPr>
              <w:t xml:space="preserve">7</w:t>
            </w:r>
            <w:r>
              <w:rPr>
                <w:bCs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319" w:type="pct"/>
            <w:textDirection w:val="lrTb"/>
            <w:noWrap w:val="false"/>
          </w:tcPr>
          <w:p>
            <w:pPr>
              <w:ind w:left="34"/>
              <w:rPr>
                <w:bCs/>
              </w:rPr>
            </w:pPr>
            <w:r>
              <w:rPr>
                <w:bCs/>
              </w:rPr>
              <w:t xml:space="preserve">Добыча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753" w:type="pct"/>
            <w:textDirection w:val="lrTb"/>
            <w:noWrap/>
          </w:tcPr>
          <w:p>
            <w:pPr>
              <w:jc w:val="center"/>
            </w:pPr>
            <w:r>
              <w:rPr>
                <w:bCs/>
              </w:rPr>
              <w:t xml:space="preserve">млн куб. м</w:t>
            </w:r>
            <w:r/>
          </w:p>
        </w:tc>
        <w:tc>
          <w:tcPr>
            <w:shd w:val="clear" w:color="auto" w:fill="auto"/>
            <w:tcW w:w="643" w:type="pct"/>
            <w:textDirection w:val="lrTb"/>
            <w:noWrap/>
          </w:tcPr>
          <w:p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</w:t>
            </w:r>
            <w:r>
              <w:rPr>
                <w:bCs/>
                <w:lang w:val="en-US"/>
              </w:rPr>
            </w:r>
          </w:p>
        </w:tc>
        <w:tc>
          <w:tcPr>
            <w:shd w:val="clear" w:color="auto" w:fill="auto"/>
            <w:tcW w:w="573" w:type="pct"/>
            <w:textDirection w:val="lrTb"/>
            <w:noWrap/>
          </w:tcPr>
          <w:p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</w:t>
            </w:r>
            <w:r>
              <w:rPr>
                <w:bCs/>
                <w:lang w:val="en-US"/>
              </w:rPr>
            </w:r>
          </w:p>
        </w:tc>
        <w:tc>
          <w:tcPr>
            <w:shd w:val="clear" w:color="auto" w:fill="auto"/>
            <w:tcW w:w="572" w:type="pct"/>
            <w:textDirection w:val="lrTb"/>
            <w:noWrap/>
          </w:tcPr>
          <w:p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</w:t>
            </w:r>
            <w:r>
              <w:rPr>
                <w:bCs/>
                <w:lang w:val="en-US"/>
              </w:rPr>
            </w:r>
          </w:p>
        </w:tc>
        <w:tc>
          <w:tcPr>
            <w:tcW w:w="572" w:type="pct"/>
            <w:textDirection w:val="lrTb"/>
            <w:noWrap w:val="false"/>
          </w:tcPr>
          <w:p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</w:t>
            </w:r>
            <w:r>
              <w:rPr>
                <w:bCs/>
                <w:lang w:val="en-US"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-</w:t>
            </w:r>
            <w:r>
              <w:rPr>
                <w:lang w:val="en-US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319" w:type="pct"/>
            <w:textDirection w:val="lrTb"/>
            <w:noWrap w:val="false"/>
          </w:tcPr>
          <w:p>
            <w:pPr>
              <w:ind w:left="34"/>
              <w:rPr>
                <w:bCs/>
              </w:rPr>
            </w:pPr>
            <w:r>
              <w:rPr>
                <w:bCs/>
              </w:rPr>
              <w:t xml:space="preserve">Получено со стороны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753" w:type="pct"/>
            <w:textDirection w:val="lrTb"/>
            <w:noWrap/>
          </w:tcPr>
          <w:p>
            <w:pPr>
              <w:jc w:val="center"/>
            </w:pPr>
            <w:r>
              <w:rPr>
                <w:bCs/>
              </w:rPr>
              <w:t xml:space="preserve">млн куб. м</w:t>
            </w:r>
            <w:r/>
          </w:p>
        </w:tc>
        <w:tc>
          <w:tcPr>
            <w:shd w:val="clear" w:color="auto" w:fill="auto"/>
            <w:tcW w:w="643" w:type="pct"/>
            <w:textDirection w:val="lrTb"/>
            <w:noWrap/>
          </w:tcPr>
          <w:p>
            <w:pPr>
              <w:jc w:val="center"/>
            </w:pPr>
            <w:r>
              <w:t xml:space="preserve">14 498,3</w:t>
            </w:r>
            <w:r/>
          </w:p>
        </w:tc>
        <w:tc>
          <w:tcPr>
            <w:shd w:val="clear" w:color="auto" w:fill="auto"/>
            <w:tcW w:w="573" w:type="pct"/>
            <w:textDirection w:val="lrTb"/>
            <w:noWrap/>
          </w:tcPr>
          <w:p>
            <w:pPr>
              <w:jc w:val="center"/>
            </w:pPr>
            <w:r>
              <w:t xml:space="preserve">13 766,3</w:t>
            </w:r>
            <w:r/>
          </w:p>
        </w:tc>
        <w:tc>
          <w:tcPr>
            <w:shd w:val="clear" w:color="auto" w:fill="auto"/>
            <w:tcW w:w="572" w:type="pct"/>
            <w:textDirection w:val="lrTb"/>
            <w:noWrap/>
          </w:tcPr>
          <w:p>
            <w:pPr>
              <w:jc w:val="center"/>
            </w:pPr>
            <w:r>
              <w:t xml:space="preserve">15 238,0</w:t>
            </w:r>
            <w:r/>
          </w:p>
        </w:tc>
        <w:tc>
          <w:tcPr>
            <w:tcW w:w="572" w:type="pct"/>
            <w:textDirection w:val="lrTb"/>
            <w:noWrap w:val="false"/>
          </w:tcPr>
          <w:p>
            <w:pPr>
              <w:jc w:val="center"/>
            </w:pPr>
            <w:r>
              <w:t xml:space="preserve">14 279,3</w:t>
            </w:r>
            <w:r/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</w:pPr>
            <w:r>
              <w:t xml:space="preserve">14 111,2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319" w:type="pct"/>
            <w:textDirection w:val="lrTb"/>
            <w:noWrap w:val="false"/>
          </w:tcPr>
          <w:p>
            <w:pPr>
              <w:ind w:left="34"/>
              <w:rPr>
                <w:bCs/>
              </w:rPr>
            </w:pPr>
            <w:r>
              <w:rPr>
                <w:bCs/>
              </w:rPr>
              <w:t xml:space="preserve">Отпущено на сторону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753" w:type="pct"/>
            <w:textDirection w:val="lrTb"/>
            <w:noWrap/>
          </w:tcPr>
          <w:p>
            <w:pPr>
              <w:jc w:val="center"/>
            </w:pPr>
            <w:r>
              <w:rPr>
                <w:bCs/>
              </w:rPr>
              <w:t xml:space="preserve">млн куб. м</w:t>
            </w:r>
            <w:r/>
          </w:p>
        </w:tc>
        <w:tc>
          <w:tcPr>
            <w:shd w:val="clear" w:color="auto" w:fill="auto"/>
            <w:tcW w:w="643" w:type="pct"/>
            <w:textDirection w:val="lrTb"/>
            <w:noWrap/>
          </w:tcPr>
          <w:p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</w:t>
            </w:r>
            <w:r>
              <w:rPr>
                <w:bCs/>
                <w:lang w:val="en-US"/>
              </w:rPr>
            </w:r>
          </w:p>
        </w:tc>
        <w:tc>
          <w:tcPr>
            <w:shd w:val="clear" w:color="auto" w:fill="auto"/>
            <w:tcW w:w="573" w:type="pct"/>
            <w:textDirection w:val="lrTb"/>
            <w:noWrap/>
          </w:tcPr>
          <w:p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</w:t>
            </w:r>
            <w:r>
              <w:rPr>
                <w:bCs/>
                <w:lang w:val="en-US"/>
              </w:rPr>
            </w:r>
          </w:p>
        </w:tc>
        <w:tc>
          <w:tcPr>
            <w:shd w:val="clear" w:color="auto" w:fill="auto"/>
            <w:tcW w:w="572" w:type="pct"/>
            <w:textDirection w:val="lrTb"/>
            <w:noWrap/>
          </w:tcPr>
          <w:p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</w:t>
            </w:r>
            <w:r>
              <w:rPr>
                <w:bCs/>
                <w:lang w:val="en-US"/>
              </w:rPr>
            </w:r>
          </w:p>
        </w:tc>
        <w:tc>
          <w:tcPr>
            <w:tcW w:w="572" w:type="pct"/>
            <w:textDirection w:val="lrTb"/>
            <w:noWrap w:val="false"/>
          </w:tcPr>
          <w:p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</w:t>
            </w:r>
            <w:r>
              <w:rPr>
                <w:bCs/>
                <w:lang w:val="en-US"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-</w:t>
            </w:r>
            <w:r>
              <w:rPr>
                <w:lang w:val="en-US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319" w:type="pct"/>
            <w:textDirection w:val="lrTb"/>
            <w:noWrap w:val="false"/>
          </w:tcPr>
          <w:p>
            <w:pPr>
              <w:ind w:left="34"/>
              <w:rPr>
                <w:bCs/>
              </w:rPr>
            </w:pPr>
            <w:r>
              <w:rPr>
                <w:bCs/>
              </w:rPr>
              <w:t xml:space="preserve">Собственные нужды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753" w:type="pct"/>
            <w:textDirection w:val="lrTb"/>
            <w:noWrap/>
          </w:tcPr>
          <w:p>
            <w:pPr>
              <w:jc w:val="center"/>
            </w:pPr>
            <w:r>
              <w:rPr>
                <w:bCs/>
              </w:rPr>
              <w:t xml:space="preserve">млн куб. м</w:t>
            </w:r>
            <w:r/>
          </w:p>
        </w:tc>
        <w:tc>
          <w:tcPr>
            <w:shd w:val="clear" w:color="auto" w:fill="auto"/>
            <w:tcW w:w="643" w:type="pct"/>
            <w:textDirection w:val="lrTb"/>
            <w:noWrap/>
          </w:tcPr>
          <w:p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</w:t>
            </w:r>
            <w:r>
              <w:rPr>
                <w:bCs/>
                <w:lang w:val="en-US"/>
              </w:rPr>
            </w:r>
          </w:p>
        </w:tc>
        <w:tc>
          <w:tcPr>
            <w:shd w:val="clear" w:color="auto" w:fill="auto"/>
            <w:tcW w:w="573" w:type="pct"/>
            <w:textDirection w:val="lrTb"/>
            <w:noWrap/>
          </w:tcPr>
          <w:p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</w:t>
            </w:r>
            <w:r>
              <w:rPr>
                <w:bCs/>
                <w:lang w:val="en-US"/>
              </w:rPr>
            </w:r>
          </w:p>
        </w:tc>
        <w:tc>
          <w:tcPr>
            <w:shd w:val="clear" w:color="auto" w:fill="auto"/>
            <w:tcW w:w="572" w:type="pct"/>
            <w:textDirection w:val="lrTb"/>
            <w:noWrap/>
          </w:tcPr>
          <w:p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</w:t>
            </w:r>
            <w:r>
              <w:rPr>
                <w:bCs/>
                <w:lang w:val="en-US"/>
              </w:rPr>
            </w:r>
          </w:p>
        </w:tc>
        <w:tc>
          <w:tcPr>
            <w:tcW w:w="572" w:type="pct"/>
            <w:textDirection w:val="lrTb"/>
            <w:noWrap w:val="false"/>
          </w:tcPr>
          <w:p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</w:t>
            </w:r>
            <w:r>
              <w:rPr>
                <w:bCs/>
                <w:lang w:val="en-US"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-</w:t>
            </w:r>
            <w:r>
              <w:rPr>
                <w:lang w:val="en-US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319" w:type="pct"/>
            <w:textDirection w:val="lrTb"/>
            <w:noWrap w:val="false"/>
          </w:tcPr>
          <w:p>
            <w:pPr>
              <w:ind w:left="34"/>
              <w:rPr>
                <w:bCs/>
              </w:rPr>
            </w:pPr>
            <w:r>
              <w:rPr>
                <w:bCs/>
              </w:rPr>
              <w:t xml:space="preserve">Изменение запасов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753" w:type="pc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млн куб. м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643" w:type="pct"/>
            <w:textDirection w:val="lrTb"/>
            <w:noWrap/>
          </w:tcPr>
          <w:p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</w:t>
            </w:r>
            <w:r>
              <w:rPr>
                <w:bCs/>
                <w:lang w:val="en-US"/>
              </w:rPr>
            </w:r>
          </w:p>
        </w:tc>
        <w:tc>
          <w:tcPr>
            <w:shd w:val="clear" w:color="auto" w:fill="auto"/>
            <w:tcW w:w="573" w:type="pct"/>
            <w:textDirection w:val="lrTb"/>
            <w:noWrap/>
          </w:tcPr>
          <w:p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</w:t>
            </w:r>
            <w:r>
              <w:rPr>
                <w:bCs/>
                <w:lang w:val="en-US"/>
              </w:rPr>
            </w:r>
          </w:p>
        </w:tc>
        <w:tc>
          <w:tcPr>
            <w:shd w:val="clear" w:color="auto" w:fill="auto"/>
            <w:tcW w:w="572" w:type="pct"/>
            <w:textDirection w:val="lrTb"/>
            <w:noWrap/>
          </w:tcPr>
          <w:p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0,02</w:t>
            </w:r>
            <w:r>
              <w:rPr>
                <w:bCs/>
                <w:lang w:val="en-US"/>
              </w:rPr>
            </w:r>
          </w:p>
        </w:tc>
        <w:tc>
          <w:tcPr>
            <w:tcW w:w="572" w:type="pct"/>
            <w:textDirection w:val="lrTb"/>
            <w:noWrap w:val="false"/>
          </w:tcPr>
          <w:p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-0,002</w:t>
            </w:r>
            <w:r>
              <w:rPr>
                <w:bCs/>
                <w:lang w:val="en-US"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319" w:type="pct"/>
            <w:textDirection w:val="lrTb"/>
            <w:noWrap w:val="false"/>
          </w:tcPr>
          <w:p>
            <w:pPr>
              <w:ind w:left="34"/>
              <w:rPr>
                <w:bCs/>
              </w:rPr>
            </w:pPr>
            <w:r>
              <w:rPr>
                <w:bCs/>
              </w:rPr>
              <w:t xml:space="preserve">Отпуск в сеть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753" w:type="pct"/>
            <w:textDirection w:val="lrTb"/>
            <w:noWrap/>
          </w:tcPr>
          <w:p>
            <w:pPr>
              <w:jc w:val="center"/>
            </w:pPr>
            <w:r>
              <w:rPr>
                <w:bCs/>
              </w:rPr>
              <w:t xml:space="preserve">млн куб. м</w:t>
            </w:r>
            <w:r/>
          </w:p>
        </w:tc>
        <w:tc>
          <w:tcPr>
            <w:shd w:val="clear" w:color="auto" w:fill="auto"/>
            <w:tcW w:w="643" w:type="pc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14 498,3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573" w:type="pc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13 766,3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572" w:type="pc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15 238,0</w:t>
            </w:r>
            <w:r>
              <w:rPr>
                <w:bCs/>
              </w:rPr>
            </w:r>
          </w:p>
        </w:tc>
        <w:tc>
          <w:tcPr>
            <w:tcW w:w="572" w:type="pct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14 279,3</w:t>
            </w:r>
            <w:r>
              <w:rPr>
                <w:bCs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14 111,2</w:t>
            </w:r>
            <w:r>
              <w:rPr>
                <w:bCs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319" w:type="pct"/>
            <w:textDirection w:val="lrTb"/>
            <w:noWrap w:val="false"/>
          </w:tcPr>
          <w:p>
            <w:pPr>
              <w:ind w:left="34"/>
              <w:rPr>
                <w:bCs/>
                <w:vertAlign w:val="superscript"/>
              </w:rPr>
            </w:pPr>
            <w:r>
              <w:rPr>
                <w:bCs/>
              </w:rPr>
              <w:t xml:space="preserve">Потери</w:t>
            </w:r>
            <w:r>
              <w:rPr>
                <w:bCs/>
                <w:vertAlign w:val="superscript"/>
              </w:rPr>
              <w:t xml:space="preserve">1</w:t>
            </w:r>
            <w:r>
              <w:rPr>
                <w:bCs/>
                <w:vertAlign w:val="superscript"/>
              </w:rPr>
            </w:r>
          </w:p>
        </w:tc>
        <w:tc>
          <w:tcPr>
            <w:shd w:val="clear" w:color="auto" w:fill="auto"/>
            <w:tcW w:w="753" w:type="pct"/>
            <w:textDirection w:val="lrTb"/>
            <w:noWrap/>
          </w:tcPr>
          <w:p>
            <w:pPr>
              <w:jc w:val="center"/>
            </w:pPr>
            <w:r>
              <w:rPr>
                <w:bCs/>
              </w:rPr>
              <w:t xml:space="preserve">млн куб. м</w:t>
            </w:r>
            <w:r/>
          </w:p>
        </w:tc>
        <w:tc>
          <w:tcPr>
            <w:shd w:val="clear" w:color="auto" w:fill="auto"/>
            <w:tcW w:w="643" w:type="pct"/>
            <w:textDirection w:val="lrTb"/>
            <w:noWrap/>
          </w:tcPr>
          <w:p>
            <w:pPr>
              <w:jc w:val="center"/>
            </w:pPr>
            <w:r>
              <w:t xml:space="preserve">-59,2</w:t>
            </w:r>
            <w:r/>
          </w:p>
        </w:tc>
        <w:tc>
          <w:tcPr>
            <w:shd w:val="clear" w:color="auto" w:fill="auto"/>
            <w:tcW w:w="573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-5</w:t>
            </w:r>
            <w:r>
              <w:rPr>
                <w:lang w:val="en-US"/>
              </w:rPr>
              <w:t xml:space="preserve">6</w:t>
            </w:r>
            <w:r>
              <w:t xml:space="preserve">,</w:t>
            </w:r>
            <w:r>
              <w:rPr>
                <w:lang w:val="en-US"/>
              </w:rPr>
              <w:t xml:space="preserve">0</w:t>
            </w:r>
            <w:r>
              <w:rPr>
                <w:lang w:val="en-US"/>
              </w:rPr>
            </w:r>
          </w:p>
        </w:tc>
        <w:tc>
          <w:tcPr>
            <w:shd w:val="clear" w:color="auto" w:fill="auto"/>
            <w:tcW w:w="572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-61,</w:t>
            </w:r>
            <w:r>
              <w:rPr>
                <w:lang w:val="en-US"/>
              </w:rPr>
              <w:t xml:space="preserve">8</w:t>
            </w:r>
            <w:r>
              <w:rPr>
                <w:lang w:val="en-US"/>
              </w:rPr>
            </w:r>
          </w:p>
        </w:tc>
        <w:tc>
          <w:tcPr>
            <w:tcW w:w="572" w:type="pct"/>
            <w:textDirection w:val="lrTb"/>
            <w:noWrap w:val="false"/>
          </w:tcPr>
          <w:p>
            <w:pPr>
              <w:jc w:val="center"/>
            </w:pPr>
            <w:r>
              <w:t xml:space="preserve">-58,0</w:t>
            </w:r>
            <w:r/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t xml:space="preserve">-58,</w:t>
            </w:r>
            <w:r>
              <w:rPr>
                <w:lang w:val="en-US"/>
              </w:rPr>
              <w:t xml:space="preserve">8</w:t>
            </w:r>
            <w:r>
              <w:rPr>
                <w:lang w:val="en-US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319" w:type="pct"/>
            <w:textDirection w:val="lrTb"/>
            <w:noWrap w:val="false"/>
          </w:tcPr>
          <w:p>
            <w:pPr>
              <w:ind w:left="34"/>
              <w:rPr>
                <w:bCs/>
              </w:rPr>
            </w:pPr>
            <w:r>
              <w:rPr>
                <w:bCs/>
              </w:rPr>
              <w:t xml:space="preserve">Преобразование топлива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753" w:type="pc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млн куб. м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643" w:type="pc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-2 608,7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573" w:type="pc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-2 529,9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572" w:type="pc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-2 831,3</w:t>
            </w:r>
            <w:r>
              <w:rPr>
                <w:bCs/>
              </w:rPr>
            </w:r>
          </w:p>
        </w:tc>
        <w:tc>
          <w:tcPr>
            <w:tcW w:w="572" w:type="pct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-2 615,4</w:t>
            </w:r>
            <w:r>
              <w:rPr>
                <w:bCs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-2 307,9</w:t>
            </w:r>
            <w:r>
              <w:rPr>
                <w:bCs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319" w:type="pct"/>
            <w:textDirection w:val="lrTb"/>
            <w:noWrap w:val="false"/>
          </w:tcPr>
          <w:p>
            <w:pPr>
              <w:ind w:left="34" w:firstLine="140"/>
              <w:rPr>
                <w:bCs/>
              </w:rPr>
            </w:pPr>
            <w:r>
              <w:rPr>
                <w:bCs/>
              </w:rPr>
              <w:t xml:space="preserve">котельные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753" w:type="pct"/>
            <w:textDirection w:val="lrTb"/>
            <w:noWrap/>
          </w:tcPr>
          <w:p>
            <w:pPr>
              <w:jc w:val="center"/>
            </w:pPr>
            <w:r>
              <w:rPr>
                <w:bCs/>
              </w:rPr>
              <w:t xml:space="preserve">млн куб. м</w:t>
            </w:r>
            <w:r/>
          </w:p>
        </w:tc>
        <w:tc>
          <w:tcPr>
            <w:shd w:val="clear" w:color="auto" w:fill="auto"/>
            <w:tcW w:w="643" w:type="pct"/>
            <w:textDirection w:val="lrTb"/>
            <w:noWrap/>
          </w:tcPr>
          <w:p>
            <w:pPr>
              <w:jc w:val="center"/>
            </w:pPr>
            <w:r>
              <w:t xml:space="preserve">-887,1</w:t>
            </w:r>
            <w:r/>
          </w:p>
        </w:tc>
        <w:tc>
          <w:tcPr>
            <w:shd w:val="clear" w:color="auto" w:fill="auto"/>
            <w:tcW w:w="573" w:type="pct"/>
            <w:textDirection w:val="lrTb"/>
            <w:noWrap/>
          </w:tcPr>
          <w:p>
            <w:pPr>
              <w:jc w:val="center"/>
            </w:pPr>
            <w:r>
              <w:t xml:space="preserve">-886,3</w:t>
            </w:r>
            <w:r/>
          </w:p>
        </w:tc>
        <w:tc>
          <w:tcPr>
            <w:shd w:val="clear" w:color="auto" w:fill="auto"/>
            <w:tcW w:w="572" w:type="pct"/>
            <w:textDirection w:val="lrTb"/>
            <w:noWrap/>
          </w:tcPr>
          <w:p>
            <w:pPr>
              <w:jc w:val="center"/>
            </w:pPr>
            <w:r>
              <w:t xml:space="preserve">-1 071,2</w:t>
            </w:r>
            <w:r/>
          </w:p>
        </w:tc>
        <w:tc>
          <w:tcPr>
            <w:tcW w:w="572" w:type="pct"/>
            <w:textDirection w:val="lrTb"/>
            <w:noWrap w:val="false"/>
          </w:tcPr>
          <w:p>
            <w:pPr>
              <w:jc w:val="center"/>
            </w:pPr>
            <w:r>
              <w:t xml:space="preserve">-1 029,3</w:t>
            </w:r>
            <w:r/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</w:pPr>
            <w:r>
              <w:t xml:space="preserve">-1 048,1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319" w:type="pct"/>
            <w:textDirection w:val="lrTb"/>
            <w:noWrap w:val="false"/>
          </w:tcPr>
          <w:p>
            <w:pPr>
              <w:ind w:left="34" w:firstLine="140"/>
              <w:rPr>
                <w:bCs/>
              </w:rPr>
            </w:pPr>
            <w:r>
              <w:rPr>
                <w:bCs/>
              </w:rPr>
              <w:t xml:space="preserve">ТЭЦ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753" w:type="pc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млн куб. м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643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-1 721,</w:t>
            </w:r>
            <w:r>
              <w:rPr>
                <w:lang w:val="en-US"/>
              </w:rPr>
              <w:t xml:space="preserve">6</w:t>
            </w:r>
            <w:r>
              <w:rPr>
                <w:lang w:val="en-US"/>
              </w:rPr>
            </w:r>
          </w:p>
        </w:tc>
        <w:tc>
          <w:tcPr>
            <w:shd w:val="clear" w:color="auto" w:fill="auto"/>
            <w:tcW w:w="573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-1 643,</w:t>
            </w:r>
            <w:r>
              <w:rPr>
                <w:lang w:val="en-US"/>
              </w:rPr>
              <w:t xml:space="preserve">6</w:t>
            </w:r>
            <w:r>
              <w:rPr>
                <w:lang w:val="en-US"/>
              </w:rPr>
            </w:r>
          </w:p>
        </w:tc>
        <w:tc>
          <w:tcPr>
            <w:shd w:val="clear" w:color="auto" w:fill="auto"/>
            <w:tcW w:w="572" w:type="pct"/>
            <w:textDirection w:val="lrTb"/>
            <w:noWrap/>
          </w:tcPr>
          <w:p>
            <w:pPr>
              <w:jc w:val="center"/>
            </w:pPr>
            <w:r>
              <w:t xml:space="preserve">-1 760,1</w:t>
            </w:r>
            <w:r/>
          </w:p>
        </w:tc>
        <w:tc>
          <w:tcPr>
            <w:tcW w:w="572" w:type="pct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t xml:space="preserve">-1 586,</w:t>
            </w:r>
            <w:r>
              <w:rPr>
                <w:lang w:val="en-US"/>
              </w:rPr>
              <w:t xml:space="preserve">1</w:t>
            </w:r>
            <w:r>
              <w:rPr>
                <w:lang w:val="en-US"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t xml:space="preserve">-1 259,</w:t>
            </w:r>
            <w:r>
              <w:rPr>
                <w:lang w:val="en-US"/>
              </w:rPr>
              <w:t xml:space="preserve">8</w:t>
            </w:r>
            <w:r>
              <w:rPr>
                <w:lang w:val="en-US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319" w:type="pct"/>
            <w:textDirection w:val="lrTb"/>
            <w:noWrap w:val="false"/>
          </w:tcPr>
          <w:p>
            <w:pPr>
              <w:ind w:left="34"/>
              <w:rPr>
                <w:bCs/>
              </w:rPr>
            </w:pPr>
            <w:r>
              <w:rPr>
                <w:bCs/>
              </w:rPr>
              <w:t xml:space="preserve">Полезный отпуск, </w:t>
            </w:r>
            <w:r>
              <w:rPr>
                <w:bCs/>
              </w:rPr>
            </w:r>
          </w:p>
          <w:p>
            <w:pPr>
              <w:ind w:left="34"/>
            </w:pPr>
            <w:r>
              <w:rPr>
                <w:bCs/>
              </w:rPr>
              <w:t xml:space="preserve">в </w:t>
            </w:r>
            <w:r>
              <w:rPr>
                <w:bCs/>
              </w:rPr>
              <w:t xml:space="preserve">т.ч</w:t>
            </w:r>
            <w:r>
              <w:rPr>
                <w:bCs/>
              </w:rPr>
              <w:t xml:space="preserve">.:</w:t>
            </w:r>
            <w:r/>
          </w:p>
        </w:tc>
        <w:tc>
          <w:tcPr>
            <w:shd w:val="clear" w:color="auto" w:fill="auto"/>
            <w:tcW w:w="753" w:type="pct"/>
            <w:textDirection w:val="lrTb"/>
            <w:noWrap/>
          </w:tcPr>
          <w:p>
            <w:pPr>
              <w:jc w:val="center"/>
            </w:pPr>
            <w:r>
              <w:rPr>
                <w:bCs/>
              </w:rPr>
              <w:t xml:space="preserve">млн куб. м.</w:t>
            </w:r>
            <w:r/>
          </w:p>
        </w:tc>
        <w:tc>
          <w:tcPr>
            <w:shd w:val="clear" w:color="auto" w:fill="auto"/>
            <w:tcW w:w="643" w:type="pc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11 830,4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573" w:type="pc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11 180,4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572" w:type="pc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12 344,9</w:t>
            </w:r>
            <w:r>
              <w:rPr>
                <w:bCs/>
              </w:rPr>
            </w:r>
          </w:p>
        </w:tc>
        <w:tc>
          <w:tcPr>
            <w:tcW w:w="572" w:type="pct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11 605,9</w:t>
            </w:r>
            <w:r>
              <w:rPr>
                <w:bCs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11 744,5</w:t>
            </w:r>
            <w:r>
              <w:rPr>
                <w:bCs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319" w:type="pct"/>
            <w:textDirection w:val="lrTb"/>
            <w:noWrap w:val="false"/>
          </w:tcPr>
          <w:p>
            <w:pPr>
              <w:ind w:left="37" w:firstLine="139"/>
            </w:pPr>
            <w:r>
              <w:t xml:space="preserve">население, в </w:t>
            </w:r>
            <w:r>
              <w:t xml:space="preserve">т.ч</w:t>
            </w:r>
            <w:r>
              <w:t xml:space="preserve">.:</w:t>
            </w:r>
            <w:r/>
          </w:p>
        </w:tc>
        <w:tc>
          <w:tcPr>
            <w:shd w:val="clear" w:color="auto" w:fill="auto"/>
            <w:tcW w:w="753" w:type="pct"/>
            <w:textDirection w:val="lrTb"/>
            <w:noWrap/>
          </w:tcPr>
          <w:p>
            <w:pPr>
              <w:jc w:val="center"/>
            </w:pPr>
            <w:r>
              <w:rPr>
                <w:bCs/>
              </w:rPr>
              <w:t xml:space="preserve">млн куб. м</w:t>
            </w:r>
            <w:r/>
          </w:p>
        </w:tc>
        <w:tc>
          <w:tcPr>
            <w:shd w:val="clear" w:color="auto" w:fill="auto"/>
            <w:tcW w:w="643" w:type="pct"/>
            <w:textDirection w:val="lrTb"/>
            <w:noWrap/>
          </w:tcPr>
          <w:p>
            <w:pPr>
              <w:jc w:val="center"/>
            </w:pPr>
            <w:r>
              <w:t xml:space="preserve">474,7</w:t>
            </w:r>
            <w:r/>
          </w:p>
        </w:tc>
        <w:tc>
          <w:tcPr>
            <w:shd w:val="clear" w:color="auto" w:fill="auto"/>
            <w:tcW w:w="573" w:type="pct"/>
            <w:textDirection w:val="lrTb"/>
            <w:noWrap/>
          </w:tcPr>
          <w:p>
            <w:pPr>
              <w:jc w:val="center"/>
            </w:pPr>
            <w:r>
              <w:t xml:space="preserve">469,1</w:t>
            </w:r>
            <w:r/>
          </w:p>
        </w:tc>
        <w:tc>
          <w:tcPr>
            <w:shd w:val="clear" w:color="auto" w:fill="auto"/>
            <w:tcW w:w="572" w:type="pct"/>
            <w:textDirection w:val="lrTb"/>
            <w:noWrap/>
          </w:tcPr>
          <w:p>
            <w:pPr>
              <w:jc w:val="center"/>
            </w:pPr>
            <w:r>
              <w:t xml:space="preserve">511,8</w:t>
            </w:r>
            <w:r/>
          </w:p>
        </w:tc>
        <w:tc>
          <w:tcPr>
            <w:tcW w:w="572" w:type="pct"/>
            <w:textDirection w:val="lrTb"/>
            <w:noWrap w:val="false"/>
          </w:tcPr>
          <w:p>
            <w:pPr>
              <w:jc w:val="center"/>
            </w:pPr>
            <w:r>
              <w:t xml:space="preserve">552,5</w:t>
            </w:r>
            <w:r/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</w:pPr>
            <w:r>
              <w:t xml:space="preserve">559,8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319" w:type="pct"/>
            <w:textDirection w:val="lrTb"/>
            <w:noWrap w:val="false"/>
          </w:tcPr>
          <w:p>
            <w:pPr>
              <w:ind w:left="37" w:firstLine="139"/>
            </w:pPr>
            <w:r>
              <w:t xml:space="preserve">отопление</w:t>
            </w:r>
            <w:r/>
          </w:p>
        </w:tc>
        <w:tc>
          <w:tcPr>
            <w:shd w:val="clear" w:color="auto" w:fill="auto"/>
            <w:tcW w:w="753" w:type="pc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млн куб. м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643" w:type="pct"/>
            <w:textDirection w:val="lrTb"/>
            <w:noWrap/>
          </w:tcPr>
          <w:p>
            <w:pPr>
              <w:jc w:val="center"/>
            </w:pPr>
            <w:r>
              <w:t xml:space="preserve">369,4</w:t>
            </w:r>
            <w:r/>
          </w:p>
        </w:tc>
        <w:tc>
          <w:tcPr>
            <w:shd w:val="clear" w:color="auto" w:fill="auto"/>
            <w:tcW w:w="573" w:type="pct"/>
            <w:textDirection w:val="lrTb"/>
            <w:noWrap/>
          </w:tcPr>
          <w:p>
            <w:pPr>
              <w:jc w:val="center"/>
            </w:pPr>
            <w:r>
              <w:t xml:space="preserve">364,5</w:t>
            </w:r>
            <w:r/>
          </w:p>
        </w:tc>
        <w:tc>
          <w:tcPr>
            <w:shd w:val="clear" w:color="auto" w:fill="auto"/>
            <w:tcW w:w="572" w:type="pct"/>
            <w:textDirection w:val="lrTb"/>
            <w:noWrap/>
          </w:tcPr>
          <w:p>
            <w:pPr>
              <w:jc w:val="center"/>
            </w:pPr>
            <w:r>
              <w:t xml:space="preserve">410,7</w:t>
            </w:r>
            <w:r/>
          </w:p>
        </w:tc>
        <w:tc>
          <w:tcPr>
            <w:tcW w:w="572" w:type="pct"/>
            <w:textDirection w:val="lrTb"/>
            <w:noWrap w:val="false"/>
          </w:tcPr>
          <w:p>
            <w:pPr>
              <w:jc w:val="center"/>
            </w:pPr>
            <w:r>
              <w:t xml:space="preserve">452,4</w:t>
            </w:r>
            <w:r/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</w:pPr>
            <w:r>
              <w:t xml:space="preserve">463,8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319" w:type="pct"/>
            <w:textDirection w:val="lrTb"/>
            <w:noWrap w:val="false"/>
          </w:tcPr>
          <w:p>
            <w:pPr>
              <w:ind w:left="37" w:firstLine="139"/>
            </w:pPr>
            <w:r>
              <w:t xml:space="preserve">горячая вода</w:t>
            </w:r>
            <w:r/>
          </w:p>
        </w:tc>
        <w:tc>
          <w:tcPr>
            <w:shd w:val="clear" w:color="auto" w:fill="auto"/>
            <w:tcW w:w="753" w:type="pc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млн куб. м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643" w:type="pct"/>
            <w:textDirection w:val="lrTb"/>
            <w:noWrap/>
          </w:tcPr>
          <w:p>
            <w:pPr>
              <w:jc w:val="center"/>
            </w:pPr>
            <w:r>
              <w:t xml:space="preserve">3,2</w:t>
            </w:r>
            <w:r/>
          </w:p>
        </w:tc>
        <w:tc>
          <w:tcPr>
            <w:shd w:val="clear" w:color="auto" w:fill="auto"/>
            <w:tcW w:w="573" w:type="pct"/>
            <w:textDirection w:val="lrTb"/>
            <w:noWrap/>
          </w:tcPr>
          <w:p>
            <w:pPr>
              <w:jc w:val="center"/>
            </w:pPr>
            <w:r>
              <w:t xml:space="preserve">3,2</w:t>
            </w:r>
            <w:r/>
          </w:p>
        </w:tc>
        <w:tc>
          <w:tcPr>
            <w:shd w:val="clear" w:color="auto" w:fill="auto"/>
            <w:tcW w:w="572" w:type="pct"/>
            <w:textDirection w:val="lrTb"/>
            <w:noWrap/>
          </w:tcPr>
          <w:p>
            <w:pPr>
              <w:jc w:val="center"/>
            </w:pPr>
            <w:r>
              <w:t xml:space="preserve">3,1</w:t>
            </w:r>
            <w:r/>
          </w:p>
        </w:tc>
        <w:tc>
          <w:tcPr>
            <w:tcW w:w="572" w:type="pct"/>
            <w:textDirection w:val="lrTb"/>
            <w:noWrap w:val="false"/>
          </w:tcPr>
          <w:p>
            <w:pPr>
              <w:jc w:val="center"/>
            </w:pPr>
            <w:r>
              <w:t xml:space="preserve">3,1</w:t>
            </w:r>
            <w:r/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</w:pPr>
            <w:r>
              <w:t xml:space="preserve">3,1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319" w:type="pct"/>
            <w:textDirection w:val="lrTb"/>
            <w:noWrap w:val="false"/>
          </w:tcPr>
          <w:p>
            <w:pPr>
              <w:ind w:left="37" w:firstLine="139"/>
            </w:pPr>
            <w:r>
              <w:t xml:space="preserve">пищеприготовление</w:t>
            </w:r>
            <w:r/>
          </w:p>
        </w:tc>
        <w:tc>
          <w:tcPr>
            <w:shd w:val="clear" w:color="auto" w:fill="auto"/>
            <w:tcW w:w="753" w:type="pct"/>
            <w:textDirection w:val="lrTb"/>
            <w:noWrap/>
          </w:tcPr>
          <w:p>
            <w:pPr>
              <w:jc w:val="center"/>
            </w:pPr>
            <w:r>
              <w:rPr>
                <w:bCs/>
              </w:rPr>
              <w:t xml:space="preserve">млн куб. м</w:t>
            </w:r>
            <w:r/>
          </w:p>
        </w:tc>
        <w:tc>
          <w:tcPr>
            <w:shd w:val="clear" w:color="auto" w:fill="auto"/>
            <w:tcW w:w="643" w:type="pct"/>
            <w:textDirection w:val="lrTb"/>
            <w:noWrap/>
          </w:tcPr>
          <w:p>
            <w:pPr>
              <w:jc w:val="center"/>
            </w:pPr>
            <w:r>
              <w:t xml:space="preserve">102,1</w:t>
            </w:r>
            <w:r/>
          </w:p>
        </w:tc>
        <w:tc>
          <w:tcPr>
            <w:shd w:val="clear" w:color="auto" w:fill="auto"/>
            <w:tcW w:w="573" w:type="pct"/>
            <w:textDirection w:val="lrTb"/>
            <w:noWrap/>
          </w:tcPr>
          <w:p>
            <w:pPr>
              <w:jc w:val="center"/>
            </w:pPr>
            <w:r>
              <w:t xml:space="preserve">101,5</w:t>
            </w:r>
            <w:r/>
          </w:p>
        </w:tc>
        <w:tc>
          <w:tcPr>
            <w:shd w:val="clear" w:color="auto" w:fill="auto"/>
            <w:tcW w:w="572" w:type="pct"/>
            <w:textDirection w:val="lrTb"/>
            <w:noWrap/>
          </w:tcPr>
          <w:p>
            <w:pPr>
              <w:jc w:val="center"/>
            </w:pPr>
            <w:r>
              <w:t xml:space="preserve">98,0</w:t>
            </w:r>
            <w:r/>
          </w:p>
        </w:tc>
        <w:tc>
          <w:tcPr>
            <w:tcW w:w="572" w:type="pct"/>
            <w:textDirection w:val="lrTb"/>
            <w:noWrap w:val="false"/>
          </w:tcPr>
          <w:p>
            <w:pPr>
              <w:jc w:val="center"/>
            </w:pPr>
            <w:r>
              <w:t xml:space="preserve">97,0</w:t>
            </w:r>
            <w:r/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</w:pPr>
            <w:r>
              <w:t xml:space="preserve">93,0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319" w:type="pct"/>
            <w:textDirection w:val="lrTb"/>
            <w:noWrap w:val="false"/>
          </w:tcPr>
          <w:p>
            <w:pPr>
              <w:ind w:left="37" w:firstLine="139"/>
            </w:pPr>
            <w:r>
              <w:t xml:space="preserve">бюджетные организации</w:t>
            </w:r>
            <w:r/>
          </w:p>
        </w:tc>
        <w:tc>
          <w:tcPr>
            <w:shd w:val="clear" w:color="auto" w:fill="auto"/>
            <w:tcW w:w="753" w:type="pct"/>
            <w:textDirection w:val="lrTb"/>
            <w:noWrap/>
          </w:tcPr>
          <w:p>
            <w:pPr>
              <w:jc w:val="center"/>
            </w:pPr>
            <w:r>
              <w:rPr>
                <w:bCs/>
              </w:rPr>
              <w:t xml:space="preserve">млн куб. м</w:t>
            </w:r>
            <w:r/>
          </w:p>
        </w:tc>
        <w:tc>
          <w:tcPr>
            <w:shd w:val="clear" w:color="auto" w:fill="auto"/>
            <w:tcW w:w="643" w:type="pct"/>
            <w:textDirection w:val="lrTb"/>
            <w:noWrap/>
          </w:tcPr>
          <w:p>
            <w:pPr>
              <w:jc w:val="center"/>
            </w:pPr>
            <w:r>
              <w:t xml:space="preserve">20,6</w:t>
            </w:r>
            <w:r/>
          </w:p>
        </w:tc>
        <w:tc>
          <w:tcPr>
            <w:shd w:val="clear" w:color="auto" w:fill="auto"/>
            <w:tcW w:w="573" w:type="pct"/>
            <w:textDirection w:val="lrTb"/>
            <w:noWrap/>
          </w:tcPr>
          <w:p>
            <w:pPr>
              <w:jc w:val="center"/>
            </w:pPr>
            <w:r>
              <w:t xml:space="preserve">20,8</w:t>
            </w:r>
            <w:r/>
          </w:p>
        </w:tc>
        <w:tc>
          <w:tcPr>
            <w:shd w:val="clear" w:color="auto" w:fill="auto"/>
            <w:tcW w:w="572" w:type="pct"/>
            <w:textDirection w:val="lrTb"/>
            <w:noWrap/>
          </w:tcPr>
          <w:p>
            <w:pPr>
              <w:jc w:val="center"/>
            </w:pPr>
            <w:r>
              <w:t xml:space="preserve">22,3</w:t>
            </w:r>
            <w:r/>
          </w:p>
        </w:tc>
        <w:tc>
          <w:tcPr>
            <w:tcW w:w="57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22,4</w:t>
            </w:r>
            <w:r>
              <w:rPr>
                <w:color w:val="000000"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22,6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319" w:type="pct"/>
            <w:textDirection w:val="lrTb"/>
            <w:noWrap w:val="false"/>
          </w:tcPr>
          <w:p>
            <w:pPr>
              <w:ind w:left="37" w:firstLine="139"/>
            </w:pPr>
            <w:r>
              <w:t xml:space="preserve">транспорт</w:t>
            </w:r>
            <w:r/>
          </w:p>
        </w:tc>
        <w:tc>
          <w:tcPr>
            <w:shd w:val="clear" w:color="auto" w:fill="auto"/>
            <w:tcW w:w="753" w:type="pc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млн куб. м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643" w:type="pct"/>
            <w:textDirection w:val="lrTb"/>
            <w:noWrap/>
          </w:tcPr>
          <w:p>
            <w:pPr>
              <w:jc w:val="center"/>
            </w:pPr>
            <w:r>
              <w:t xml:space="preserve">1,6</w:t>
            </w:r>
            <w:r/>
          </w:p>
        </w:tc>
        <w:tc>
          <w:tcPr>
            <w:shd w:val="clear" w:color="auto" w:fill="auto"/>
            <w:tcW w:w="573" w:type="pct"/>
            <w:textDirection w:val="lrTb"/>
            <w:noWrap/>
          </w:tcPr>
          <w:p>
            <w:pPr>
              <w:jc w:val="center"/>
            </w:pPr>
            <w:r>
              <w:t xml:space="preserve">1,7</w:t>
            </w:r>
            <w:r/>
          </w:p>
        </w:tc>
        <w:tc>
          <w:tcPr>
            <w:shd w:val="clear" w:color="auto" w:fill="auto"/>
            <w:tcW w:w="572" w:type="pct"/>
            <w:textDirection w:val="lrTb"/>
            <w:noWrap/>
          </w:tcPr>
          <w:p>
            <w:pPr>
              <w:jc w:val="center"/>
            </w:pPr>
            <w:r>
              <w:t xml:space="preserve">6,7</w:t>
            </w:r>
            <w:r/>
          </w:p>
        </w:tc>
        <w:tc>
          <w:tcPr>
            <w:tcW w:w="572" w:type="pct"/>
            <w:textDirection w:val="lrTb"/>
            <w:noWrap w:val="false"/>
          </w:tcPr>
          <w:p>
            <w:pPr>
              <w:jc w:val="center"/>
            </w:pPr>
            <w:r>
              <w:t xml:space="preserve">46,7</w:t>
            </w:r>
            <w:r/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</w:pPr>
            <w:r>
              <w:t xml:space="preserve">59,8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319" w:type="pct"/>
            <w:textDirection w:val="lrTb"/>
            <w:noWrap w:val="false"/>
          </w:tcPr>
          <w:p>
            <w:pPr>
              <w:ind w:left="37" w:firstLine="139"/>
            </w:pPr>
            <w:r>
              <w:t xml:space="preserve">прочие потребители</w:t>
            </w:r>
            <w:r/>
          </w:p>
        </w:tc>
        <w:tc>
          <w:tcPr>
            <w:shd w:val="clear" w:color="auto" w:fill="auto"/>
            <w:tcW w:w="753" w:type="pct"/>
            <w:textDirection w:val="lrTb"/>
            <w:noWrap/>
          </w:tcPr>
          <w:p>
            <w:pPr>
              <w:jc w:val="center"/>
            </w:pPr>
            <w:r>
              <w:rPr>
                <w:bCs/>
              </w:rPr>
              <w:t xml:space="preserve">млн куб. м</w:t>
            </w:r>
            <w:r/>
          </w:p>
        </w:tc>
        <w:tc>
          <w:tcPr>
            <w:shd w:val="clear" w:color="auto" w:fill="auto"/>
            <w:tcW w:w="643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9 411,</w:t>
            </w:r>
            <w:r>
              <w:rPr>
                <w:lang w:val="en-US"/>
              </w:rPr>
              <w:t xml:space="preserve">1</w:t>
            </w:r>
            <w:r>
              <w:rPr>
                <w:lang w:val="en-US"/>
              </w:rPr>
            </w:r>
          </w:p>
        </w:tc>
        <w:tc>
          <w:tcPr>
            <w:shd w:val="clear" w:color="auto" w:fill="auto"/>
            <w:tcW w:w="573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8 713,</w:t>
            </w:r>
            <w:r>
              <w:rPr>
                <w:lang w:val="en-US"/>
              </w:rPr>
              <w:t xml:space="preserve">1</w:t>
            </w:r>
            <w:r>
              <w:rPr>
                <w:lang w:val="en-US"/>
              </w:rPr>
            </w:r>
          </w:p>
        </w:tc>
        <w:tc>
          <w:tcPr>
            <w:shd w:val="clear" w:color="auto" w:fill="auto"/>
            <w:tcW w:w="572" w:type="pct"/>
            <w:textDirection w:val="lrTb"/>
            <w:noWrap/>
          </w:tcPr>
          <w:p>
            <w:pPr>
              <w:jc w:val="center"/>
            </w:pPr>
            <w:r>
              <w:t xml:space="preserve">10 797,9</w:t>
            </w:r>
            <w:r/>
          </w:p>
        </w:tc>
        <w:tc>
          <w:tcPr>
            <w:tcW w:w="572" w:type="pct"/>
            <w:textDirection w:val="lrTb"/>
            <w:noWrap w:val="false"/>
          </w:tcPr>
          <w:p>
            <w:pPr>
              <w:jc w:val="center"/>
            </w:pPr>
            <w:r>
              <w:t xml:space="preserve">9 214,9</w:t>
            </w:r>
            <w:r/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</w:pPr>
            <w:r>
              <w:t xml:space="preserve">9 509,8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319" w:type="pct"/>
            <w:textDirection w:val="lrTb"/>
            <w:noWrap w:val="false"/>
          </w:tcPr>
          <w:p>
            <w:pPr>
              <w:ind w:left="37" w:firstLine="139"/>
            </w:pPr>
            <w:r>
              <w:t xml:space="preserve">неэнергетические нужды</w:t>
            </w:r>
            <w:r/>
          </w:p>
        </w:tc>
        <w:tc>
          <w:tcPr>
            <w:shd w:val="clear" w:color="auto" w:fill="auto"/>
            <w:tcW w:w="753" w:type="pct"/>
            <w:textDirection w:val="lrTb"/>
            <w:noWrap/>
          </w:tcPr>
          <w:p>
            <w:pPr>
              <w:jc w:val="center"/>
            </w:pPr>
            <w:r>
              <w:rPr>
                <w:bCs/>
              </w:rPr>
              <w:t xml:space="preserve">млн куб. м</w:t>
            </w:r>
            <w:r/>
          </w:p>
        </w:tc>
        <w:tc>
          <w:tcPr>
            <w:shd w:val="clear" w:color="auto" w:fill="auto"/>
            <w:tcW w:w="643" w:type="pct"/>
            <w:textDirection w:val="lrTb"/>
            <w:noWrap/>
          </w:tcPr>
          <w:p>
            <w:pPr>
              <w:jc w:val="center"/>
            </w:pPr>
            <w:r>
              <w:t xml:space="preserve">1 922,4</w:t>
            </w:r>
            <w:r/>
          </w:p>
        </w:tc>
        <w:tc>
          <w:tcPr>
            <w:shd w:val="clear" w:color="auto" w:fill="auto"/>
            <w:tcW w:w="573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1 975,</w:t>
            </w:r>
            <w:r>
              <w:rPr>
                <w:lang w:val="en-US"/>
              </w:rPr>
              <w:t xml:space="preserve">7</w:t>
            </w:r>
            <w:r>
              <w:rPr>
                <w:lang w:val="en-US"/>
              </w:rPr>
            </w:r>
          </w:p>
        </w:tc>
        <w:tc>
          <w:tcPr>
            <w:shd w:val="clear" w:color="auto" w:fill="auto"/>
            <w:tcW w:w="572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1 006,</w:t>
            </w:r>
            <w:r>
              <w:rPr>
                <w:lang w:val="en-US"/>
              </w:rPr>
              <w:t xml:space="preserve">2</w:t>
            </w:r>
            <w:r>
              <w:rPr>
                <w:lang w:val="en-US"/>
              </w:rPr>
            </w:r>
          </w:p>
        </w:tc>
        <w:tc>
          <w:tcPr>
            <w:tcW w:w="572" w:type="pct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t xml:space="preserve">1 769,</w:t>
            </w:r>
            <w:r>
              <w:rPr>
                <w:lang w:val="en-US"/>
              </w:rPr>
              <w:t xml:space="preserve">4</w:t>
            </w:r>
            <w:r>
              <w:rPr>
                <w:lang w:val="en-US"/>
              </w:rPr>
            </w:r>
          </w:p>
        </w:tc>
        <w:tc>
          <w:tcPr>
            <w:tcW w:w="569" w:type="pct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t xml:space="preserve">1 592,</w:t>
            </w:r>
            <w:r>
              <w:rPr>
                <w:lang w:val="en-US"/>
              </w:rPr>
              <w:t xml:space="preserve">5</w:t>
            </w:r>
            <w:r>
              <w:rPr>
                <w:lang w:val="en-US"/>
              </w:rPr>
            </w:r>
          </w:p>
        </w:tc>
      </w:tr>
    </w:tbl>
    <w:p>
      <w:pPr>
        <w:ind w:firstLine="709"/>
        <w:rPr>
          <w:rFonts w:cs="Arial Unicode MS"/>
          <w:i/>
          <w:color w:val="000000"/>
          <w:lang w:eastAsia="en-US"/>
        </w:rPr>
      </w:pPr>
      <w:r/>
      <w:bookmarkStart w:id="243" w:name="_Hlk176273884"/>
      <w:r/>
      <w:bookmarkEnd w:id="242"/>
      <w:r/>
      <w:r>
        <w:rPr>
          <w:rFonts w:cs="Arial Unicode MS"/>
          <w:i/>
          <w:color w:val="000000"/>
          <w:lang w:eastAsia="en-US"/>
        </w:rPr>
      </w:r>
    </w:p>
    <w:p>
      <w:pPr>
        <w:ind w:firstLine="709"/>
        <w:rPr>
          <w:rFonts w:cs="Arial Unicode MS"/>
          <w:i/>
          <w:color w:val="000000"/>
          <w:lang w:eastAsia="en-US"/>
        </w:rPr>
      </w:pPr>
      <w:r>
        <w:rPr>
          <w:rFonts w:cs="Arial Unicode MS"/>
          <w:i/>
          <w:color w:val="000000"/>
          <w:lang w:eastAsia="en-US"/>
        </w:rPr>
        <w:t xml:space="preserve">---------------------------</w:t>
      </w:r>
      <w:r>
        <w:rPr>
          <w:rFonts w:cs="Arial Unicode MS"/>
          <w:i/>
          <w:color w:val="000000"/>
          <w:lang w:eastAsia="en-US"/>
        </w:rPr>
      </w:r>
    </w:p>
    <w:p>
      <w:pPr>
        <w:ind w:firstLine="709"/>
        <w:rPr>
          <w:rFonts w:cs="Arial Unicode MS"/>
          <w:iCs/>
          <w:color w:val="000000"/>
          <w:lang w:eastAsia="en-US"/>
        </w:rPr>
      </w:pPr>
      <w:r>
        <w:rPr>
          <w:rFonts w:cs="Arial Unicode MS"/>
          <w:iCs/>
          <w:color w:val="000000"/>
          <w:lang w:eastAsia="en-US"/>
        </w:rPr>
        <w:t xml:space="preserve">1. Указаны прогнозные данные.</w:t>
      </w:r>
      <w:r>
        <w:rPr>
          <w:rFonts w:cs="Arial Unicode MS"/>
          <w:iCs/>
          <w:color w:val="000000"/>
          <w:lang w:eastAsia="en-US"/>
        </w:rPr>
      </w:r>
    </w:p>
    <w:p>
      <w:pPr>
        <w:pStyle w:val="1570"/>
        <w:rPr>
          <w:szCs w:val="24"/>
        </w:rPr>
      </w:pPr>
      <w:r>
        <w:rPr>
          <w:rFonts w:cs="Arial Unicode MS"/>
          <w:color w:val="000000"/>
          <w:szCs w:val="24"/>
        </w:rPr>
        <w:t xml:space="preserve">Примечание. Источники информации – ф</w:t>
      </w:r>
      <w:r>
        <w:rPr>
          <w:szCs w:val="24"/>
        </w:rPr>
        <w:t xml:space="preserve">ормы федерального статистического наблюдения 1-ТЕП «Сведения о снабжении </w:t>
      </w:r>
      <w:r>
        <w:rPr>
          <w:szCs w:val="24"/>
        </w:rPr>
        <w:t xml:space="preserve">теплоэнергией</w:t>
      </w:r>
      <w:r>
        <w:rPr>
          <w:szCs w:val="24"/>
        </w:rPr>
        <w:t xml:space="preserve">», 4-ТЭР «Сведения об использовании топливно-энергетических ресурсов», 22-ЖКХ (ресурсы) «Сведения о работе </w:t>
      </w:r>
      <w:r>
        <w:rPr>
          <w:szCs w:val="24"/>
        </w:rPr>
        <w:t xml:space="preserve">ресурсоснабжающих</w:t>
      </w:r>
      <w:r>
        <w:rPr>
          <w:szCs w:val="24"/>
        </w:rPr>
        <w:t xml:space="preserve"> организаций в условиях реформы», данные тепло-, </w:t>
      </w:r>
      <w:r>
        <w:rPr>
          <w:szCs w:val="24"/>
        </w:rPr>
        <w:t xml:space="preserve">электроснабжающих</w:t>
      </w:r>
      <w:r>
        <w:rPr>
          <w:szCs w:val="24"/>
        </w:rPr>
        <w:t xml:space="preserve"> организаций и оценки разработчика настоящей Программы.</w:t>
      </w:r>
      <w:r>
        <w:rPr>
          <w:szCs w:val="24"/>
        </w:rPr>
      </w:r>
    </w:p>
    <w:p>
      <w:pPr>
        <w:jc w:val="center"/>
        <w:rPr>
          <w:b/>
          <w:bCs/>
          <w:sz w:val="28"/>
          <w:szCs w:val="28"/>
        </w:rPr>
      </w:pPr>
      <w:r/>
      <w:bookmarkStart w:id="244" w:name="_Toc119947484"/>
      <w:r/>
      <w:bookmarkStart w:id="245" w:name="_Toc175215998"/>
      <w:r/>
      <w:bookmarkEnd w:id="243"/>
      <w:r/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2.5.4 Доля поставки ресурса по приборам учета</w:t>
      </w:r>
      <w:bookmarkEnd w:id="244"/>
      <w:r/>
      <w:bookmarkEnd w:id="245"/>
      <w:r/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Природный газ подается на коммунально-бытовые предприятия, промышленные и сельскохозяйственные объекты, населению и прочим организациям. В муниципальном образовании количество газифицированных </w:t>
      </w:r>
      <w:r>
        <w:rPr>
          <w:sz w:val="28"/>
          <w:szCs w:val="28"/>
        </w:rPr>
        <w:t xml:space="preserve">котельных – 962 ед.; газифицированных жилых домов – 20 121 ед.; газифицированных квартир – 310 699 ед. В последних установлены 19 413 газовых водогрейных колонок и 124 газовых отопительных аппарата. Количество последних в индивидуальных домах – 20 428 ед.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Согласно форме статистического наблюдения № 1-жилфонд «Сведения о жилищном фонде» за 2022 год общая площадь жилых помещений, обеспеченных услугой централизованного теплоснабжения, составляла примерно </w:t>
      </w:r>
      <w:r>
        <w:rPr>
          <w:sz w:val="28"/>
          <w:szCs w:val="28"/>
        </w:rPr>
        <w:br/>
        <w:t xml:space="preserve">15 975 тыс. кв. м (из них 15 940 тыс. кв. м в многоквартирных домах, или 59 % от общей площади).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Доля оснащенности приборами учета природного газа составляет </w:t>
      </w:r>
      <w:r>
        <w:rPr>
          <w:sz w:val="28"/>
          <w:szCs w:val="28"/>
        </w:rPr>
        <w:br/>
        <w:t xml:space="preserve">в 2022 году: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коллективными (общедомовыми) – 100,0 %;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индивидуальными: </w:t>
      </w:r>
      <w:r>
        <w:rPr>
          <w:sz w:val="28"/>
          <w:szCs w:val="28"/>
        </w:rPr>
      </w:r>
    </w:p>
    <w:p>
      <w:pPr>
        <w:pStyle w:val="98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МКД – 46,6 %;</w:t>
      </w:r>
      <w:r>
        <w:rPr>
          <w:sz w:val="28"/>
          <w:szCs w:val="28"/>
        </w:rPr>
      </w:r>
    </w:p>
    <w:p>
      <w:pPr>
        <w:pStyle w:val="98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ИОЗ – 100,0 %.</w:t>
      </w:r>
      <w:r>
        <w:rPr>
          <w:sz w:val="28"/>
          <w:szCs w:val="28"/>
        </w:rPr>
      </w:r>
    </w:p>
    <w:p>
      <w:pPr>
        <w:pStyle w:val="985"/>
        <w:ind w:left="1429"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/>
      <w:bookmarkStart w:id="246" w:name="_Toc175215999"/>
      <w:r>
        <w:rPr>
          <w:b/>
          <w:bCs/>
          <w:sz w:val="28"/>
          <w:szCs w:val="28"/>
        </w:rPr>
        <w:t xml:space="preserve">2.5.5 Зоны действия источников ресурсов</w:t>
      </w:r>
      <w:bookmarkEnd w:id="246"/>
      <w:r/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газораспределения состоит из трех изолированных частей: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правобережная часть, получающая природный газ от ГРС «</w:t>
      </w:r>
      <w:r>
        <w:rPr>
          <w:sz w:val="28"/>
          <w:szCs w:val="28"/>
        </w:rPr>
        <w:t xml:space="preserve">Гайва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левобережная часть, получающая природный газ от ГРС-3;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левобережная часть, получающая природный газ от ГРС-1. </w:t>
      </w:r>
      <w:r>
        <w:rPr>
          <w:sz w:val="28"/>
          <w:szCs w:val="28"/>
        </w:rPr>
      </w:r>
    </w:p>
    <w:p>
      <w:pPr>
        <w:ind w:firstLine="709"/>
        <w:jc w:val="center"/>
        <w:rPr>
          <w:b/>
          <w:bCs/>
          <w:sz w:val="28"/>
          <w:szCs w:val="28"/>
        </w:rPr>
      </w:pPr>
      <w:r/>
      <w:bookmarkStart w:id="247" w:name="_Toc119947486"/>
      <w:r/>
      <w:bookmarkStart w:id="248" w:name="_Toc175216000"/>
      <w:r/>
      <w:r>
        <w:rPr>
          <w:b/>
          <w:bCs/>
          <w:sz w:val="28"/>
          <w:szCs w:val="28"/>
        </w:rPr>
      </w:r>
    </w:p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2.5.6 Резервы и дефициты по зонам действия источников ресурсов </w:t>
      </w:r>
      <w:r>
        <w:rPr>
          <w:b/>
          <w:bCs/>
          <w:sz w:val="28"/>
          <w:szCs w:val="28"/>
        </w:rPr>
      </w:r>
    </w:p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поселению, городскому округу в целом</w:t>
      </w:r>
      <w:bookmarkEnd w:id="247"/>
      <w:r/>
      <w:bookmarkEnd w:id="248"/>
      <w:r/>
      <w:r>
        <w:rPr>
          <w:b/>
          <w:bCs/>
          <w:sz w:val="28"/>
          <w:szCs w:val="28"/>
        </w:rPr>
      </w:r>
    </w:p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данным АО «Газпром газораспределение Пермь» в системе газораспределения по состоянию на 01.10.2023 функционировали в общей сложности 820 пунктов редуцирования природного газа совокупной проектной мощностью 2 410 675</w:t>
      </w:r>
      <w:r>
        <w:t xml:space="preserve"> </w:t>
      </w:r>
      <w:r>
        <w:rPr>
          <w:sz w:val="28"/>
          <w:szCs w:val="28"/>
        </w:rPr>
        <w:t xml:space="preserve">куб. м/час, средняя загрузка которых составила 1 446 045 куб. м/час, или примерно 60 %.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/>
      <w:bookmarkStart w:id="249" w:name="_Toc119947487"/>
      <w:r/>
      <w:bookmarkStart w:id="250" w:name="_Toc175216001"/>
      <w:r/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2.5.7 Надежность работы системы</w:t>
      </w:r>
      <w:bookmarkEnd w:id="249"/>
      <w:r/>
      <w:bookmarkEnd w:id="250"/>
      <w:r/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данным АО «Газпром газораспределение Пермь» аварий в газовых сетях не было. В целом газопроводы находятся в удовлетворительном состоянии. Система газоснабжения в эксплуатации достаточно надежна.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/>
      <w:bookmarkStart w:id="251" w:name="_Toc119947488"/>
      <w:r/>
      <w:bookmarkStart w:id="252" w:name="_Toc175216002"/>
      <w:r>
        <w:rPr>
          <w:b/>
          <w:bCs/>
          <w:sz w:val="28"/>
          <w:szCs w:val="28"/>
        </w:rPr>
        <w:t xml:space="preserve">2.5.8 Качество поставляемого ресурса</w:t>
      </w:r>
      <w:bookmarkEnd w:id="251"/>
      <w:r/>
      <w:bookmarkEnd w:id="252"/>
      <w:r/>
      <w:r>
        <w:rPr>
          <w:b/>
          <w:bCs/>
          <w:sz w:val="28"/>
          <w:szCs w:val="28"/>
        </w:rPr>
      </w:r>
    </w:p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анализе качества и надежности эксплуатации системы газораспределения низкого давления выявлен ряд территорий города Перми, в которых не соблюдаются все требования: микрорайон Крым, микрорайон </w:t>
      </w:r>
      <w:r>
        <w:rPr>
          <w:sz w:val="28"/>
          <w:szCs w:val="28"/>
        </w:rPr>
        <w:t xml:space="preserve">Гайва</w:t>
      </w:r>
      <w:r>
        <w:rPr>
          <w:sz w:val="28"/>
          <w:szCs w:val="28"/>
        </w:rPr>
        <w:t xml:space="preserve">, микрорайон Запруд, микрорайон Липовая гора, микрорайон Водники, микрорайон </w:t>
      </w:r>
      <w:r>
        <w:rPr>
          <w:sz w:val="28"/>
          <w:szCs w:val="28"/>
        </w:rPr>
        <w:t xml:space="preserve">Костарево</w:t>
      </w:r>
      <w:r>
        <w:rPr>
          <w:sz w:val="28"/>
          <w:szCs w:val="28"/>
        </w:rPr>
        <w:t xml:space="preserve">, Свердловский район, микрорайон Камский, Центральный микрорайон, Индустриальный район. Основные проблемы сетей низкого да</w:t>
      </w:r>
      <w:r>
        <w:rPr>
          <w:sz w:val="28"/>
          <w:szCs w:val="28"/>
        </w:rPr>
        <w:t xml:space="preserve">вления приведенных территорий связаны со сложностью обеспечения подачи газа потребителям в пределах требуемых давлений из-за недостаточности пропускной способности газопроводов, а также наличия тупиковых участков сети с высоким суммарным потреблением газа.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/>
      <w:bookmarkStart w:id="253" w:name="_Toc119947489"/>
      <w:r/>
      <w:bookmarkStart w:id="254" w:name="_Toc175216003"/>
      <w:r/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2.5.9 Воздействие на окружающую среду</w:t>
      </w:r>
      <w:bookmarkEnd w:id="253"/>
      <w:r/>
      <w:bookmarkEnd w:id="254"/>
      <w:r/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видом воздействия газораспределительной системы на окружающую среду являются выбросы загрязняющих веществ в атмосферу, главным образом, парниковых газов, поскольку шумовые возде</w:t>
      </w:r>
      <w:r>
        <w:rPr>
          <w:sz w:val="28"/>
          <w:szCs w:val="28"/>
        </w:rPr>
        <w:t xml:space="preserve">йствия характерны для мест добычи природного газа и прокладки магистральных трубопроводов, которые находятся за пределами городского округа, а сбросы осуществляются только в случае аварий и инцидентов в местах пересечения водоемов газовыми трубопроводами.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газораспределительной системе муниципального образования тр</w:t>
      </w:r>
      <w:r>
        <w:rPr>
          <w:sz w:val="28"/>
          <w:szCs w:val="28"/>
        </w:rPr>
        <w:t xml:space="preserve">анспортируется природный газ, поэтому происходит эмиссия только одного парникового газа – метана – в виде фугитивных выбросов, которые имеют место вследствие утечек, аварийных и технологических (например, продувка пылеуловителей) выбросов природного газа.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/>
      <w:bookmarkStart w:id="255" w:name="_Toc119947490"/>
      <w:r/>
      <w:bookmarkStart w:id="256" w:name="_Toc175216004"/>
      <w:r/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2.5.10 Тарифы, плата (тариф) за подключение (присоединение), структура себестоимости производства и транспорта ресурса</w:t>
      </w:r>
      <w:bookmarkEnd w:id="255"/>
      <w:r/>
      <w:bookmarkEnd w:id="256"/>
      <w:r/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Розничная цена на природный газ, реализуемый населению, зависит от целей его использования (</w:t>
      </w:r>
      <w:r>
        <w:rPr>
          <w:sz w:val="28"/>
          <w:szCs w:val="28"/>
        </w:rPr>
        <w:t xml:space="preserve">пищеприготовление</w:t>
      </w:r>
      <w:r>
        <w:rPr>
          <w:sz w:val="28"/>
          <w:szCs w:val="28"/>
        </w:rPr>
        <w:t xml:space="preserve">, нагрев воды и т.п.), степени обеспеченности газовым оборудованием и наличия приборов учета. В первой </w:t>
      </w:r>
      <w:r>
        <w:rPr>
          <w:sz w:val="28"/>
          <w:szCs w:val="28"/>
        </w:rPr>
        <w:t xml:space="preserve">половине 2024 года по приборам учета она была установлена на уровне 5,93 и 7,06 руб. (с НДС) за кубический метр. Рост тарифов в рассматриваемый период составил 21,5 % и 20,8 % соответственно. В случае отсутствия приборов учета действовали следующие тарифы: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квартире с газовой плитой и горячим водоснабжением – 84,72 руб./чел. в месяц;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квартире с газовой плитой без горячего водоснабжения – 141,20 руб./чел. в месяц;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квартире при наличии газовой плиты и проточного водонагревателя – 247,10 руб./чел. в месяц;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частном секторе – 59,30 руб./кв. м отапливаемой площади.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Розничная цена на природный газ, реализуемый прочим потребителям (кроме населения), складывается из оптовой цены, платы за транзит и применения различного рода надбавок, устанавливаемых регулирующими органами.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Тарифы на природный газ для населения в 2019-2024 годах (с НДС) при оплате по приборам учета представлены в таблице 2.25</w:t>
      </w:r>
      <w:r>
        <w:t xml:space="preserve">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Плата</w:t>
      </w:r>
      <w:r>
        <w:rPr>
          <w:sz w:val="28"/>
          <w:szCs w:val="28"/>
        </w:rPr>
        <w:t xml:space="preserve"> за транзит устанавливается в зависимости от принадлежности к той или иной группе, от годовых объемов его использования и компании, осуществляющей транзит. Дополнительно в цене газа учитываются плата за снабженческо-сбытовые услуги и специальная надбавка.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Действующая плата за технологическое присоединение газоиспользующего оборудования к сетям газораспределения регламентируется </w:t>
      </w:r>
      <w:bookmarkStart w:id="257" w:name="_Hlk166592794"/>
      <w:r>
        <w:rPr>
          <w:sz w:val="28"/>
          <w:szCs w:val="28"/>
        </w:rPr>
        <w:t xml:space="preserve">постановлением Министерства тарифного регулирования и энергетики Пермского края от 15.12.2023 № 136-тп</w:t>
      </w:r>
      <w:bookmarkEnd w:id="257"/>
      <w:r>
        <w:rPr>
          <w:sz w:val="28"/>
          <w:szCs w:val="28"/>
        </w:rPr>
        <w:t xml:space="preserve"> и представлена в таблице 2.26.</w:t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88" w:leader="none"/>
        </w:tabs>
        <w:sectPr>
          <w:footnotePr/>
          <w:endnotePr/>
          <w:type w:val="nextPage"/>
          <w:pgSz w:w="11906" w:h="16838" w:orient="portrait"/>
          <w:pgMar w:top="1134" w:right="567" w:bottom="1134" w:left="1418" w:header="567" w:footer="567" w:gutter="0"/>
          <w:cols w:num="1" w:sep="0" w:space="708" w:equalWidth="1"/>
          <w:docGrid w:linePitch="360"/>
        </w:sectPr>
      </w:pPr>
      <w:r/>
      <w:r/>
    </w:p>
    <w:p>
      <w:pPr>
        <w:pStyle w:val="1544"/>
        <w:jc w:val="right"/>
        <w:rPr>
          <w:b/>
          <w:bCs/>
          <w:sz w:val="28"/>
          <w:szCs w:val="28"/>
        </w:rPr>
      </w:pPr>
      <w:r/>
      <w:bookmarkStart w:id="258" w:name="_Toc175216101"/>
      <w:r>
        <w:rPr>
          <w:b/>
          <w:bCs/>
          <w:sz w:val="28"/>
          <w:szCs w:val="28"/>
        </w:rPr>
        <w:t xml:space="preserve">Таблица 2.25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Тарифы на природный газ для населения в 2019-2023 годах (с НДС) при оплате по приборам учета</w:t>
      </w:r>
      <w:bookmarkEnd w:id="258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</w:r>
      <w:r>
        <w:rPr>
          <w:b/>
          <w:bCs/>
          <w:sz w:val="28"/>
          <w:szCs w:val="28"/>
          <w:lang w:eastAsia="en-US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27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37"/>
      </w:tblGrid>
      <w:tr>
        <w:tblPrEx/>
        <w:trPr>
          <w:trHeight w:val="20"/>
          <w:tblHeader/>
        </w:trPr>
        <w:tc>
          <w:tcPr>
            <w:shd w:val="clear" w:color="auto" w:fill="auto"/>
            <w:tcW w:w="5070" w:type="dxa"/>
            <w:vMerge w:val="restar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Направления использования природного газа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1275" w:type="dxa"/>
            <w:vMerge w:val="restart"/>
            <w:textDirection w:val="lrTb"/>
            <w:noWrap/>
          </w:tcPr>
          <w:p>
            <w:pPr>
              <w:ind w:left="-113" w:right="-10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Ед. изм.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shd w:val="clear" w:color="auto" w:fill="auto"/>
            <w:tcW w:w="1418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2019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shd w:val="clear" w:color="auto" w:fill="auto"/>
            <w:tcW w:w="1417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2020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shd w:val="clear" w:color="auto" w:fill="auto"/>
            <w:tcW w:w="1418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2021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1417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2022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2023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144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2024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  <w:tblHeader/>
        </w:trPr>
        <w:tc>
          <w:tcPr>
            <w:shd w:val="clear" w:color="auto" w:fill="auto"/>
            <w:tcW w:w="5070" w:type="dxa"/>
            <w:vMerge w:val="continue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1275" w:type="dxa"/>
            <w:vMerge w:val="continue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/>
          </w:tcPr>
          <w:p>
            <w:pPr>
              <w:ind w:left="-102" w:right="-12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 пол.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/>
          </w:tcPr>
          <w:p>
            <w:pPr>
              <w:ind w:left="-102" w:right="-12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</w:t>
            </w:r>
            <w:r>
              <w:rPr>
                <w:rFonts w:asciiTheme="minorHAnsi" w:hAnsiTheme="minorHAnsi" w:cstheme="minorHAnsi"/>
                <w:lang w:val="en-US"/>
              </w:rPr>
              <w:t xml:space="preserve">I</w:t>
            </w:r>
            <w:r>
              <w:rPr>
                <w:rFonts w:asciiTheme="minorHAnsi" w:hAnsiTheme="minorHAnsi" w:cstheme="minorHAnsi"/>
              </w:rPr>
              <w:t xml:space="preserve"> пол.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/>
          </w:tcPr>
          <w:p>
            <w:pPr>
              <w:ind w:left="-102" w:right="-12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 пол.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08" w:type="dxa"/>
            <w:textDirection w:val="lrTb"/>
            <w:noWrap/>
          </w:tcPr>
          <w:p>
            <w:pPr>
              <w:ind w:left="-102" w:right="-12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II пол.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/>
          </w:tcPr>
          <w:p>
            <w:pPr>
              <w:ind w:left="-102" w:right="-12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 пол.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102" w:right="-127"/>
              <w:jc w:val="center"/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</w:rPr>
              <w:t xml:space="preserve">II пол.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1</w:t>
            </w:r>
            <w:r>
              <w:rPr>
                <w:rFonts w:asciiTheme="minorHAnsi" w:hAnsiTheme="minorHAnsi" w:cstheme="minorHAnsi"/>
                <w:vertAlign w:val="superscript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102" w:right="-127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I</w:t>
            </w:r>
            <w:r>
              <w:rPr>
                <w:rFonts w:asciiTheme="minorHAnsi" w:hAnsiTheme="minorHAnsi" w:cstheme="minorHAnsi"/>
              </w:rPr>
              <w:t xml:space="preserve"> пол.</w:t>
            </w:r>
            <w:r>
              <w:rPr>
                <w:rFonts w:asciiTheme="minorHAnsi" w:hAnsiTheme="minorHAnsi" w:cstheme="minorHAnsi"/>
                <w:lang w:val="en-US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left="-102" w:right="-12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II</w:t>
            </w:r>
            <w:r>
              <w:rPr>
                <w:rFonts w:asciiTheme="minorHAnsi" w:hAnsiTheme="minorHAnsi" w:cstheme="minorHAnsi"/>
              </w:rPr>
              <w:t xml:space="preserve"> пол.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102" w:right="-127"/>
              <w:jc w:val="center"/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II</w:t>
            </w:r>
            <w:r>
              <w:rPr>
                <w:rFonts w:asciiTheme="minorHAnsi" w:hAnsiTheme="minorHAnsi" w:cstheme="minorHAnsi"/>
              </w:rPr>
              <w:t xml:space="preserve"> пол.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2</w:t>
            </w:r>
            <w:r>
              <w:rPr>
                <w:rFonts w:asciiTheme="minorHAnsi" w:hAnsiTheme="minorHAnsi" w:cstheme="minorHAnsi"/>
                <w:vertAlign w:val="superscript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102" w:right="-12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год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102" w:right="-12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 пол.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737" w:type="dxa"/>
            <w:textDirection w:val="lrTb"/>
            <w:noWrap w:val="false"/>
          </w:tcPr>
          <w:p>
            <w:pPr>
              <w:ind w:left="-102" w:right="-12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</w:t>
            </w:r>
            <w:r>
              <w:rPr>
                <w:rFonts w:asciiTheme="minorHAnsi" w:hAnsiTheme="minorHAnsi" w:cstheme="minorHAnsi"/>
                <w:lang w:val="en-US"/>
              </w:rPr>
              <w:t xml:space="preserve">I</w:t>
            </w:r>
            <w:r>
              <w:rPr>
                <w:rFonts w:asciiTheme="minorHAnsi" w:hAnsiTheme="minorHAnsi" w:cstheme="minorHAnsi"/>
              </w:rPr>
              <w:t xml:space="preserve"> пол.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070" w:type="dxa"/>
            <w:textDirection w:val="lrTb"/>
            <w:noWrap/>
          </w:tcPr>
          <w:p>
            <w:pPr>
              <w:ind w:left="33" w:hanging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Приготовление пищи и нагрев воды с использованием газовой плиты (в отсутствие других направлений использования природного газа)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/>
          </w:tcPr>
          <w:p>
            <w:pPr>
              <w:ind w:left="-107" w:right="-1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руб./куб. м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5,81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6,12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6,12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08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6,30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6,30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6,30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6,30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6,61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7,06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7,06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7,06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737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7,69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070" w:type="dxa"/>
            <w:textDirection w:val="lrTb"/>
            <w:noWrap/>
          </w:tcPr>
          <w:p>
            <w:pPr>
              <w:ind w:left="33" w:hanging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Приготовление пищи и нагрев воды с использованием газовой плиты и нагрев воды с использованием газового водонагревателя при отсутствии центрального горячего водоснабжения (в отсутствие других направлений использования природного газа)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/>
          </w:tcPr>
          <w:p>
            <w:pPr>
              <w:ind w:left="-107" w:right="-1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руб./куб. м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5,81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5,14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5,14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08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6,30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6,30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6,30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6,30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6,61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7,06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7,06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7,06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737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7,69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070" w:type="dxa"/>
            <w:textDirection w:val="lrTb"/>
            <w:noWrap/>
          </w:tcPr>
          <w:p>
            <w:pPr>
              <w:ind w:left="33" w:hanging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Отопление с одновременным ис</w:t>
            </w:r>
            <w:r>
              <w:rPr>
                <w:rFonts w:asciiTheme="minorHAnsi" w:hAnsiTheme="minorHAnsi" w:cstheme="minorHAnsi"/>
              </w:rPr>
              <w:t xml:space="preserve">пользованием природного газа на другие цели (кроме отопления и (или) выработки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/>
          </w:tcPr>
          <w:p>
            <w:pPr>
              <w:ind w:left="-107" w:right="-1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руб./куб. м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4,91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5,14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5,14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08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5,29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5,29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5,29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5,29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5,55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5,93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5,93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5,93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737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5,46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070" w:type="dxa"/>
            <w:textDirection w:val="lrTb"/>
            <w:noWrap/>
          </w:tcPr>
          <w:p>
            <w:pPr>
              <w:ind w:left="33" w:hanging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Отопление и (или) выработка электрической энергии с использованием котельных всех типов и (или) иного оборудования, находящихся в общей долевой собственности собственников помещений в МКД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/>
          </w:tcPr>
          <w:p>
            <w:pPr>
              <w:ind w:left="-107" w:right="-1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руб./куб. м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4,91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5,14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5,14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08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5,29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5,29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5,29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5,29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 xml:space="preserve">5,55</w:t>
            </w:r>
            <w:r>
              <w:rPr>
                <w:rFonts w:asciiTheme="minorHAnsi" w:hAnsiTheme="minorHAnsi" w:cstheme="minorHAnsi"/>
                <w:lang w:val="en-US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5,93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5,93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5,93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737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5,46</w:t>
            </w:r>
            <w:r>
              <w:rPr>
                <w:rFonts w:asciiTheme="minorHAnsi" w:hAnsiTheme="minorHAnsi" w:cstheme="minorHAnsi"/>
              </w:rPr>
            </w:r>
          </w:p>
        </w:tc>
      </w:tr>
    </w:tbl>
    <w:p>
      <w:pPr>
        <w:pStyle w:val="1570"/>
        <w:ind w:firstLine="0"/>
        <w:rPr>
          <w:rFonts w:asciiTheme="minorHAnsi" w:hAnsiTheme="minorHAnsi" w:cstheme="minorHAnsi"/>
          <w:i/>
          <w:iCs w:val="0"/>
          <w:sz w:val="28"/>
          <w:szCs w:val="28"/>
        </w:rPr>
      </w:pPr>
      <w:r>
        <w:rPr>
          <w:rFonts w:asciiTheme="minorHAnsi" w:hAnsiTheme="minorHAnsi" w:cstheme="minorHAnsi"/>
          <w:i/>
          <w:iCs w:val="0"/>
          <w:sz w:val="28"/>
          <w:szCs w:val="28"/>
        </w:rPr>
      </w:r>
      <w:r>
        <w:rPr>
          <w:rFonts w:asciiTheme="minorHAnsi" w:hAnsiTheme="minorHAnsi" w:cstheme="minorHAnsi"/>
          <w:i/>
          <w:iCs w:val="0"/>
          <w:sz w:val="28"/>
          <w:szCs w:val="28"/>
        </w:rPr>
      </w:r>
    </w:p>
    <w:p>
      <w:pPr>
        <w:ind w:firstLine="709"/>
        <w:rPr>
          <w:rFonts w:cs="Arial Unicode MS"/>
          <w:i/>
          <w:color w:val="000000"/>
          <w:lang w:eastAsia="en-US"/>
        </w:rPr>
      </w:pPr>
      <w:r/>
      <w:bookmarkStart w:id="259" w:name="_Hlk176274171"/>
      <w:r>
        <w:rPr>
          <w:rFonts w:cs="Arial Unicode MS"/>
          <w:i/>
          <w:color w:val="000000"/>
          <w:lang w:eastAsia="en-US"/>
        </w:rPr>
        <w:t xml:space="preserve">---------------------------</w:t>
      </w:r>
      <w:r>
        <w:rPr>
          <w:rFonts w:cs="Arial Unicode MS"/>
          <w:i/>
          <w:color w:val="000000"/>
          <w:lang w:eastAsia="en-US"/>
        </w:rPr>
      </w:r>
    </w:p>
    <w:p>
      <w:pPr>
        <w:ind w:firstLine="709"/>
        <w:rPr>
          <w:rFonts w:cs="Arial Unicode MS"/>
          <w:iCs/>
          <w:color w:val="000000"/>
          <w:lang w:eastAsia="en-US"/>
        </w:rPr>
      </w:pPr>
      <w:r/>
      <w:bookmarkStart w:id="260" w:name="_Hlk176274805"/>
      <w:r>
        <w:rPr>
          <w:rFonts w:cs="Arial Unicode MS"/>
          <w:iCs/>
          <w:color w:val="000000"/>
          <w:lang w:eastAsia="en-US"/>
        </w:rPr>
        <w:t xml:space="preserve">1</w:t>
      </w:r>
      <w:bookmarkStart w:id="261" w:name="_Hlk176274844"/>
      <w:r>
        <w:rPr>
          <w:rFonts w:cs="Arial Unicode MS"/>
          <w:iCs/>
          <w:color w:val="000000"/>
          <w:lang w:eastAsia="en-US"/>
        </w:rPr>
        <w:t xml:space="preserve">. С 01 августа.</w:t>
      </w:r>
      <w:bookmarkEnd w:id="261"/>
      <w:r/>
      <w:r>
        <w:rPr>
          <w:rFonts w:cs="Arial Unicode MS"/>
          <w:iCs/>
          <w:color w:val="000000"/>
          <w:lang w:eastAsia="en-US"/>
        </w:rPr>
      </w:r>
    </w:p>
    <w:p>
      <w:pPr>
        <w:ind w:firstLine="709"/>
        <w:rPr>
          <w:rFonts w:cs="Arial Unicode MS"/>
          <w:iCs/>
          <w:color w:val="000000"/>
          <w:lang w:eastAsia="en-US"/>
        </w:rPr>
      </w:pPr>
      <w:r>
        <w:rPr>
          <w:rFonts w:cs="Arial Unicode MS"/>
          <w:iCs/>
          <w:color w:val="000000"/>
          <w:lang w:eastAsia="en-US"/>
        </w:rPr>
        <w:t xml:space="preserve">2. С 01 декабря. </w:t>
      </w:r>
      <w:r>
        <w:rPr>
          <w:rFonts w:cs="Arial Unicode MS"/>
          <w:iCs/>
          <w:color w:val="000000"/>
          <w:lang w:eastAsia="en-US"/>
        </w:rPr>
      </w:r>
    </w:p>
    <w:p>
      <w:pPr>
        <w:ind w:firstLine="709"/>
        <w:rPr>
          <w:lang w:eastAsia="en-US"/>
        </w:rPr>
      </w:pPr>
      <w:r>
        <w:rPr>
          <w:rFonts w:cs="Arial Unicode MS"/>
          <w:iCs/>
          <w:color w:val="000000"/>
          <w:lang w:eastAsia="en-US"/>
        </w:rPr>
        <w:t xml:space="preserve">Примечание. Источники информации – </w:t>
      </w:r>
      <w:bookmarkEnd w:id="259"/>
      <w:r/>
      <w:bookmarkEnd w:id="260"/>
      <w:r>
        <w:rPr>
          <w:rFonts w:cs="Arial Unicode MS"/>
          <w:iCs/>
          <w:color w:val="000000"/>
          <w:lang w:eastAsia="en-US"/>
        </w:rPr>
        <w:t xml:space="preserve">постановления Министерства тарифного регулирования и энергетики Пермского края </w:t>
      </w:r>
      <w:r>
        <w:t xml:space="preserve">о розничных ценах на природный газ</w:t>
      </w:r>
      <w:r>
        <w:rPr>
          <w:rFonts w:cs="Arial Unicode MS"/>
          <w:iCs/>
          <w:color w:val="000000"/>
          <w:lang w:eastAsia="en-US"/>
        </w:rPr>
        <w:t xml:space="preserve">.</w:t>
      </w:r>
      <w:r>
        <w:rPr>
          <w:lang w:eastAsia="en-US"/>
        </w:rPr>
      </w:r>
    </w:p>
    <w:p>
      <w:pPr>
        <w:rPr>
          <w:lang w:eastAsia="en-US"/>
        </w:rPr>
        <w:sectPr>
          <w:footnotePr/>
          <w:endnotePr/>
          <w:type w:val="nextPage"/>
          <w:pgSz w:w="16838" w:h="11906" w:orient="landscape"/>
          <w:pgMar w:top="1134" w:right="567" w:bottom="1134" w:left="1418" w:header="567" w:footer="567" w:gutter="0"/>
          <w:cols w:num="1" w:sep="0" w:space="708" w:equalWidth="1"/>
          <w:docGrid w:linePitch="360"/>
        </w:sectPr>
      </w:pPr>
      <w:r>
        <w:rPr>
          <w:lang w:eastAsia="en-US"/>
        </w:rPr>
      </w:r>
      <w:r>
        <w:rPr>
          <w:lang w:eastAsia="en-US"/>
        </w:rPr>
      </w:r>
    </w:p>
    <w:p>
      <w:pPr>
        <w:pStyle w:val="1570"/>
        <w:ind w:firstLine="0"/>
        <w:jc w:val="right"/>
        <w:rPr>
          <w:b/>
          <w:bCs/>
          <w:sz w:val="28"/>
          <w:szCs w:val="28"/>
        </w:rPr>
      </w:pPr>
      <w:r/>
      <w:bookmarkStart w:id="262" w:name="_Ref160014988"/>
      <w:r/>
      <w:bookmarkStart w:id="263" w:name="_Toc175216102"/>
      <w:r>
        <w:rPr>
          <w:b/>
          <w:bCs/>
          <w:sz w:val="28"/>
          <w:szCs w:val="28"/>
        </w:rPr>
        <w:t xml:space="preserve">Таблица 2.26</w:t>
      </w:r>
      <w:r>
        <w:rPr>
          <w:b/>
          <w:bCs/>
          <w:sz w:val="28"/>
          <w:szCs w:val="28"/>
        </w:rPr>
      </w:r>
    </w:p>
    <w:p>
      <w:pPr>
        <w:pStyle w:val="1570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Плата за подключение к сетям газораспределения АО «Газпром газораспределение Пермь» на 2024 год</w:t>
      </w:r>
      <w:bookmarkEnd w:id="262"/>
      <w:r/>
      <w:bookmarkEnd w:id="263"/>
      <w:r/>
      <w:r>
        <w:rPr>
          <w:b/>
          <w:bCs/>
          <w:sz w:val="28"/>
          <w:szCs w:val="28"/>
        </w:rPr>
      </w:r>
    </w:p>
    <w:p>
      <w:pPr>
        <w:pStyle w:val="1570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Style w:val="1574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72"/>
        <w:gridCol w:w="7963"/>
        <w:gridCol w:w="1396"/>
      </w:tblGrid>
      <w:tr>
        <w:tblPrEx/>
        <w:trPr>
          <w:trHeight w:val="20"/>
        </w:trPr>
        <w:tc>
          <w:tcPr>
            <w:tcW w:w="288" w:type="pct"/>
            <w:textDirection w:val="lrTb"/>
            <w:noWrap w:val="false"/>
          </w:tcPr>
          <w:p>
            <w:pPr>
              <w:pStyle w:val="1457"/>
              <w:ind w:left="10" w:hanging="1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№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4009" w:type="pct"/>
            <w:textDirection w:val="lrTb"/>
            <w:noWrap w:val="false"/>
          </w:tcPr>
          <w:p>
            <w:pPr>
              <w:pStyle w:val="1457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position w:val="-2"/>
                <w:lang w:val="ru-RU"/>
              </w:rPr>
              <w:t xml:space="preserve">Заявители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703" w:type="pct"/>
            <w:textDirection w:val="lrTb"/>
            <w:noWrap w:val="false"/>
          </w:tcPr>
          <w:p>
            <w:pPr>
              <w:pStyle w:val="1457"/>
              <w:ind w:left="-2" w:firstLine="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Плата за 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подключение, руб.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288" w:type="pct"/>
            <w:textDirection w:val="lrTb"/>
            <w:noWrap w:val="false"/>
          </w:tcPr>
          <w:p>
            <w:pPr>
              <w:pStyle w:val="1457"/>
              <w:ind w:left="10" w:hanging="1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4009" w:type="pct"/>
            <w:textDirection w:val="lrTb"/>
            <w:noWrap w:val="false"/>
          </w:tcPr>
          <w:p>
            <w:pPr>
              <w:pStyle w:val="1457"/>
              <w:ind w:left="107" w:right="13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Плата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за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технологическое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присоединение</w:t>
            </w:r>
            <w:r>
              <w:rPr>
                <w:rFonts w:ascii="Times New Roman" w:hAnsi="Times New Roman" w:cs="Times New Roman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газоиспользующего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оборудования </w:t>
            </w:r>
            <w:r>
              <w:rPr>
                <w:rFonts w:ascii="Times New Roman" w:hAnsi="Times New Roman" w:cs="Times New Roman"/>
                <w:lang w:val="ru-RU"/>
              </w:rPr>
              <w:t xml:space="preserve">с максимальным часовым расходом газа,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не превышающим 15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куб.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м в час включительно, с учетом расхода газа газоиспользующим оборудованием, ранее по</w:t>
            </w:r>
            <w:r>
              <w:rPr>
                <w:rFonts w:ascii="Times New Roman" w:hAnsi="Times New Roman" w:cs="Times New Roman"/>
                <w:lang w:val="ru-RU"/>
              </w:rPr>
              <w:t xml:space="preserve">дключенным в данной точке подключения (для заявителей, намеревающихся использовать газ для целей предпринимательской (коммерческой) деятельности), при условии, что расстояние от газоиспользующего оборудования до газораспределительной сети с проектным рабоч</w:t>
            </w:r>
            <w:r>
              <w:rPr>
                <w:rFonts w:ascii="Times New Roman" w:hAnsi="Times New Roman" w:cs="Times New Roman"/>
                <w:lang w:val="ru-RU"/>
              </w:rPr>
              <w:t xml:space="preserve">им давлением не более 0,3 МПа, измеряемое по прямой линии (наименьшее расстояние), составляет не более 200 метров, и мероприятия предполагают строительство только газопроводов (без необходимости выполнения мероприятий по прокладке газопроводов бестраншейны</w:t>
            </w:r>
            <w:r>
              <w:rPr>
                <w:rFonts w:ascii="Times New Roman" w:hAnsi="Times New Roman" w:cs="Times New Roman"/>
                <w:lang w:val="ru-RU"/>
              </w:rPr>
              <w:t xml:space="preserve">м способом и устройства пункта редуцирования газа) в соответствии с утвержденной в установленном порядке региональной (межрегиональной) программой газификации жилищно-коммунального хозяйства, промышленных и иных организаций, в том числе схемой расположения</w:t>
            </w:r>
            <w:r>
              <w:rPr>
                <w:rFonts w:ascii="Times New Roman" w:hAnsi="Times New Roman" w:cs="Times New Roman"/>
                <w:spacing w:val="8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объектов</w:t>
            </w:r>
            <w:r>
              <w:rPr>
                <w:rFonts w:ascii="Times New Roman" w:hAnsi="Times New Roman" w:cs="Times New Roman"/>
                <w:spacing w:val="8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газоснабжения,</w:t>
            </w:r>
            <w:r>
              <w:rPr>
                <w:rFonts w:ascii="Times New Roman" w:hAnsi="Times New Roman" w:cs="Times New Roman"/>
                <w:spacing w:val="8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используемых</w:t>
            </w:r>
            <w:r>
              <w:rPr>
                <w:rFonts w:ascii="Times New Roman" w:hAnsi="Times New Roman" w:cs="Times New Roman"/>
                <w:spacing w:val="8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для обеспечения населения</w:t>
            </w:r>
            <w:r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газом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(без учета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НДС)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703" w:type="pct"/>
            <w:textDirection w:val="lrTb"/>
            <w:noWrap w:val="false"/>
          </w:tcPr>
          <w:p>
            <w:pPr>
              <w:pStyle w:val="1457"/>
              <w:ind w:right="1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70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668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288" w:type="pct"/>
            <w:textDirection w:val="lrTb"/>
            <w:noWrap w:val="false"/>
          </w:tcPr>
          <w:p>
            <w:pPr>
              <w:pStyle w:val="1457"/>
              <w:ind w:left="3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4009" w:type="pct"/>
            <w:textDirection w:val="lrTb"/>
            <w:noWrap w:val="false"/>
          </w:tcPr>
          <w:p>
            <w:pPr>
              <w:pStyle w:val="1457"/>
              <w:ind w:left="117" w:right="13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Плата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за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технологическое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присоединение</w:t>
            </w:r>
            <w:r>
              <w:rPr>
                <w:rFonts w:ascii="Times New Roman" w:hAnsi="Times New Roman" w:cs="Times New Roman"/>
                <w:spacing w:val="1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газоиспользующего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оборудования </w:t>
            </w:r>
            <w:r>
              <w:rPr>
                <w:rFonts w:ascii="Times New Roman" w:hAnsi="Times New Roman" w:cs="Times New Roman"/>
                <w:lang w:val="ru-RU"/>
              </w:rPr>
              <w:t xml:space="preserve">с максимальным часовым расходом газа, не превышающим 5 куб.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м в час включительно, с учетом расхода газа газоиспользующим оборудованием, ранее подключенным в данной точке подключения (для прочих</w:t>
            </w:r>
            <w:r>
              <w:rPr>
                <w:rFonts w:ascii="Times New Roman" w:hAnsi="Times New Roman" w:cs="Times New Roman"/>
                <w:spacing w:val="8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заявителей), при условии, что расстояние от газоиспользующего оборудования до газораспределительной сети с проектным рабочим давлением не более 0,3 МПа, измеря</w:t>
            </w:r>
            <w:r>
              <w:rPr>
                <w:rFonts w:ascii="Times New Roman" w:hAnsi="Times New Roman" w:cs="Times New Roman"/>
                <w:lang w:val="ru-RU"/>
              </w:rPr>
              <w:t xml:space="preserve">емое по прямой линии (наименьшее расстояние), составляет не более 200 метров, и мероприятия предполагают строительство только газопроводов (без необходимости выполнения мероприятий по прокладке газопроводов бестраншейным способом и устройства пункта редуци</w:t>
            </w:r>
            <w:r>
              <w:rPr>
                <w:rFonts w:ascii="Times New Roman" w:hAnsi="Times New Roman" w:cs="Times New Roman"/>
                <w:lang w:val="ru-RU"/>
              </w:rPr>
              <w:t xml:space="preserve">рования газа) в соответствии с утвержденной в установленном порядке региональной (межрегиональной) программой газификации жилищно-коммунального хозяйства, промышленных и иных организаций, в том числе схемой расположения объектов газоснабжения, используемых</w:t>
            </w:r>
            <w:r>
              <w:rPr>
                <w:rFonts w:ascii="Times New Roman" w:hAnsi="Times New Roman" w:cs="Times New Roman"/>
                <w:spacing w:val="3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для обеспечения населения газом (с учетом НДС)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703" w:type="pct"/>
            <w:textDirection w:val="lrTb"/>
            <w:noWrap w:val="false"/>
          </w:tcPr>
          <w:p>
            <w:pPr>
              <w:pStyle w:val="1457"/>
              <w:ind w:left="34" w:right="1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52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580</w:t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</w:tbl>
    <w:p>
      <w:pPr>
        <w:pStyle w:val="15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Стандартизированные тарифные ставки, используемые для определения величины платы за технологическое присоединение к газораспределительным сетям АО «Газпром газораспределение Пермь» до границ земельного участка, установлены </w:t>
      </w:r>
      <w:bookmarkStart w:id="264" w:name="_Hlk166592806"/>
      <w:r>
        <w:rPr>
          <w:sz w:val="28"/>
          <w:szCs w:val="28"/>
        </w:rPr>
        <w:t xml:space="preserve">постановлением Министерства тарифного регулирования и энергетики Пермского края от 20.12.2023 № 137-тп</w:t>
      </w:r>
      <w:bookmarkEnd w:id="264"/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/>
      <w:bookmarkStart w:id="265" w:name="_Toc119947491"/>
      <w:r/>
      <w:bookmarkStart w:id="266" w:name="_Toc175216005"/>
      <w:r/>
      <w:r>
        <w:rPr>
          <w:sz w:val="28"/>
          <w:szCs w:val="28"/>
        </w:rPr>
      </w:r>
    </w:p>
    <w:p>
      <w:pPr>
        <w:jc w:val="center"/>
        <w:keepLines/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2.5.11 </w:t>
      </w:r>
      <w:r>
        <w:rPr>
          <w:b/>
          <w:bCs/>
          <w:sz w:val="28"/>
          <w:szCs w:val="28"/>
          <w:highlight w:val="white"/>
        </w:rPr>
        <w:t xml:space="preserve">Технические</w:t>
      </w:r>
      <w:r>
        <w:rPr>
          <w:b/>
          <w:bCs/>
          <w:sz w:val="28"/>
          <w:szCs w:val="28"/>
        </w:rPr>
        <w:t xml:space="preserve"> и технологические проблемы в системе</w:t>
      </w:r>
      <w:bookmarkEnd w:id="265"/>
      <w:r/>
      <w:bookmarkEnd w:id="266"/>
      <w:r/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основных проблем можно выделить: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ложность обеспечения подачи газа потребителям некоторых микрорайонов в пределах требуемых значений давления из-за недостаточности пропускной способности газопроводов, а также наличия тупиковых участков сети с высоким суммарным потреблением природного газа;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относительно высокий износ стальных газопроводов;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нарушение требований по надежности в ряде случаев – отсутствие резервирования. </w:t>
      </w:r>
      <w:r>
        <w:rPr>
          <w:sz w:val="28"/>
          <w:szCs w:val="28"/>
        </w:rPr>
      </w:r>
    </w:p>
    <w:p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/>
      <w:bookmarkStart w:id="267" w:name="_Toc119947492"/>
      <w:r/>
      <w:bookmarkStart w:id="268" w:name="_Toc175216006"/>
      <w:r>
        <w:rPr>
          <w:b/>
          <w:bCs/>
          <w:sz w:val="28"/>
          <w:szCs w:val="28"/>
        </w:rPr>
        <w:t xml:space="preserve">2.6. Краткий анализ существующего состояния сферы (системы) обращения </w:t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ТКО</w:t>
      </w:r>
      <w:bookmarkEnd w:id="267"/>
      <w:r/>
      <w:bookmarkEnd w:id="268"/>
      <w:r/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/>
      <w:bookmarkStart w:id="269" w:name="_Toc119947493"/>
      <w:r/>
      <w:bookmarkStart w:id="270" w:name="_Toc175216007"/>
      <w:r>
        <w:rPr>
          <w:b/>
          <w:bCs/>
          <w:sz w:val="28"/>
          <w:szCs w:val="28"/>
        </w:rPr>
        <w:t xml:space="preserve">2.6.1 Институциональная структура</w:t>
      </w:r>
      <w:bookmarkEnd w:id="269"/>
      <w:r/>
      <w:bookmarkEnd w:id="270"/>
      <w:r/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по сбору и транспортировке твердых коммунальных отходов в городе Перми осуществляется через регионального оператора – акционерное общество «Пермский региональный оператор твердых коммунальных </w:t>
      </w:r>
      <w:r>
        <w:rPr>
          <w:sz w:val="28"/>
          <w:szCs w:val="28"/>
        </w:rPr>
        <w:t xml:space="preserve">отходов»</w:t>
      </w:r>
      <w:r>
        <w:rPr>
          <w:rStyle w:val="1482"/>
          <w:sz w:val="28"/>
          <w:szCs w:val="28"/>
        </w:rPr>
        <w:footnoteReference w:id="4"/>
      </w:r>
      <w:r>
        <w:rPr>
          <w:rStyle w:val="994"/>
          <w:rFonts w:eastAsiaTheme="minorEastAsia" w:cstheme="minorBidi"/>
          <w:lang w:eastAsia="en-US"/>
        </w:rPr>
        <w:t xml:space="preserve"> 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далее – АО «ПРО ТКО») (форма собственности – собственность субъекта Российской Федерации), выполняющего эту функцию с 01.01.2019. </w:t>
      </w:r>
      <w:r>
        <w:rPr>
          <w:sz w:val="28"/>
          <w:szCs w:val="28"/>
        </w:rPr>
        <w:t xml:space="preserve">Западно-Уральским</w:t>
      </w:r>
      <w:r>
        <w:rPr>
          <w:sz w:val="28"/>
          <w:szCs w:val="28"/>
        </w:rPr>
        <w:t xml:space="preserve"> межрегиональным управлением Федеральной службы по надзору в сфере природопользования региональному оператору выдана лицензия от 09.11.2022 № Л020-00113-59/00047059 на осуществление деятельности по транспортированию отходов I-IV классов опасности.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Вывоз ТКО с территории города Перми осуществляют следующие компании на основании заключенных с АО «ПРО ТКО» договоров: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left="709" w:right="-144"/>
        <w:rPr>
          <w:sz w:val="28"/>
          <w:szCs w:val="28"/>
        </w:rPr>
      </w:pPr>
      <w:r/>
      <w:bookmarkStart w:id="271" w:name="_Hlk164951541"/>
      <w:r>
        <w:rPr>
          <w:sz w:val="28"/>
          <w:szCs w:val="28"/>
        </w:rPr>
        <w:t xml:space="preserve">1. ИП Каштанова Н.В.;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/>
      <w:bookmarkStart w:id="272" w:name="_Hlk164951552"/>
      <w:r/>
      <w:bookmarkEnd w:id="271"/>
      <w:r>
        <w:rPr>
          <w:sz w:val="28"/>
          <w:szCs w:val="28"/>
        </w:rPr>
        <w:t xml:space="preserve">2. ООО «ВМ-Сервис»</w:t>
      </w:r>
      <w:bookmarkEnd w:id="272"/>
      <w:r>
        <w:rPr>
          <w:sz w:val="28"/>
          <w:szCs w:val="28"/>
        </w:rPr>
        <w:t xml:space="preserve"> (форма собственности – частная);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/>
      <w:bookmarkStart w:id="273" w:name="_Hlk164951561"/>
      <w:r>
        <w:rPr>
          <w:sz w:val="28"/>
          <w:szCs w:val="28"/>
        </w:rPr>
        <w:t xml:space="preserve">3. ООО «Омнибус»</w:t>
      </w:r>
      <w:bookmarkEnd w:id="273"/>
      <w:r>
        <w:rPr>
          <w:sz w:val="28"/>
          <w:szCs w:val="28"/>
        </w:rPr>
        <w:t xml:space="preserve"> (форма собственности – частная);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/>
      <w:bookmarkStart w:id="274" w:name="_Hlk164951574"/>
      <w:r>
        <w:rPr>
          <w:sz w:val="28"/>
          <w:szCs w:val="28"/>
        </w:rPr>
        <w:t xml:space="preserve">4. ООО «</w:t>
      </w:r>
      <w:r>
        <w:rPr>
          <w:sz w:val="28"/>
          <w:szCs w:val="28"/>
        </w:rPr>
        <w:t xml:space="preserve">РусСервис</w:t>
      </w:r>
      <w:r>
        <w:rPr>
          <w:sz w:val="28"/>
          <w:szCs w:val="28"/>
        </w:rPr>
        <w:t xml:space="preserve">» </w:t>
      </w:r>
      <w:bookmarkEnd w:id="274"/>
      <w:r>
        <w:rPr>
          <w:sz w:val="28"/>
          <w:szCs w:val="28"/>
        </w:rPr>
        <w:t xml:space="preserve">(форма собственности – частная); 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/>
      <w:bookmarkStart w:id="275" w:name="_Hlk164951581"/>
      <w:r>
        <w:rPr>
          <w:sz w:val="28"/>
          <w:szCs w:val="28"/>
        </w:rPr>
        <w:t xml:space="preserve">5. ООО Торговый дом «</w:t>
      </w:r>
      <w:r>
        <w:rPr>
          <w:sz w:val="28"/>
          <w:szCs w:val="28"/>
        </w:rPr>
        <w:t xml:space="preserve">ЭкоБэст</w:t>
      </w:r>
      <w:r>
        <w:rPr>
          <w:sz w:val="28"/>
          <w:szCs w:val="28"/>
        </w:rPr>
        <w:t xml:space="preserve">» </w:t>
      </w:r>
      <w:bookmarkEnd w:id="275"/>
      <w:r>
        <w:rPr>
          <w:sz w:val="28"/>
          <w:szCs w:val="28"/>
        </w:rPr>
        <w:t xml:space="preserve">(форма собственности – частная);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/>
      <w:bookmarkStart w:id="276" w:name="_Hlk164951587"/>
      <w:r>
        <w:rPr>
          <w:sz w:val="28"/>
          <w:szCs w:val="28"/>
        </w:rPr>
        <w:t xml:space="preserve">6. ООО «Чистый город – МК»</w:t>
      </w:r>
      <w:bookmarkEnd w:id="276"/>
      <w:r>
        <w:rPr>
          <w:sz w:val="28"/>
          <w:szCs w:val="28"/>
        </w:rPr>
        <w:t xml:space="preserve"> (форма собственности – частная);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/>
      <w:bookmarkStart w:id="277" w:name="_Hlk164951592"/>
      <w:r>
        <w:rPr>
          <w:sz w:val="28"/>
          <w:szCs w:val="28"/>
        </w:rPr>
        <w:t xml:space="preserve">7. ООО «ЭКОЛ» </w:t>
      </w:r>
      <w:bookmarkEnd w:id="277"/>
      <w:r>
        <w:rPr>
          <w:sz w:val="28"/>
          <w:szCs w:val="28"/>
        </w:rPr>
        <w:t xml:space="preserve">(форма собственности – частная).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Вывоз ТКО осуществляется на: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1. Полигон у д. </w:t>
      </w:r>
      <w:r>
        <w:rPr>
          <w:sz w:val="28"/>
          <w:szCs w:val="28"/>
        </w:rPr>
        <w:t xml:space="preserve">Софроны</w:t>
      </w:r>
      <w:r>
        <w:rPr>
          <w:sz w:val="28"/>
          <w:szCs w:val="28"/>
        </w:rPr>
        <w:t xml:space="preserve"> Пермского муниципального округа;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2. Полигон у д. Ключики Пермского муниципального округа;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3. Полигон у с. Черная </w:t>
      </w:r>
      <w:r>
        <w:rPr>
          <w:sz w:val="28"/>
          <w:szCs w:val="28"/>
        </w:rPr>
        <w:t xml:space="preserve">Краснокамского</w:t>
      </w:r>
      <w:r>
        <w:rPr>
          <w:sz w:val="28"/>
          <w:szCs w:val="28"/>
        </w:rPr>
        <w:t xml:space="preserve"> городского округа;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4. Полигон ТБО п. </w:t>
      </w:r>
      <w:r>
        <w:rPr>
          <w:sz w:val="28"/>
          <w:szCs w:val="28"/>
        </w:rPr>
        <w:t xml:space="preserve">Полазна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5. Полигон ТБО г. Верещагино;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6. Полигон ТБО г. Нытва;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/>
      <w:bookmarkStart w:id="278" w:name="_Hlk164951781"/>
      <w:r>
        <w:rPr>
          <w:sz w:val="28"/>
          <w:szCs w:val="28"/>
        </w:rPr>
        <w:t xml:space="preserve">7. Мусоросортировочный комплекс (далее – МСК</w:t>
      </w:r>
      <w:bookmarkEnd w:id="278"/>
      <w:r>
        <w:rPr>
          <w:sz w:val="28"/>
          <w:szCs w:val="28"/>
        </w:rPr>
        <w:t xml:space="preserve">) в с. Лобаново Пермского муниципального округа;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8. МСК в г. Краснокамск </w:t>
      </w:r>
      <w:r>
        <w:rPr>
          <w:sz w:val="28"/>
          <w:szCs w:val="28"/>
        </w:rPr>
        <w:t xml:space="preserve">Краснокамского</w:t>
      </w:r>
      <w:r>
        <w:rPr>
          <w:sz w:val="28"/>
          <w:szCs w:val="28"/>
        </w:rPr>
        <w:t xml:space="preserve"> городского округа.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Полигоны ТКО и МСК размещены за пределами территории города Перми.</w:t>
      </w:r>
      <w:r>
        <w:rPr>
          <w:sz w:val="28"/>
          <w:szCs w:val="28"/>
          <w:highlight w:val="yellow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Региональный оператор (АО «ПРО ТКО») заключает договоры на оказание услуг по обращению с ТКО в публичной форме. Он не может отказать собственнику ТКО в заключении договора, если места их накопления находятся в </w:t>
      </w:r>
      <w:r>
        <w:rPr>
          <w:sz w:val="28"/>
          <w:szCs w:val="28"/>
        </w:rPr>
        <w:t xml:space="preserve">зоне его деятельности. Кроме того, региональный оператор заключает договоры с компаниями, занимающимися сбором и транспортировкой мусора, а также осуществляющими его обработку, обезвреживани</w:t>
      </w:r>
      <w:r>
        <w:rPr>
          <w:sz w:val="28"/>
          <w:szCs w:val="28"/>
        </w:rPr>
        <w:t xml:space="preserve">е, утилизацию и захоронение в случае оказания таких услуг. Динамика количества заключенных договоров приведена в таблице 2.27. По состоянию на 2023 год их количество составило 1 167 884, из которого на физические лица приходилась существенно большая часть.</w:t>
      </w:r>
      <w:bookmarkStart w:id="279" w:name="_Ref160015314"/>
      <w:r/>
      <w:bookmarkStart w:id="280" w:name="_Toc175216103"/>
      <w:r/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70"/>
        <w:ind w:firstLine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Таблица 2.27 </w:t>
      </w:r>
      <w:r>
        <w:rPr>
          <w:b/>
          <w:bCs/>
          <w:sz w:val="28"/>
          <w:szCs w:val="28"/>
        </w:rPr>
      </w:r>
    </w:p>
    <w:p>
      <w:pPr>
        <w:pStyle w:val="1570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Количество договоров в системе обращения ТКО</w:t>
      </w:r>
      <w:bookmarkEnd w:id="279"/>
      <w:r/>
      <w:bookmarkEnd w:id="280"/>
      <w:r/>
      <w:r>
        <w:rPr>
          <w:b/>
          <w:bCs/>
          <w:sz w:val="28"/>
          <w:szCs w:val="28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tbl>
      <w:tblPr>
        <w:tblStyle w:val="988"/>
        <w:tblW w:w="5000" w:type="pct"/>
        <w:tblLook w:val="04A0" w:firstRow="1" w:lastRow="0" w:firstColumn="1" w:lastColumn="0" w:noHBand="0" w:noVBand="1"/>
      </w:tblPr>
      <w:tblGrid>
        <w:gridCol w:w="2418"/>
        <w:gridCol w:w="1515"/>
        <w:gridCol w:w="1609"/>
        <w:gridCol w:w="1571"/>
        <w:gridCol w:w="1512"/>
        <w:gridCol w:w="1512"/>
      </w:tblGrid>
      <w:tr>
        <w:tblPrEx/>
        <w:trPr>
          <w:trHeight w:val="20"/>
          <w:tblHeader/>
        </w:trPr>
        <w:tc>
          <w:tcPr>
            <w:tcW w:w="119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Контрагенты</w:t>
            </w:r>
            <w:r>
              <w:rPr>
                <w:color w:val="000000"/>
              </w:rPr>
            </w:r>
          </w:p>
        </w:tc>
        <w:tc>
          <w:tcPr>
            <w:tcW w:w="747" w:type="pct"/>
            <w:vAlign w:val="center"/>
            <w:textDirection w:val="lrTb"/>
            <w:noWrap w:val="false"/>
          </w:tcPr>
          <w:p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2019</w:t>
            </w:r>
            <w:r>
              <w:rPr>
                <w:color w:val="000000"/>
              </w:rPr>
            </w:r>
          </w:p>
        </w:tc>
        <w:tc>
          <w:tcPr>
            <w:tcW w:w="793" w:type="pct"/>
            <w:vAlign w:val="center"/>
            <w:textDirection w:val="lrTb"/>
            <w:noWrap w:val="false"/>
          </w:tcPr>
          <w:p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</w:t>
            </w:r>
            <w:r>
              <w:rPr>
                <w:color w:val="000000"/>
              </w:rPr>
            </w:r>
          </w:p>
        </w:tc>
        <w:tc>
          <w:tcPr>
            <w:tcW w:w="775" w:type="pct"/>
            <w:vAlign w:val="center"/>
            <w:textDirection w:val="lrTb"/>
            <w:noWrap w:val="false"/>
          </w:tcPr>
          <w:p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2021</w:t>
            </w:r>
            <w:r>
              <w:rPr>
                <w:color w:val="000000"/>
              </w:rPr>
            </w:r>
          </w:p>
        </w:tc>
        <w:tc>
          <w:tcPr>
            <w:tcW w:w="746" w:type="pct"/>
            <w:vAlign w:val="center"/>
            <w:textDirection w:val="lrTb"/>
            <w:noWrap w:val="false"/>
          </w:tcPr>
          <w:p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2022</w:t>
            </w:r>
            <w:r>
              <w:rPr>
                <w:color w:val="000000"/>
              </w:rPr>
            </w:r>
          </w:p>
        </w:tc>
        <w:tc>
          <w:tcPr>
            <w:tcW w:w="746" w:type="pct"/>
            <w:vAlign w:val="center"/>
            <w:textDirection w:val="lrTb"/>
            <w:noWrap w:val="false"/>
          </w:tcPr>
          <w:p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2023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1192" w:type="pct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Физические лица</w:t>
            </w:r>
            <w:r>
              <w:rPr>
                <w:color w:val="000000"/>
              </w:rPr>
            </w:r>
          </w:p>
        </w:tc>
        <w:tc>
          <w:tcPr>
            <w:tcW w:w="747" w:type="pct"/>
            <w:textDirection w:val="lrTb"/>
            <w:noWrap w:val="false"/>
          </w:tcPr>
          <w:p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887 229</w:t>
            </w:r>
            <w:r>
              <w:rPr>
                <w:color w:val="000000"/>
              </w:rPr>
            </w:r>
          </w:p>
        </w:tc>
        <w:tc>
          <w:tcPr>
            <w:tcW w:w="793" w:type="pct"/>
            <w:textDirection w:val="lrTb"/>
            <w:noWrap w:val="false"/>
          </w:tcPr>
          <w:p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1 000 123</w:t>
            </w:r>
            <w:r>
              <w:rPr>
                <w:color w:val="000000"/>
              </w:rPr>
            </w:r>
          </w:p>
        </w:tc>
        <w:tc>
          <w:tcPr>
            <w:tcW w:w="775" w:type="pct"/>
            <w:textDirection w:val="lrTb"/>
            <w:noWrap w:val="false"/>
          </w:tcPr>
          <w:p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1 072 212</w:t>
            </w:r>
            <w:r>
              <w:rPr>
                <w:color w:val="000000"/>
              </w:rPr>
            </w:r>
          </w:p>
        </w:tc>
        <w:tc>
          <w:tcPr>
            <w:tcW w:w="746" w:type="pct"/>
            <w:textDirection w:val="lrTb"/>
            <w:noWrap w:val="false"/>
          </w:tcPr>
          <w:p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1 130 299</w:t>
            </w:r>
            <w:r>
              <w:rPr>
                <w:color w:val="000000"/>
              </w:rPr>
            </w:r>
          </w:p>
        </w:tc>
        <w:tc>
          <w:tcPr>
            <w:tcW w:w="746" w:type="pct"/>
            <w:textDirection w:val="lrTb"/>
            <w:noWrap w:val="false"/>
          </w:tcPr>
          <w:p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1 155 586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1192" w:type="pct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Юридические лица (включая ИП)</w:t>
            </w:r>
            <w:r>
              <w:rPr>
                <w:color w:val="000000"/>
              </w:rPr>
            </w:r>
          </w:p>
        </w:tc>
        <w:tc>
          <w:tcPr>
            <w:tcW w:w="747" w:type="pct"/>
            <w:textDirection w:val="lrTb"/>
            <w:noWrap w:val="false"/>
          </w:tcPr>
          <w:p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11 473</w:t>
            </w:r>
            <w:r>
              <w:rPr>
                <w:color w:val="000000"/>
              </w:rPr>
            </w:r>
          </w:p>
        </w:tc>
        <w:tc>
          <w:tcPr>
            <w:tcW w:w="793" w:type="pct"/>
            <w:textDirection w:val="lrTb"/>
            <w:noWrap w:val="false"/>
          </w:tcPr>
          <w:p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15 824</w:t>
            </w:r>
            <w:r>
              <w:rPr>
                <w:color w:val="000000"/>
              </w:rPr>
            </w:r>
          </w:p>
        </w:tc>
        <w:tc>
          <w:tcPr>
            <w:tcW w:w="775" w:type="pct"/>
            <w:textDirection w:val="lrTb"/>
            <w:noWrap w:val="false"/>
          </w:tcPr>
          <w:p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17 620</w:t>
            </w:r>
            <w:r>
              <w:rPr>
                <w:color w:val="000000"/>
              </w:rPr>
            </w:r>
          </w:p>
        </w:tc>
        <w:tc>
          <w:tcPr>
            <w:tcW w:w="746" w:type="pct"/>
            <w:textDirection w:val="lrTb"/>
            <w:noWrap w:val="false"/>
          </w:tcPr>
          <w:p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18 752</w:t>
            </w:r>
            <w:r>
              <w:rPr>
                <w:color w:val="000000"/>
              </w:rPr>
            </w:r>
          </w:p>
        </w:tc>
        <w:tc>
          <w:tcPr>
            <w:tcW w:w="746" w:type="pct"/>
            <w:textDirection w:val="lrTb"/>
            <w:noWrap w:val="false"/>
          </w:tcPr>
          <w:p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18 607</w:t>
            </w:r>
            <w:r>
              <w:rPr>
                <w:color w:val="000000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rFonts w:cs="Arial Unicode MS"/>
          <w:i/>
          <w:color w:val="000000"/>
          <w:lang w:eastAsia="en-US"/>
        </w:rPr>
      </w:pPr>
      <w:r>
        <w:rPr>
          <w:rFonts w:cs="Arial Unicode MS"/>
          <w:i/>
          <w:color w:val="000000"/>
          <w:lang w:eastAsia="en-US"/>
        </w:rPr>
        <w:t xml:space="preserve">---------------------------</w:t>
      </w:r>
      <w:r>
        <w:rPr>
          <w:rFonts w:cs="Arial Unicode MS"/>
          <w:i/>
          <w:color w:val="000000"/>
          <w:lang w:eastAsia="en-US"/>
        </w:rPr>
      </w:r>
    </w:p>
    <w:p>
      <w:pPr>
        <w:ind w:firstLine="709"/>
      </w:pPr>
      <w:r>
        <w:rPr>
          <w:rFonts w:cs="Arial Unicode MS"/>
          <w:iCs/>
          <w:color w:val="000000"/>
          <w:lang w:eastAsia="en-US"/>
        </w:rPr>
        <w:t xml:space="preserve">Примечание. Источники информации – </w:t>
      </w:r>
      <w:r>
        <w:t xml:space="preserve">сведения АО «ПРО ТКО».</w:t>
      </w:r>
      <w:r/>
    </w:p>
    <w:p>
      <w:r/>
      <w:bookmarkStart w:id="281" w:name="_Toc119947494"/>
      <w:r/>
      <w:bookmarkStart w:id="282" w:name="_Toc175216008"/>
      <w:r/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2.6.2 Характеристика сферы (системы) обращения с ТКО</w:t>
      </w:r>
      <w:bookmarkEnd w:id="281"/>
      <w:r/>
      <w:bookmarkEnd w:id="282"/>
      <w:r/>
      <w:r>
        <w:rPr>
          <w:b/>
          <w:bCs/>
          <w:sz w:val="28"/>
          <w:szCs w:val="28"/>
        </w:rPr>
      </w:r>
    </w:p>
    <w:p>
      <w:r/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объектов по обработке, утилизации, обезвреживанию, захоронению, размещению отходов представлен в таблице 2.28.</w:t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/>
      <w:bookmarkStart w:id="283" w:name="_Toc175216104"/>
      <w:r/>
      <w:r>
        <w:rPr>
          <w:sz w:val="28"/>
          <w:szCs w:val="28"/>
        </w:rPr>
      </w:r>
    </w:p>
    <w:p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Таблица 2.28</w:t>
      </w:r>
      <w:r>
        <w:rPr>
          <w:b/>
          <w:bCs/>
          <w:sz w:val="28"/>
          <w:szCs w:val="28"/>
        </w:rPr>
      </w:r>
    </w:p>
    <w:p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Объекты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по обработке, утилизации, обезвреживанию, захоронению, размещению отходов</w:t>
      </w:r>
      <w:bookmarkEnd w:id="283"/>
      <w:r/>
      <w:r>
        <w:rPr>
          <w:rFonts w:asciiTheme="minorHAnsi" w:hAnsiTheme="minorHAnsi" w:cstheme="minorHAnsi"/>
          <w:b/>
          <w:bCs/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1"/>
        <w:gridCol w:w="2308"/>
        <w:gridCol w:w="1586"/>
        <w:gridCol w:w="991"/>
        <w:gridCol w:w="2267"/>
        <w:gridCol w:w="2374"/>
      </w:tblGrid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объекта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82" w:type="pct"/>
            <w:textDirection w:val="lrTb"/>
            <w:noWrap w:val="false"/>
          </w:tcPr>
          <w:p>
            <w:pPr>
              <w:ind w:left="-107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Назначение объекта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9" w:type="pct"/>
            <w:textDirection w:val="lrTb"/>
            <w:noWrap w:val="false"/>
          </w:tcPr>
          <w:p>
            <w:pPr>
              <w:ind w:left="-157" w:right="-17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Размер</w:t>
            </w:r>
            <w:r>
              <w:rPr>
                <w:color w:val="000000"/>
              </w:rPr>
            </w:r>
          </w:p>
          <w:p>
            <w:pPr>
              <w:ind w:left="-157" w:right="-17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СЗЗ,</w:t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8" w:type="pct"/>
            <w:textDirection w:val="lrTb"/>
            <w:noWrap w:val="false"/>
          </w:tcPr>
          <w:p>
            <w:pPr>
              <w:ind w:left="-52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Эксплуатирующая организация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Технологические решения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Полигон ТБО «</w:t>
            </w:r>
            <w:r>
              <w:rPr>
                <w:color w:val="000000"/>
              </w:rPr>
              <w:t xml:space="preserve">Софроны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82" w:type="pct"/>
            <w:textDirection w:val="lrTb"/>
            <w:noWrap w:val="false"/>
          </w:tcPr>
          <w:p>
            <w:pPr>
              <w:ind w:left="-107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размещение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8" w:type="pct"/>
            <w:textDirection w:val="lrTb"/>
            <w:noWrap w:val="false"/>
          </w:tcPr>
          <w:p>
            <w:pPr>
              <w:ind w:left="-52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 «Полигон»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Полигон д. Ключики 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82" w:type="pct"/>
            <w:textDirection w:val="lrTb"/>
            <w:noWrap w:val="false"/>
          </w:tcPr>
          <w:p>
            <w:pPr>
              <w:ind w:left="-107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размещение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8" w:type="pct"/>
            <w:textDirection w:val="lrTb"/>
            <w:noWrap w:val="false"/>
          </w:tcPr>
          <w:p>
            <w:pPr>
              <w:ind w:left="-52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ООО «Транс-Эффект»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pct"/>
            <w:textDirection w:val="lrTb"/>
            <w:noWrap w:val="false"/>
          </w:tcPr>
          <w:p>
            <w:pPr>
              <w:ind w:right="-109"/>
              <w:rPr>
                <w:color w:val="000000"/>
              </w:rPr>
            </w:pPr>
            <w:r>
              <w:rPr>
                <w:color w:val="000000"/>
              </w:rPr>
              <w:t xml:space="preserve">Полигон г. Краснокамска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82" w:type="pct"/>
            <w:textDirection w:val="lrTb"/>
            <w:noWrap w:val="false"/>
          </w:tcPr>
          <w:p>
            <w:pPr>
              <w:ind w:left="-107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размещение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8" w:type="pct"/>
            <w:textDirection w:val="lrTb"/>
            <w:noWrap w:val="false"/>
          </w:tcPr>
          <w:p>
            <w:pPr>
              <w:ind w:left="-52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ООО «</w:t>
            </w:r>
            <w:r>
              <w:rPr>
                <w:color w:val="000000"/>
              </w:rPr>
              <w:t xml:space="preserve">Буматика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1" w:type="pct"/>
            <w:textDirection w:val="lrTb"/>
            <w:noWrap w:val="false"/>
          </w:tcPr>
          <w:p>
            <w:pPr>
              <w:ind w:firstLine="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МСК с. Лобаново 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82" w:type="pct"/>
            <w:textDirection w:val="lrTb"/>
            <w:noWrap w:val="false"/>
          </w:tcPr>
          <w:p>
            <w:pPr>
              <w:ind w:left="-107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обработка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8" w:type="pct"/>
            <w:textDirection w:val="lrTb"/>
            <w:noWrap w:val="false"/>
          </w:tcPr>
          <w:p>
            <w:pPr>
              <w:ind w:left="-52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ООО «</w:t>
            </w:r>
            <w:r>
              <w:rPr>
                <w:color w:val="000000"/>
              </w:rPr>
              <w:t xml:space="preserve">УралРегионСнаб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1" w:type="pct"/>
            <w:textDirection w:val="lrTb"/>
            <w:noWrap w:val="false"/>
          </w:tcPr>
          <w:p>
            <w:pPr>
              <w:ind w:left="-117" w:right="-1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Автоматическая сортировка, сепарация, автоматическое прессование</w:t>
            </w:r>
            <w:r>
              <w:rPr>
                <w:color w:val="000000"/>
              </w:rPr>
            </w:r>
          </w:p>
        </w:tc>
      </w:tr>
    </w:tbl>
    <w:p>
      <w:pPr>
        <w:pStyle w:val="157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</w:r>
      <w:r>
        <w:rPr>
          <w:rFonts w:asciiTheme="minorHAnsi" w:hAnsiTheme="minorHAnsi" w:cstheme="minorHAnsi"/>
          <w:szCs w:val="24"/>
        </w:rPr>
      </w:r>
    </w:p>
    <w:p>
      <w:pPr>
        <w:pStyle w:val="157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---------------------------</w:t>
      </w:r>
      <w:r>
        <w:rPr>
          <w:rFonts w:asciiTheme="minorHAnsi" w:hAnsiTheme="minorHAnsi" w:cstheme="minorHAnsi"/>
          <w:szCs w:val="24"/>
        </w:rPr>
      </w:r>
    </w:p>
    <w:p>
      <w:pPr>
        <w:pStyle w:val="157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Примечание. Источник информации – </w:t>
      </w:r>
      <w:bookmarkStart w:id="284" w:name="_Hlk166592991"/>
      <w:r>
        <w:rPr>
          <w:rFonts w:asciiTheme="minorHAnsi" w:hAnsiTheme="minorHAnsi" w:cstheme="minorHAnsi"/>
          <w:szCs w:val="24"/>
        </w:rPr>
        <w:t xml:space="preserve">Территориальная схема обращения с отходами в Пермском крае (приказ Министерства строительства и жилищно-коммунального хозяйства Пермского края от 09.12.2016 № СЭД-35-01-12-503</w:t>
      </w:r>
      <w:bookmarkEnd w:id="284"/>
      <w:r>
        <w:rPr>
          <w:rFonts w:asciiTheme="minorHAnsi" w:hAnsiTheme="minorHAnsi" w:cstheme="minorHAnsi"/>
          <w:szCs w:val="24"/>
        </w:rPr>
        <w:t xml:space="preserve">). </w:t>
      </w:r>
      <w:r>
        <w:rPr>
          <w:rFonts w:asciiTheme="minorHAnsi" w:hAnsiTheme="minorHAnsi" w:cstheme="minorHAnsi"/>
          <w:szCs w:val="24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2023 год в городе Перми насчитывалось 35 162 источника образования ТКО, из которых большая часть приходилась на юридических лиц и </w:t>
      </w:r>
      <w:r>
        <w:rPr>
          <w:sz w:val="28"/>
          <w:szCs w:val="28"/>
        </w:rPr>
        <w:t xml:space="preserve">индивидуальных предпринимателей. Согласно данным регионального оператора охват населения услугой «сбор и вывоз ТКО» составляет 100 %.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Сбор ТКО осуществляется в контейнеры, установленные в специально отведенных местах; вывоз – специализированным автотранспортом. Транспортировка ТКО осуществляется на планово-регулярной основе в сроки, предусмотренные санитарными правилами.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По данным регионального оператора в 2023 году насчитывалось 6 082 контейнерные площадки. Их количество в рассматриваемый период заметно увеличилось, но по-прежнему не хватает из-за отсутствия в дост</w:t>
      </w:r>
      <w:r>
        <w:rPr>
          <w:sz w:val="28"/>
          <w:szCs w:val="28"/>
        </w:rPr>
        <w:t xml:space="preserve">аточном количестве мест для обустройства контейнерных площадок в соответствии с нормативными требованиями ввиду плотной жилой застройки, узких дворов, отсутствия проездов и пространства для маневрирования мусоровозов. Ситуация усугубляется отсутствием у ча</w:t>
      </w:r>
      <w:r>
        <w:rPr>
          <w:sz w:val="28"/>
          <w:szCs w:val="28"/>
        </w:rPr>
        <w:t xml:space="preserve">сти абонентов собственных контейнерных площадок, оборудованных в соответствии с нормативными требованиями. По данным Реестра мест накопления (площадок) от 07.11.2023 (далее – Реестр) количество контейнерных площадок – 3 396 общей площадью примерно 51 тыс. </w:t>
      </w:r>
      <w:r>
        <w:rPr>
          <w:rFonts w:eastAsia="Times New Roman"/>
          <w:iCs w:val="0"/>
          <w:sz w:val="28"/>
          <w:szCs w:val="28"/>
          <w:lang w:eastAsia="ru-RU"/>
        </w:rPr>
        <w:t xml:space="preserve">кв. м</w:t>
      </w:r>
      <w:r>
        <w:rPr>
          <w:sz w:val="28"/>
          <w:szCs w:val="28"/>
        </w:rPr>
        <w:t xml:space="preserve">. Покрытия контейнерных площадок выполнены из бетона и асфальта. Наибольшее количество мест накопления в Свердловском районе (695); наименьшее – в п.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 (43). Прочие абоненты имеют наибольший удельный вес – 50,4 % и 44,7 % при оценке по количеству и площади соответственно.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По данным регионального оператора на контейнерных площадках в общей сложности размещалось (по состоянию на </w:t>
      </w:r>
      <w:r>
        <w:rPr>
          <w:sz w:val="28"/>
          <w:szCs w:val="28"/>
        </w:rPr>
        <w:t xml:space="preserve">07.11.2023) 9 178 контейнеров. Согласно сведениям из автоматизированной системы «Управление отходами» бункеры для сбора крупногабаритного мусора на территории городского округа отсутствуют. Согласно данным Реестра количество контейнеров и бункеров – 8 198.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/>
      <w:bookmarkStart w:id="285" w:name="_Hlk172568624"/>
      <w:r>
        <w:rPr>
          <w:sz w:val="28"/>
          <w:szCs w:val="28"/>
        </w:rPr>
        <w:t xml:space="preserve">В городе Перми налажен сбор вторичных ресурсов – установлены контейнеры для сбора макулатуры, металла, стекла и пластика. В настоящее время раздельное накопление ТКО происходит </w:t>
      </w:r>
      <w:r>
        <w:rPr>
          <w:sz w:val="28"/>
          <w:szCs w:val="28"/>
        </w:rPr>
        <w:t xml:space="preserve">двухконтейнерным</w:t>
      </w:r>
      <w:r>
        <w:rPr>
          <w:sz w:val="28"/>
          <w:szCs w:val="28"/>
        </w:rPr>
        <w:t xml:space="preserve"> способом: «Мокрая» фракция (смешанные отходы – органические, смет и др.), «сухие» фракции (вторичное сырье). Между тем, сохраняется проблема складирования в контейнеры отходов, не относящихся к ТКО (строительный мусор, автомобильные шины и др.).</w:t>
      </w:r>
      <w:bookmarkEnd w:id="285"/>
      <w:r/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Вывоз ТКО осуществляется специализированными автотранспортными средствами (мусоровозами) организаций, которые имеют соответствующие заключенные договоры с региональным оператором, действующие до 31.12.2024. </w:t>
      </w:r>
      <w:bookmarkStart w:id="286" w:name="_Hlk172634922"/>
      <w:r>
        <w:rPr>
          <w:sz w:val="28"/>
          <w:szCs w:val="28"/>
        </w:rPr>
        <w:t xml:space="preserve">Смешанные ТКО в подавляющем большинстве случаев направляются на объекты размещения отходов. Незначительная часть смешанных и все раздельно собранные ТКО направляются на объекты обработки, где проходят сортировку, а впоследствии – переработку. </w:t>
      </w:r>
      <w:bookmarkEnd w:id="286"/>
      <w:r>
        <w:rPr>
          <w:sz w:val="28"/>
          <w:szCs w:val="28"/>
        </w:rPr>
        <w:t xml:space="preserve">В общей сложно</w:t>
      </w:r>
      <w:r>
        <w:rPr>
          <w:sz w:val="28"/>
          <w:szCs w:val="28"/>
        </w:rPr>
        <w:t xml:space="preserve">сти на территории города Перми вывоз ТКО в 2023 году осуществляли специализированные автотранспортные средства в количестве 141 ед. общей вместимостью стационарных кузовов 2 075,7 куб. м. Парк специализированных автотранспортных средств относительно новый </w:t>
      </w:r>
      <w:r>
        <w:rPr>
          <w:sz w:val="28"/>
          <w:szCs w:val="28"/>
        </w:rPr>
        <w:t xml:space="preserve">– средний срок службы 4,25 года. Основная часть мусоровозов с задней загрузкой; часть автотехники использует съемные кузова.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/>
      <w:bookmarkStart w:id="287" w:name="_Toc119947495"/>
      <w:r/>
      <w:bookmarkStart w:id="288" w:name="_Toc175216009"/>
      <w:r>
        <w:rPr>
          <w:b/>
          <w:bCs/>
          <w:sz w:val="28"/>
          <w:szCs w:val="28"/>
        </w:rPr>
        <w:t xml:space="preserve">2.6.3 Балансы мощности и ресурса</w:t>
      </w:r>
      <w:bookmarkEnd w:id="287"/>
      <w:r/>
      <w:bookmarkEnd w:id="288"/>
      <w:r/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/>
      <w:bookmarkStart w:id="289" w:name="_Hlk154308453"/>
      <w:r>
        <w:rPr>
          <w:sz w:val="28"/>
          <w:szCs w:val="28"/>
        </w:rPr>
        <w:t xml:space="preserve">Объем образованных твердых коммунальных отходов в 2023 году составил 260,3 тыс. тонн, в том числе: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население – 231,8 тыс. тонн, из него:</w:t>
      </w:r>
      <w:r>
        <w:rPr>
          <w:sz w:val="28"/>
          <w:szCs w:val="28"/>
        </w:rPr>
      </w:r>
    </w:p>
    <w:p>
      <w:pPr>
        <w:pStyle w:val="1573"/>
        <w:ind w:left="0" w:firstLine="709"/>
        <w:rPr>
          <w:szCs w:val="28"/>
        </w:rPr>
      </w:pPr>
      <w:r>
        <w:rPr>
          <w:szCs w:val="28"/>
        </w:rPr>
        <w:t xml:space="preserve">проживающее в МКД – 185,9 тыс. тонн;</w:t>
      </w:r>
      <w:r>
        <w:rPr>
          <w:szCs w:val="28"/>
        </w:rPr>
      </w:r>
    </w:p>
    <w:p>
      <w:pPr>
        <w:pStyle w:val="1573"/>
        <w:ind w:left="0" w:firstLine="709"/>
        <w:rPr>
          <w:szCs w:val="28"/>
        </w:rPr>
      </w:pPr>
      <w:r>
        <w:rPr>
          <w:szCs w:val="28"/>
        </w:rPr>
        <w:t xml:space="preserve">проживающее в ИОЗ – 45,9 тыс. тонн;</w:t>
      </w:r>
      <w:r>
        <w:rPr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прочие потребители – 28,5 тыс. тонн.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/>
      <w:bookmarkStart w:id="290" w:name="_Ref159682725"/>
      <w:r>
        <w:rPr>
          <w:sz w:val="28"/>
          <w:szCs w:val="28"/>
        </w:rPr>
        <w:t xml:space="preserve">Все твердые коммунальные отходы вывозятся за пределы города Перми, где частично проходят обработку и утилизируются.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44"/>
        <w:jc w:val="right"/>
        <w:rPr>
          <w:b/>
          <w:bCs/>
          <w:sz w:val="28"/>
          <w:szCs w:val="28"/>
        </w:rPr>
      </w:pPr>
      <w:r/>
      <w:bookmarkStart w:id="291" w:name="_Toc175216105"/>
      <w:r>
        <w:rPr>
          <w:b/>
          <w:bCs/>
          <w:sz w:val="28"/>
          <w:szCs w:val="28"/>
        </w:rPr>
        <w:t xml:space="preserve">Таблица 2.29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Баланс </w:t>
      </w:r>
      <w:bookmarkEnd w:id="290"/>
      <w:r/>
      <w:bookmarkEnd w:id="291"/>
      <w:r>
        <w:rPr>
          <w:b/>
          <w:bCs/>
          <w:sz w:val="28"/>
          <w:szCs w:val="28"/>
        </w:rPr>
        <w:t xml:space="preserve">твердых коммунальных отходов</w:t>
      </w:r>
      <w:r>
        <w:rPr>
          <w:b/>
          <w:bCs/>
          <w:sz w:val="28"/>
          <w:szCs w:val="28"/>
        </w:rPr>
      </w:r>
    </w:p>
    <w:p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tbl>
      <w:tblPr>
        <w:tblStyle w:val="988"/>
        <w:tblW w:w="5000" w:type="pct"/>
        <w:jc w:val="center"/>
        <w:tblLook w:val="04A0" w:firstRow="1" w:lastRow="0" w:firstColumn="1" w:lastColumn="0" w:noHBand="0" w:noVBand="1"/>
      </w:tblPr>
      <w:tblGrid>
        <w:gridCol w:w="3322"/>
        <w:gridCol w:w="1459"/>
        <w:gridCol w:w="1068"/>
        <w:gridCol w:w="1072"/>
        <w:gridCol w:w="1072"/>
        <w:gridCol w:w="1072"/>
        <w:gridCol w:w="1072"/>
      </w:tblGrid>
      <w:tr>
        <w:tblPrEx/>
        <w:trPr>
          <w:jc w:val="center"/>
          <w:tblHeader/>
        </w:trPr>
        <w:tc>
          <w:tcPr>
            <w:tcW w:w="163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Показатели</w:t>
            </w:r>
            <w:r>
              <w:rPr>
                <w:color w:val="000000"/>
              </w:rPr>
            </w:r>
          </w:p>
        </w:tc>
        <w:tc>
          <w:tcPr>
            <w:tcW w:w="71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Ед. изм.</w:t>
            </w:r>
            <w:r>
              <w:rPr>
                <w:color w:val="000000"/>
              </w:rPr>
            </w:r>
          </w:p>
        </w:tc>
        <w:tc>
          <w:tcPr>
            <w:tcW w:w="52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2019</w:t>
            </w:r>
            <w:r>
              <w:rPr>
                <w:color w:val="000000"/>
              </w:rPr>
            </w:r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</w:t>
            </w:r>
            <w:r>
              <w:rPr>
                <w:color w:val="000000"/>
              </w:rPr>
            </w:r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2021</w:t>
            </w:r>
            <w:r>
              <w:rPr>
                <w:color w:val="000000"/>
              </w:rPr>
            </w:r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2022</w:t>
            </w:r>
            <w:r>
              <w:rPr>
                <w:color w:val="000000"/>
              </w:rPr>
            </w:r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2023</w:t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tcW w:w="163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Всего, в том числе:</w:t>
            </w:r>
            <w:r>
              <w:rPr>
                <w:color w:val="000000"/>
              </w:rPr>
            </w:r>
          </w:p>
        </w:tc>
        <w:tc>
          <w:tcPr>
            <w:tcW w:w="719" w:type="pct"/>
            <w:textDirection w:val="lrTb"/>
            <w:noWrap w:val="false"/>
          </w:tcPr>
          <w:p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 xml:space="preserve">тыс. т</w:t>
            </w:r>
            <w:r>
              <w:rPr>
                <w:color w:val="000000"/>
                <w:vertAlign w:val="superscript"/>
              </w:rPr>
            </w:r>
          </w:p>
        </w:tc>
        <w:tc>
          <w:tcPr>
            <w:tcW w:w="527" w:type="pct"/>
            <w:textDirection w:val="lrTb"/>
            <w:noWrap w:val="false"/>
          </w:tcPr>
          <w:p>
            <w:pPr>
              <w:jc w:val="center"/>
            </w:pPr>
            <w:r>
              <w:t xml:space="preserve">289,1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300,3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306,7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305,4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260,3</w:t>
            </w:r>
            <w:r/>
          </w:p>
        </w:tc>
      </w:tr>
      <w:tr>
        <w:tblPrEx/>
        <w:trPr>
          <w:jc w:val="center"/>
        </w:trPr>
        <w:tc>
          <w:tcPr>
            <w:tcW w:w="1638" w:type="pct"/>
            <w:textDirection w:val="lrTb"/>
            <w:noWrap w:val="false"/>
          </w:tcPr>
          <w:p>
            <w:pPr>
              <w:ind w:firstLine="176"/>
              <w:rPr>
                <w:color w:val="000000"/>
              </w:rPr>
            </w:pPr>
            <w:r>
              <w:rPr>
                <w:color w:val="000000"/>
              </w:rPr>
              <w:t xml:space="preserve">население, из него:</w:t>
            </w:r>
            <w:r>
              <w:rPr>
                <w:color w:val="000000"/>
              </w:rPr>
            </w:r>
          </w:p>
        </w:tc>
        <w:tc>
          <w:tcPr>
            <w:tcW w:w="719" w:type="pct"/>
            <w:textDirection w:val="lrTb"/>
            <w:noWrap w:val="false"/>
          </w:tcPr>
          <w:p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 xml:space="preserve">тыс. т</w:t>
            </w:r>
            <w:r>
              <w:rPr>
                <w:color w:val="000000"/>
                <w:vertAlign w:val="superscript"/>
              </w:rPr>
            </w:r>
          </w:p>
        </w:tc>
        <w:tc>
          <w:tcPr>
            <w:tcW w:w="527" w:type="pct"/>
            <w:textDirection w:val="lrTb"/>
            <w:noWrap w:val="false"/>
          </w:tcPr>
          <w:p>
            <w:pPr>
              <w:jc w:val="center"/>
            </w:pPr>
            <w:r>
              <w:t xml:space="preserve">238,1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238,4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237,1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235,6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231,8</w:t>
            </w:r>
            <w:r/>
          </w:p>
        </w:tc>
      </w:tr>
      <w:tr>
        <w:tblPrEx/>
        <w:trPr>
          <w:jc w:val="center"/>
        </w:trPr>
        <w:tc>
          <w:tcPr>
            <w:tcW w:w="1638" w:type="pct"/>
            <w:textDirection w:val="lrTb"/>
            <w:noWrap w:val="false"/>
          </w:tcPr>
          <w:p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 xml:space="preserve">в МКД</w:t>
            </w:r>
            <w:r>
              <w:rPr>
                <w:color w:val="000000"/>
              </w:rPr>
            </w:r>
          </w:p>
        </w:tc>
        <w:tc>
          <w:tcPr>
            <w:tcW w:w="71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тыс. т</w:t>
            </w:r>
            <w:r>
              <w:rPr>
                <w:color w:val="000000"/>
              </w:rPr>
            </w:r>
          </w:p>
        </w:tc>
        <w:tc>
          <w:tcPr>
            <w:tcW w:w="527" w:type="pct"/>
            <w:textDirection w:val="lrTb"/>
            <w:noWrap w:val="false"/>
          </w:tcPr>
          <w:p>
            <w:pPr>
              <w:jc w:val="center"/>
            </w:pPr>
            <w:r>
              <w:t xml:space="preserve">191,8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191,8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190,5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189,3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185,9</w:t>
            </w:r>
            <w:r/>
          </w:p>
        </w:tc>
      </w:tr>
      <w:tr>
        <w:tblPrEx/>
        <w:trPr>
          <w:jc w:val="center"/>
        </w:trPr>
        <w:tc>
          <w:tcPr>
            <w:tcW w:w="1638" w:type="pct"/>
            <w:textDirection w:val="lrTb"/>
            <w:noWrap w:val="false"/>
          </w:tcPr>
          <w:p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 xml:space="preserve">в ИОЗ</w:t>
            </w:r>
            <w:r>
              <w:rPr>
                <w:color w:val="000000"/>
              </w:rPr>
            </w:r>
          </w:p>
        </w:tc>
        <w:tc>
          <w:tcPr>
            <w:tcW w:w="71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тыс. т</w:t>
            </w:r>
            <w:r>
              <w:rPr>
                <w:color w:val="000000"/>
              </w:rPr>
            </w:r>
          </w:p>
        </w:tc>
        <w:tc>
          <w:tcPr>
            <w:tcW w:w="527" w:type="pct"/>
            <w:textDirection w:val="lrTb"/>
            <w:noWrap w:val="false"/>
          </w:tcPr>
          <w:p>
            <w:pPr>
              <w:jc w:val="center"/>
            </w:pPr>
            <w:r>
              <w:t xml:space="preserve">46,3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46,6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46,6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46,3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45,9</w:t>
            </w:r>
            <w:r/>
          </w:p>
        </w:tc>
      </w:tr>
      <w:tr>
        <w:tblPrEx/>
        <w:trPr>
          <w:jc w:val="center"/>
        </w:trPr>
        <w:tc>
          <w:tcPr>
            <w:tcW w:w="1638" w:type="pct"/>
            <w:textDirection w:val="lrTb"/>
            <w:noWrap w:val="false"/>
          </w:tcPr>
          <w:p>
            <w:pPr>
              <w:ind w:firstLine="176"/>
              <w:rPr>
                <w:color w:val="000000"/>
              </w:rPr>
            </w:pPr>
            <w:r>
              <w:rPr>
                <w:color w:val="000000"/>
              </w:rPr>
              <w:t xml:space="preserve">прочие потребители</w:t>
            </w:r>
            <w:r>
              <w:rPr>
                <w:color w:val="000000"/>
              </w:rPr>
            </w:r>
          </w:p>
        </w:tc>
        <w:tc>
          <w:tcPr>
            <w:tcW w:w="71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тыс. т</w:t>
            </w:r>
            <w:r>
              <w:rPr>
                <w:color w:val="000000"/>
              </w:rPr>
            </w:r>
          </w:p>
        </w:tc>
        <w:tc>
          <w:tcPr>
            <w:tcW w:w="527" w:type="pct"/>
            <w:textDirection w:val="lrTb"/>
            <w:noWrap w:val="false"/>
          </w:tcPr>
          <w:p>
            <w:pPr>
              <w:jc w:val="center"/>
            </w:pPr>
            <w:r>
              <w:t xml:space="preserve">51,0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61,9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69,6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69,8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28,5</w:t>
            </w:r>
            <w:r/>
          </w:p>
        </w:tc>
      </w:tr>
      <w:tr>
        <w:tblPrEx/>
        <w:trPr>
          <w:jc w:val="center"/>
        </w:trPr>
        <w:tc>
          <w:tcPr>
            <w:tcW w:w="1638" w:type="pct"/>
            <w:textDirection w:val="lrTb"/>
            <w:noWrap w:val="false"/>
          </w:tcPr>
          <w:p>
            <w:pPr>
              <w:ind w:left="34"/>
              <w:rPr>
                <w:bCs/>
              </w:rPr>
            </w:pPr>
            <w:r>
              <w:rPr>
                <w:bCs/>
              </w:rPr>
              <w:t xml:space="preserve">Вывезено за пределы </w:t>
            </w:r>
            <w:r>
              <w:rPr>
                <w:bCs/>
              </w:rPr>
            </w:r>
          </w:p>
          <w:p>
            <w:pPr>
              <w:ind w:left="34"/>
              <w:rPr>
                <w:bCs/>
              </w:rPr>
            </w:pPr>
            <w:r>
              <w:rPr>
                <w:bCs/>
              </w:rPr>
              <w:t xml:space="preserve">г. Перми</w:t>
            </w:r>
            <w:r>
              <w:rPr>
                <w:bCs/>
              </w:rPr>
            </w:r>
          </w:p>
        </w:tc>
        <w:tc>
          <w:tcPr>
            <w:tcW w:w="719" w:type="pct"/>
            <w:textDirection w:val="lrTb"/>
            <w:noWrap w:val="false"/>
          </w:tcPr>
          <w:p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 xml:space="preserve">тыс. т</w:t>
            </w:r>
            <w:r>
              <w:rPr>
                <w:color w:val="000000"/>
                <w:vertAlign w:val="superscript"/>
              </w:rPr>
            </w:r>
          </w:p>
        </w:tc>
        <w:tc>
          <w:tcPr>
            <w:tcW w:w="527" w:type="pct"/>
            <w:textDirection w:val="lrTb"/>
            <w:noWrap w:val="false"/>
          </w:tcPr>
          <w:p>
            <w:pPr>
              <w:jc w:val="center"/>
            </w:pPr>
            <w:r>
              <w:t xml:space="preserve">289,1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300,3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306,7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305,4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260,3</w:t>
            </w:r>
            <w:r/>
          </w:p>
        </w:tc>
      </w:tr>
      <w:tr>
        <w:tblPrEx/>
        <w:trPr>
          <w:jc w:val="center"/>
        </w:trPr>
        <w:tc>
          <w:tcPr>
            <w:tcW w:w="1638" w:type="pct"/>
            <w:textDirection w:val="lrTb"/>
            <w:noWrap w:val="false"/>
          </w:tcPr>
          <w:p>
            <w:pPr>
              <w:ind w:left="34"/>
              <w:rPr>
                <w:bCs/>
              </w:rPr>
            </w:pPr>
            <w:r>
              <w:rPr>
                <w:bCs/>
              </w:rPr>
              <w:t xml:space="preserve">Ввезено на территорию </w:t>
            </w:r>
            <w:r>
              <w:rPr>
                <w:bCs/>
              </w:rPr>
            </w:r>
          </w:p>
          <w:p>
            <w:pPr>
              <w:ind w:left="34"/>
              <w:rPr>
                <w:bCs/>
              </w:rPr>
            </w:pPr>
            <w:r>
              <w:rPr>
                <w:bCs/>
              </w:rPr>
              <w:t xml:space="preserve">г. Перми</w:t>
            </w:r>
            <w:r>
              <w:rPr>
                <w:bCs/>
              </w:rPr>
            </w:r>
          </w:p>
        </w:tc>
        <w:tc>
          <w:tcPr>
            <w:tcW w:w="71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тыс. т</w:t>
            </w:r>
            <w:r>
              <w:rPr>
                <w:color w:val="000000"/>
              </w:rPr>
            </w:r>
          </w:p>
        </w:tc>
        <w:tc>
          <w:tcPr>
            <w:tcW w:w="527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>
          <w:jc w:val="center"/>
        </w:trPr>
        <w:tc>
          <w:tcPr>
            <w:tcW w:w="1638" w:type="pct"/>
            <w:textDirection w:val="lrTb"/>
            <w:noWrap w:val="false"/>
          </w:tcPr>
          <w:p>
            <w:pPr>
              <w:ind w:left="34"/>
              <w:rPr>
                <w:bCs/>
              </w:rPr>
            </w:pPr>
            <w:r>
              <w:rPr>
                <w:bCs/>
              </w:rPr>
              <w:t xml:space="preserve">Утилизировано в г. Перми</w:t>
            </w:r>
            <w:r>
              <w:rPr>
                <w:bCs/>
              </w:rPr>
            </w:r>
          </w:p>
        </w:tc>
        <w:tc>
          <w:tcPr>
            <w:tcW w:w="719" w:type="pct"/>
            <w:textDirection w:val="lrTb"/>
            <w:noWrap w:val="false"/>
          </w:tcPr>
          <w:p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 xml:space="preserve">тыс. т</w:t>
            </w:r>
            <w:r>
              <w:rPr>
                <w:color w:val="000000"/>
                <w:vertAlign w:val="superscript"/>
              </w:rPr>
            </w:r>
          </w:p>
        </w:tc>
        <w:tc>
          <w:tcPr>
            <w:tcW w:w="527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>
          <w:jc w:val="center"/>
        </w:trPr>
        <w:tc>
          <w:tcPr>
            <w:tcW w:w="1638" w:type="pct"/>
            <w:textDirection w:val="lrTb"/>
            <w:noWrap w:val="false"/>
          </w:tcPr>
          <w:p>
            <w:pPr>
              <w:ind w:left="34"/>
              <w:rPr>
                <w:bCs/>
              </w:rPr>
            </w:pPr>
            <w:r>
              <w:rPr>
                <w:bCs/>
              </w:rPr>
              <w:t xml:space="preserve">Складировано в г. Перми</w:t>
            </w:r>
            <w:r>
              <w:rPr>
                <w:bCs/>
              </w:rPr>
            </w:r>
          </w:p>
        </w:tc>
        <w:tc>
          <w:tcPr>
            <w:tcW w:w="71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тыс. т</w:t>
            </w:r>
            <w:r>
              <w:rPr>
                <w:color w:val="000000"/>
              </w:rPr>
            </w:r>
          </w:p>
        </w:tc>
        <w:tc>
          <w:tcPr>
            <w:tcW w:w="527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</w:tbl>
    <w:p>
      <w:pPr>
        <w:ind w:firstLine="709"/>
        <w:jc w:val="both"/>
      </w:pPr>
      <w:r/>
      <w:r/>
    </w:p>
    <w:p>
      <w:pPr>
        <w:ind w:firstLine="709"/>
        <w:jc w:val="both"/>
      </w:pPr>
      <w:r>
        <w:t xml:space="preserve">---------------------------</w:t>
      </w:r>
      <w:r/>
    </w:p>
    <w:p>
      <w:pPr>
        <w:ind w:firstLine="709"/>
        <w:jc w:val="both"/>
      </w:pPr>
      <w:r>
        <w:t xml:space="preserve">Примечание. Источники информации – сведения АО «ПРО ТКО».</w:t>
      </w:r>
      <w:r/>
    </w:p>
    <w:p>
      <w:pPr>
        <w:jc w:val="center"/>
        <w:rPr>
          <w:b/>
          <w:bCs/>
          <w:sz w:val="28"/>
          <w:szCs w:val="28"/>
        </w:rPr>
      </w:pPr>
      <w:r/>
      <w:bookmarkStart w:id="292" w:name="_Toc119947496"/>
      <w:r/>
      <w:bookmarkStart w:id="293" w:name="_Toc175216010"/>
      <w:r/>
      <w:bookmarkEnd w:id="289"/>
      <w:r/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keepLines/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2.6.4 Доля поставки ресурса по приборам учета</w:t>
      </w:r>
      <w:bookmarkEnd w:id="292"/>
      <w:r/>
      <w:bookmarkEnd w:id="293"/>
      <w:r/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ТКО размер платы за предоставляемые коммунальные услуги рассчитывается на основании установленных нормативов. Годовые нормативы накопления ТКО утверждены </w:t>
      </w:r>
      <w:bookmarkStart w:id="294" w:name="_Hlk166593036"/>
      <w:r>
        <w:rPr>
          <w:sz w:val="28"/>
          <w:szCs w:val="28"/>
        </w:rPr>
        <w:t xml:space="preserve">приказом Министерства жилищно-коммунального хозяйства и благоустройства Пермского края от 27.10.2023 № 24-04-01-04-302</w:t>
      </w:r>
      <w:bookmarkEnd w:id="294"/>
      <w:r>
        <w:rPr>
          <w:sz w:val="28"/>
          <w:szCs w:val="28"/>
        </w:rPr>
        <w:t xml:space="preserve">. На одного проживающего в МКД он равняется 1,7642 куб. м; в индивидуальных домах – 2,0577 куб. м.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/>
      <w:bookmarkStart w:id="295" w:name="_Toc119947497"/>
      <w:r/>
      <w:bookmarkStart w:id="296" w:name="_Toc175216011"/>
      <w:r>
        <w:rPr>
          <w:b/>
          <w:bCs/>
          <w:sz w:val="28"/>
          <w:szCs w:val="28"/>
        </w:rPr>
        <w:t xml:space="preserve">2.6.5 Зоны действия источников ресурсов</w:t>
      </w:r>
      <w:bookmarkEnd w:id="295"/>
      <w:r/>
      <w:bookmarkEnd w:id="296"/>
      <w:r/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потоках твердых коммунальных отходов, суммарно принимаемых для обработки, утилизации, обезвреживания, размещения, представлена в таблице</w:t>
      </w:r>
      <w:bookmarkStart w:id="297" w:name="_Toc175216106"/>
      <w:r>
        <w:rPr>
          <w:sz w:val="28"/>
          <w:szCs w:val="28"/>
        </w:rPr>
        <w:t xml:space="preserve"> 2.30.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Таблица 2.30</w:t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Потоки твердых коммунальных отходов, суммарно принимаемых для обработки, утилизации, обезвреживания, размещения</w:t>
      </w:r>
      <w:bookmarkEnd w:id="297"/>
      <w:r/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88"/>
        <w:tblW w:w="5000" w:type="pct"/>
        <w:tblLook w:val="04A0" w:firstRow="1" w:lastRow="0" w:firstColumn="1" w:lastColumn="0" w:noHBand="0" w:noVBand="1"/>
      </w:tblPr>
      <w:tblGrid>
        <w:gridCol w:w="459"/>
        <w:gridCol w:w="4178"/>
        <w:gridCol w:w="2609"/>
        <w:gridCol w:w="2891"/>
      </w:tblGrid>
      <w:tr>
        <w:tblPrEx/>
        <w:trPr>
          <w:trHeight w:val="20"/>
          <w:tblHeader/>
        </w:trPr>
        <w:tc>
          <w:tcPr>
            <w:tcW w:w="226" w:type="pct"/>
            <w:vMerge w:val="restart"/>
            <w:textDirection w:val="lrTb"/>
            <w:noWrap w:val="false"/>
          </w:tcPr>
          <w:p>
            <w:pPr>
              <w:pStyle w:val="1570"/>
              <w:ind w:left="-117" w:right="-106" w:firstLine="0"/>
              <w:jc w:val="center"/>
              <w:rPr>
                <w:rFonts w:asciiTheme="minorHAnsi" w:hAnsiTheme="minorHAnsi" w:cstheme="minorHAnsi"/>
                <w:szCs w:val="24"/>
              </w:rPr>
            </w:pPr>
            <w:r/>
            <w:bookmarkStart w:id="298" w:name="_Hlk172218995"/>
            <w:r>
              <w:rPr>
                <w:rFonts w:asciiTheme="minorHAnsi" w:hAnsiTheme="minorHAnsi" w:cstheme="minorHAnsi"/>
                <w:szCs w:val="24"/>
              </w:rPr>
              <w:t xml:space="preserve">№</w:t>
            </w:r>
            <w:r>
              <w:rPr>
                <w:rFonts w:asciiTheme="minorHAnsi" w:hAnsiTheme="minorHAnsi" w:cstheme="minorHAnsi"/>
                <w:szCs w:val="24"/>
              </w:rPr>
            </w:r>
          </w:p>
        </w:tc>
        <w:tc>
          <w:tcPr>
            <w:tcW w:w="2061" w:type="pct"/>
            <w:vMerge w:val="restart"/>
            <w:textDirection w:val="lrTb"/>
            <w:noWrap w:val="false"/>
          </w:tcPr>
          <w:p>
            <w:pPr>
              <w:pStyle w:val="1570"/>
              <w:ind w:left="-111" w:right="-109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Наименование группы территорий</w:t>
            </w:r>
            <w:r>
              <w:rPr>
                <w:rFonts w:asciiTheme="minorHAnsi" w:hAnsiTheme="minorHAnsi" w:cstheme="minorHAnsi"/>
                <w:szCs w:val="24"/>
              </w:rPr>
            </w:r>
          </w:p>
        </w:tc>
        <w:tc>
          <w:tcPr>
            <w:gridSpan w:val="2"/>
            <w:tcW w:w="2714" w:type="pct"/>
            <w:textDirection w:val="lrTb"/>
            <w:noWrap w:val="false"/>
          </w:tcPr>
          <w:p>
            <w:pPr>
              <w:pStyle w:val="1570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Объекты по обращению с отходами</w:t>
            </w:r>
            <w:r>
              <w:rPr>
                <w:rFonts w:asciiTheme="minorHAnsi" w:hAnsiTheme="minorHAnsi" w:cstheme="minorHAnsi"/>
                <w:szCs w:val="24"/>
              </w:rPr>
            </w:r>
          </w:p>
        </w:tc>
      </w:tr>
      <w:tr>
        <w:tblPrEx/>
        <w:trPr>
          <w:trHeight w:val="20"/>
          <w:tblHeader/>
        </w:trPr>
        <w:tc>
          <w:tcPr>
            <w:tcW w:w="226" w:type="pct"/>
            <w:vMerge w:val="continue"/>
            <w:textDirection w:val="lrTb"/>
            <w:noWrap w:val="false"/>
          </w:tcPr>
          <w:p>
            <w:pPr>
              <w:pStyle w:val="1570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</w:r>
            <w:r>
              <w:rPr>
                <w:rFonts w:asciiTheme="minorHAnsi" w:hAnsiTheme="minorHAnsi" w:cstheme="minorHAnsi"/>
                <w:szCs w:val="24"/>
              </w:rPr>
            </w:r>
          </w:p>
        </w:tc>
        <w:tc>
          <w:tcPr>
            <w:tcW w:w="2061" w:type="pct"/>
            <w:vMerge w:val="continue"/>
            <w:textDirection w:val="lrTb"/>
            <w:noWrap w:val="false"/>
          </w:tcPr>
          <w:p>
            <w:pPr>
              <w:pStyle w:val="1570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</w:r>
            <w:r>
              <w:rPr>
                <w:rFonts w:asciiTheme="minorHAnsi" w:hAnsiTheme="minorHAnsi" w:cstheme="minorHAnsi"/>
                <w:szCs w:val="24"/>
              </w:rPr>
            </w:r>
          </w:p>
        </w:tc>
        <w:tc>
          <w:tcPr>
            <w:tcW w:w="1287" w:type="pct"/>
            <w:textDirection w:val="lrTb"/>
            <w:noWrap w:val="false"/>
          </w:tcPr>
          <w:p>
            <w:pPr>
              <w:pStyle w:val="1570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Основной объект</w:t>
            </w:r>
            <w:r>
              <w:rPr>
                <w:rFonts w:asciiTheme="minorHAnsi" w:hAnsiTheme="minorHAnsi" w:cstheme="minorHAnsi"/>
                <w:szCs w:val="24"/>
              </w:rPr>
            </w:r>
          </w:p>
        </w:tc>
        <w:tc>
          <w:tcPr>
            <w:tcW w:w="1427" w:type="pct"/>
            <w:textDirection w:val="lrTb"/>
            <w:noWrap w:val="false"/>
          </w:tcPr>
          <w:p>
            <w:pPr>
              <w:pStyle w:val="1570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Резервный полигон</w:t>
            </w:r>
            <w:r>
              <w:rPr>
                <w:rFonts w:asciiTheme="minorHAnsi" w:hAnsiTheme="minorHAnsi" w:cstheme="minorHAnsi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26" w:type="pct"/>
            <w:textDirection w:val="lrTb"/>
            <w:noWrap w:val="false"/>
          </w:tcPr>
          <w:p>
            <w:pPr>
              <w:pStyle w:val="1570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1</w:t>
            </w:r>
            <w:r>
              <w:rPr>
                <w:rFonts w:asciiTheme="minorHAnsi" w:hAnsiTheme="minorHAnsi" w:cstheme="minorHAnsi"/>
                <w:szCs w:val="24"/>
              </w:rPr>
            </w:r>
          </w:p>
        </w:tc>
        <w:tc>
          <w:tcPr>
            <w:tcW w:w="2061" w:type="pct"/>
            <w:textDirection w:val="lrTb"/>
            <w:noWrap w:val="false"/>
          </w:tcPr>
          <w:p>
            <w:pPr>
              <w:pStyle w:val="1570"/>
              <w:ind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Г. Пермь, Дзержинский район</w:t>
            </w:r>
            <w:r>
              <w:rPr>
                <w:rFonts w:asciiTheme="minorHAnsi" w:hAnsiTheme="minorHAnsi" w:cstheme="minorHAnsi"/>
                <w:szCs w:val="24"/>
              </w:rPr>
            </w:r>
          </w:p>
        </w:tc>
        <w:tc>
          <w:tcPr>
            <w:tcW w:w="1287" w:type="pct"/>
            <w:vMerge w:val="restart"/>
            <w:textDirection w:val="lrTb"/>
            <w:noWrap w:val="false"/>
          </w:tcPr>
          <w:p>
            <w:pPr>
              <w:pStyle w:val="1570"/>
              <w:ind w:left="-106" w:right="-108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МСК с. Лобаново (обработка),</w:t>
            </w:r>
            <w:r>
              <w:rPr>
                <w:rFonts w:asciiTheme="minorHAnsi" w:hAnsiTheme="minorHAnsi" w:cstheme="minorHAnsi"/>
                <w:szCs w:val="24"/>
              </w:rPr>
            </w:r>
          </w:p>
          <w:p>
            <w:pPr>
              <w:pStyle w:val="1570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Полигон ТБО «</w:t>
            </w:r>
            <w:r>
              <w:rPr>
                <w:rFonts w:asciiTheme="minorHAnsi" w:hAnsiTheme="minorHAnsi" w:cstheme="minorHAnsi"/>
                <w:szCs w:val="24"/>
              </w:rPr>
              <w:t xml:space="preserve">Софроны</w:t>
            </w:r>
            <w:r>
              <w:rPr>
                <w:rFonts w:asciiTheme="minorHAnsi" w:hAnsiTheme="minorHAnsi" w:cstheme="minorHAnsi"/>
                <w:szCs w:val="24"/>
              </w:rPr>
              <w:t xml:space="preserve">» (размещение)</w:t>
            </w:r>
            <w:r>
              <w:rPr>
                <w:rFonts w:asciiTheme="minorHAnsi" w:hAnsiTheme="minorHAnsi" w:cstheme="minorHAnsi"/>
                <w:szCs w:val="24"/>
              </w:rPr>
            </w:r>
          </w:p>
        </w:tc>
        <w:tc>
          <w:tcPr>
            <w:tcW w:w="1427" w:type="pct"/>
            <w:vMerge w:val="restart"/>
            <w:textDirection w:val="lrTb"/>
            <w:noWrap w:val="false"/>
          </w:tcPr>
          <w:p>
            <w:pPr>
              <w:pStyle w:val="1570"/>
              <w:ind w:left="-106" w:right="-108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Полигон ТБО г. Краснокамска,</w:t>
            </w:r>
            <w:r>
              <w:rPr>
                <w:rFonts w:asciiTheme="minorHAnsi" w:hAnsiTheme="minorHAnsi" w:cstheme="minorHAnsi"/>
                <w:szCs w:val="24"/>
              </w:rPr>
            </w:r>
          </w:p>
          <w:p>
            <w:pPr>
              <w:pStyle w:val="1570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Полигон ТБО у д. Ключики Пермского муниципального округа,</w:t>
            </w:r>
            <w:r>
              <w:rPr>
                <w:rFonts w:asciiTheme="minorHAnsi" w:hAnsiTheme="minorHAnsi" w:cstheme="minorHAnsi"/>
                <w:szCs w:val="24"/>
              </w:rPr>
            </w:r>
          </w:p>
          <w:p>
            <w:pPr>
              <w:pStyle w:val="1570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Полигон ТБО</w:t>
            </w:r>
            <w:r>
              <w:rPr>
                <w:rFonts w:asciiTheme="minorHAnsi" w:hAnsiTheme="minorHAnsi" w:cstheme="minorHAnsi"/>
                <w:szCs w:val="24"/>
              </w:rPr>
            </w:r>
          </w:p>
          <w:p>
            <w:pPr>
              <w:pStyle w:val="1570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п. </w:t>
            </w:r>
            <w:r>
              <w:rPr>
                <w:rFonts w:asciiTheme="minorHAnsi" w:hAnsiTheme="minorHAnsi" w:cstheme="minorHAnsi"/>
                <w:szCs w:val="24"/>
              </w:rPr>
              <w:t xml:space="preserve">Полазна</w:t>
            </w:r>
            <w:r>
              <w:rPr>
                <w:rFonts w:asciiTheme="minorHAnsi" w:hAnsiTheme="minorHAnsi" w:cstheme="minorHAnsi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26" w:type="pct"/>
            <w:textDirection w:val="lrTb"/>
            <w:noWrap w:val="false"/>
          </w:tcPr>
          <w:p>
            <w:pPr>
              <w:pStyle w:val="1570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2</w:t>
            </w:r>
            <w:r>
              <w:rPr>
                <w:rFonts w:asciiTheme="minorHAnsi" w:hAnsiTheme="minorHAnsi" w:cstheme="minorHAnsi"/>
                <w:szCs w:val="24"/>
              </w:rPr>
            </w:r>
          </w:p>
        </w:tc>
        <w:tc>
          <w:tcPr>
            <w:tcW w:w="2061" w:type="pct"/>
            <w:textDirection w:val="lrTb"/>
            <w:noWrap w:val="false"/>
          </w:tcPr>
          <w:p>
            <w:pPr>
              <w:pStyle w:val="1570"/>
              <w:ind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Г. Пермь, Кировский район</w:t>
            </w:r>
            <w:r>
              <w:rPr>
                <w:rFonts w:asciiTheme="minorHAnsi" w:hAnsiTheme="minorHAnsi" w:cstheme="minorHAnsi"/>
                <w:szCs w:val="24"/>
              </w:rPr>
            </w:r>
          </w:p>
        </w:tc>
        <w:tc>
          <w:tcPr>
            <w:tcW w:w="1287" w:type="pct"/>
            <w:vMerge w:val="continue"/>
            <w:textDirection w:val="lrTb"/>
            <w:noWrap w:val="false"/>
          </w:tcPr>
          <w:p>
            <w:pPr>
              <w:pStyle w:val="157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</w:r>
            <w:r>
              <w:rPr>
                <w:rFonts w:asciiTheme="minorHAnsi" w:hAnsiTheme="minorHAnsi" w:cstheme="minorHAnsi"/>
                <w:szCs w:val="24"/>
              </w:rPr>
            </w:r>
          </w:p>
        </w:tc>
        <w:tc>
          <w:tcPr>
            <w:tcW w:w="1427" w:type="pct"/>
            <w:vMerge w:val="continue"/>
            <w:textDirection w:val="lrTb"/>
            <w:noWrap w:val="false"/>
          </w:tcPr>
          <w:p>
            <w:pPr>
              <w:pStyle w:val="157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</w:r>
            <w:r>
              <w:rPr>
                <w:rFonts w:asciiTheme="minorHAnsi" w:hAnsiTheme="minorHAnsi" w:cstheme="minorHAnsi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26" w:type="pct"/>
            <w:textDirection w:val="lrTb"/>
            <w:noWrap w:val="false"/>
          </w:tcPr>
          <w:p>
            <w:pPr>
              <w:pStyle w:val="1570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3</w:t>
            </w:r>
            <w:r>
              <w:rPr>
                <w:rFonts w:asciiTheme="minorHAnsi" w:hAnsiTheme="minorHAnsi" w:cstheme="minorHAnsi"/>
                <w:szCs w:val="24"/>
              </w:rPr>
            </w:r>
          </w:p>
        </w:tc>
        <w:tc>
          <w:tcPr>
            <w:tcW w:w="2061" w:type="pct"/>
            <w:textDirection w:val="lrTb"/>
            <w:noWrap w:val="false"/>
          </w:tcPr>
          <w:p>
            <w:pPr>
              <w:pStyle w:val="1570"/>
              <w:ind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Г. Пермь, Индустриальный район</w:t>
            </w:r>
            <w:r>
              <w:rPr>
                <w:rFonts w:asciiTheme="minorHAnsi" w:hAnsiTheme="minorHAnsi" w:cstheme="minorHAnsi"/>
                <w:szCs w:val="24"/>
              </w:rPr>
            </w:r>
          </w:p>
        </w:tc>
        <w:tc>
          <w:tcPr>
            <w:tcW w:w="1287" w:type="pct"/>
            <w:vMerge w:val="continue"/>
            <w:textDirection w:val="lrTb"/>
            <w:noWrap w:val="false"/>
          </w:tcPr>
          <w:p>
            <w:pPr>
              <w:pStyle w:val="157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</w:r>
            <w:r>
              <w:rPr>
                <w:rFonts w:asciiTheme="minorHAnsi" w:hAnsiTheme="minorHAnsi" w:cstheme="minorHAnsi"/>
                <w:szCs w:val="24"/>
              </w:rPr>
            </w:r>
          </w:p>
        </w:tc>
        <w:tc>
          <w:tcPr>
            <w:tcW w:w="1427" w:type="pct"/>
            <w:vMerge w:val="continue"/>
            <w:textDirection w:val="lrTb"/>
            <w:noWrap w:val="false"/>
          </w:tcPr>
          <w:p>
            <w:pPr>
              <w:pStyle w:val="1570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</w:r>
            <w:r>
              <w:rPr>
                <w:rFonts w:asciiTheme="minorHAnsi" w:hAnsiTheme="minorHAnsi" w:cstheme="minorHAnsi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26" w:type="pct"/>
            <w:textDirection w:val="lrTb"/>
            <w:noWrap w:val="false"/>
          </w:tcPr>
          <w:p>
            <w:pPr>
              <w:pStyle w:val="1570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4</w:t>
            </w:r>
            <w:r>
              <w:rPr>
                <w:rFonts w:asciiTheme="minorHAnsi" w:hAnsiTheme="minorHAnsi" w:cstheme="minorHAnsi"/>
                <w:szCs w:val="24"/>
              </w:rPr>
            </w:r>
          </w:p>
        </w:tc>
        <w:tc>
          <w:tcPr>
            <w:tcW w:w="2061" w:type="pct"/>
            <w:textDirection w:val="lrTb"/>
            <w:noWrap w:val="false"/>
          </w:tcPr>
          <w:p>
            <w:pPr>
              <w:pStyle w:val="1570"/>
              <w:ind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Г. Пермь, Ленинский район</w:t>
            </w:r>
            <w:r>
              <w:rPr>
                <w:rFonts w:asciiTheme="minorHAnsi" w:hAnsiTheme="minorHAnsi" w:cstheme="minorHAnsi"/>
                <w:szCs w:val="24"/>
              </w:rPr>
            </w:r>
          </w:p>
        </w:tc>
        <w:tc>
          <w:tcPr>
            <w:tcW w:w="1287" w:type="pct"/>
            <w:vMerge w:val="continue"/>
            <w:textDirection w:val="lrTb"/>
            <w:noWrap w:val="false"/>
          </w:tcPr>
          <w:p>
            <w:pPr>
              <w:pStyle w:val="157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</w:r>
            <w:r>
              <w:rPr>
                <w:rFonts w:asciiTheme="minorHAnsi" w:hAnsiTheme="minorHAnsi" w:cstheme="minorHAnsi"/>
                <w:szCs w:val="24"/>
              </w:rPr>
            </w:r>
          </w:p>
        </w:tc>
        <w:tc>
          <w:tcPr>
            <w:tcW w:w="1427" w:type="pct"/>
            <w:vMerge w:val="continue"/>
            <w:textDirection w:val="lrTb"/>
            <w:noWrap w:val="false"/>
          </w:tcPr>
          <w:p>
            <w:pPr>
              <w:pStyle w:val="1570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</w:r>
            <w:r>
              <w:rPr>
                <w:rFonts w:asciiTheme="minorHAnsi" w:hAnsiTheme="minorHAnsi" w:cstheme="minorHAnsi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26" w:type="pct"/>
            <w:textDirection w:val="lrTb"/>
            <w:noWrap w:val="false"/>
          </w:tcPr>
          <w:p>
            <w:pPr>
              <w:pStyle w:val="1570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5</w:t>
            </w:r>
            <w:r>
              <w:rPr>
                <w:rFonts w:asciiTheme="minorHAnsi" w:hAnsiTheme="minorHAnsi" w:cstheme="minorHAnsi"/>
                <w:szCs w:val="24"/>
              </w:rPr>
            </w:r>
          </w:p>
        </w:tc>
        <w:tc>
          <w:tcPr>
            <w:tcW w:w="2061" w:type="pct"/>
            <w:textDirection w:val="lrTb"/>
            <w:noWrap w:val="false"/>
          </w:tcPr>
          <w:p>
            <w:pPr>
              <w:pStyle w:val="1570"/>
              <w:ind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Г. Пермь, Мотовилихинский район</w:t>
            </w:r>
            <w:r>
              <w:rPr>
                <w:rFonts w:asciiTheme="minorHAnsi" w:hAnsiTheme="minorHAnsi" w:cstheme="minorHAnsi"/>
                <w:szCs w:val="24"/>
              </w:rPr>
            </w:r>
          </w:p>
        </w:tc>
        <w:tc>
          <w:tcPr>
            <w:tcW w:w="1287" w:type="pct"/>
            <w:vMerge w:val="continue"/>
            <w:textDirection w:val="lrTb"/>
            <w:noWrap w:val="false"/>
          </w:tcPr>
          <w:p>
            <w:pPr>
              <w:pStyle w:val="157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</w:r>
            <w:r>
              <w:rPr>
                <w:rFonts w:asciiTheme="minorHAnsi" w:hAnsiTheme="minorHAnsi" w:cstheme="minorHAnsi"/>
                <w:szCs w:val="24"/>
              </w:rPr>
            </w:r>
          </w:p>
        </w:tc>
        <w:tc>
          <w:tcPr>
            <w:tcW w:w="1427" w:type="pct"/>
            <w:vMerge w:val="continue"/>
            <w:textDirection w:val="lrTb"/>
            <w:noWrap w:val="false"/>
          </w:tcPr>
          <w:p>
            <w:pPr>
              <w:pStyle w:val="1570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</w:r>
            <w:r>
              <w:rPr>
                <w:rFonts w:asciiTheme="minorHAnsi" w:hAnsiTheme="minorHAnsi" w:cstheme="minorHAnsi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26" w:type="pct"/>
            <w:textDirection w:val="lrTb"/>
            <w:noWrap w:val="false"/>
          </w:tcPr>
          <w:p>
            <w:pPr>
              <w:pStyle w:val="1570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6</w:t>
            </w:r>
            <w:r>
              <w:rPr>
                <w:rFonts w:asciiTheme="minorHAnsi" w:hAnsiTheme="minorHAnsi" w:cstheme="minorHAnsi"/>
                <w:szCs w:val="24"/>
              </w:rPr>
            </w:r>
          </w:p>
        </w:tc>
        <w:tc>
          <w:tcPr>
            <w:tcW w:w="2061" w:type="pct"/>
            <w:textDirection w:val="lrTb"/>
            <w:noWrap w:val="false"/>
          </w:tcPr>
          <w:p>
            <w:pPr>
              <w:pStyle w:val="1570"/>
              <w:ind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Г. Пермь, Орджоникидзевский район</w:t>
            </w:r>
            <w:r>
              <w:rPr>
                <w:rFonts w:asciiTheme="minorHAnsi" w:hAnsiTheme="minorHAnsi" w:cstheme="minorHAnsi"/>
                <w:szCs w:val="24"/>
              </w:rPr>
            </w:r>
          </w:p>
        </w:tc>
        <w:tc>
          <w:tcPr>
            <w:tcW w:w="1287" w:type="pct"/>
            <w:vMerge w:val="continue"/>
            <w:textDirection w:val="lrTb"/>
            <w:noWrap w:val="false"/>
          </w:tcPr>
          <w:p>
            <w:pPr>
              <w:pStyle w:val="157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</w:r>
            <w:r>
              <w:rPr>
                <w:rFonts w:asciiTheme="minorHAnsi" w:hAnsiTheme="minorHAnsi" w:cstheme="minorHAnsi"/>
                <w:szCs w:val="24"/>
              </w:rPr>
            </w:r>
          </w:p>
        </w:tc>
        <w:tc>
          <w:tcPr>
            <w:tcW w:w="1427" w:type="pct"/>
            <w:vMerge w:val="continue"/>
            <w:textDirection w:val="lrTb"/>
            <w:noWrap w:val="false"/>
          </w:tcPr>
          <w:p>
            <w:pPr>
              <w:pStyle w:val="1570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</w:r>
            <w:r>
              <w:rPr>
                <w:rFonts w:asciiTheme="minorHAnsi" w:hAnsiTheme="minorHAnsi" w:cstheme="minorHAnsi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26" w:type="pct"/>
            <w:textDirection w:val="lrTb"/>
            <w:noWrap w:val="false"/>
          </w:tcPr>
          <w:p>
            <w:pPr>
              <w:pStyle w:val="1570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7</w:t>
            </w:r>
            <w:r>
              <w:rPr>
                <w:rFonts w:asciiTheme="minorHAnsi" w:hAnsiTheme="minorHAnsi" w:cstheme="minorHAnsi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061" w:type="pct"/>
            <w:textDirection w:val="lrTb"/>
            <w:noWrap w:val="false"/>
          </w:tcPr>
          <w:p>
            <w:pPr>
              <w:pStyle w:val="1570"/>
              <w:ind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Г. Пермь, Свердловский район</w:t>
            </w:r>
            <w:r>
              <w:rPr>
                <w:rFonts w:asciiTheme="minorHAnsi" w:hAnsiTheme="minorHAnsi" w:cstheme="minorHAnsi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287" w:type="pct"/>
            <w:vMerge w:val="continue"/>
            <w:textDirection w:val="lrTb"/>
            <w:noWrap w:val="false"/>
          </w:tcPr>
          <w:p>
            <w:pPr>
              <w:pStyle w:val="1570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</w:r>
            <w:r>
              <w:rPr>
                <w:rFonts w:asciiTheme="minorHAnsi" w:hAnsiTheme="minorHAnsi" w:cstheme="minorHAnsi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427" w:type="pct"/>
            <w:vMerge w:val="continue"/>
            <w:textDirection w:val="lrTb"/>
            <w:noWrap w:val="false"/>
          </w:tcPr>
          <w:p>
            <w:pPr>
              <w:pStyle w:val="1570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</w:r>
            <w:r>
              <w:rPr>
                <w:rFonts w:asciiTheme="minorHAnsi" w:hAnsiTheme="minorHAnsi" w:cstheme="minorHAnsi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26" w:type="pct"/>
            <w:textDirection w:val="lrTb"/>
            <w:noWrap w:val="false"/>
          </w:tcPr>
          <w:p>
            <w:pPr>
              <w:pStyle w:val="1570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1</w:t>
            </w:r>
            <w:r>
              <w:rPr>
                <w:rFonts w:asciiTheme="minorHAnsi" w:hAnsiTheme="minorHAnsi" w:cstheme="minorHAnsi"/>
                <w:szCs w:val="24"/>
              </w:rPr>
            </w:r>
          </w:p>
        </w:tc>
        <w:tc>
          <w:tcPr>
            <w:tcW w:w="2061" w:type="pct"/>
            <w:textDirection w:val="lrTb"/>
            <w:noWrap w:val="false"/>
          </w:tcPr>
          <w:p>
            <w:pPr>
              <w:pStyle w:val="1570"/>
              <w:ind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Г. Пермь, Дзержинский район</w:t>
            </w:r>
            <w:r>
              <w:rPr>
                <w:rFonts w:asciiTheme="minorHAnsi" w:hAnsiTheme="minorHAnsi" w:cstheme="minorHAnsi"/>
                <w:szCs w:val="24"/>
              </w:rPr>
            </w:r>
          </w:p>
        </w:tc>
        <w:tc>
          <w:tcPr>
            <w:tcW w:w="1287" w:type="pct"/>
            <w:vMerge w:val="restart"/>
            <w:textDirection w:val="lrTb"/>
            <w:noWrap w:val="false"/>
          </w:tcPr>
          <w:p>
            <w:pPr>
              <w:pStyle w:val="1570"/>
              <w:ind w:left="-106" w:right="-108" w:firstLine="0"/>
              <w:jc w:val="center"/>
              <w:rPr>
                <w:rStyle w:val="994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МСК г. Краснокамска (обработка) и полигон ТБО г. Краснокамска (размещение)</w:t>
            </w:r>
            <w:r>
              <w:rPr>
                <w:rStyle w:val="994"/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W w:w="1427" w:type="pct"/>
            <w:vMerge w:val="restart"/>
            <w:textDirection w:val="lrTb"/>
            <w:noWrap w:val="false"/>
          </w:tcPr>
          <w:p>
            <w:pPr>
              <w:pStyle w:val="1570"/>
              <w:ind w:left="-106" w:right="-108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Полигон ТБО «</w:t>
            </w:r>
            <w:r>
              <w:rPr>
                <w:rFonts w:asciiTheme="minorHAnsi" w:hAnsiTheme="minorHAnsi" w:cstheme="minorHAnsi"/>
                <w:szCs w:val="24"/>
              </w:rPr>
              <w:t xml:space="preserve">Софроны</w:t>
            </w:r>
            <w:r>
              <w:rPr>
                <w:rFonts w:asciiTheme="minorHAnsi" w:hAnsiTheme="minorHAnsi" w:cstheme="minorHAnsi"/>
                <w:szCs w:val="24"/>
              </w:rPr>
              <w:t xml:space="preserve">»,</w:t>
            </w:r>
            <w:r>
              <w:rPr>
                <w:rFonts w:asciiTheme="minorHAnsi" w:hAnsiTheme="minorHAnsi" w:cstheme="minorHAnsi"/>
                <w:szCs w:val="24"/>
              </w:rPr>
            </w:r>
          </w:p>
          <w:p>
            <w:pPr>
              <w:pStyle w:val="1570"/>
              <w:ind w:left="-106" w:right="-108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Полигон ТБО</w:t>
            </w:r>
            <w:r>
              <w:rPr>
                <w:rFonts w:asciiTheme="minorHAnsi" w:hAnsiTheme="minorHAnsi" w:cstheme="minorHAnsi"/>
                <w:szCs w:val="24"/>
              </w:rPr>
            </w:r>
          </w:p>
          <w:p>
            <w:pPr>
              <w:pStyle w:val="1570"/>
              <w:ind w:left="-106" w:right="-108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г. Верещагино,</w:t>
            </w:r>
            <w:r>
              <w:rPr>
                <w:rFonts w:asciiTheme="minorHAnsi" w:hAnsiTheme="minorHAnsi" w:cstheme="minorHAnsi"/>
                <w:szCs w:val="24"/>
              </w:rPr>
            </w:r>
          </w:p>
          <w:p>
            <w:pPr>
              <w:pStyle w:val="1570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Полигон ТКО</w:t>
            </w:r>
            <w:r>
              <w:rPr>
                <w:rFonts w:asciiTheme="minorHAnsi" w:hAnsiTheme="minorHAnsi" w:cstheme="minorHAnsi"/>
                <w:szCs w:val="24"/>
              </w:rPr>
            </w:r>
          </w:p>
          <w:p>
            <w:pPr>
              <w:pStyle w:val="1570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г. Нытва</w:t>
            </w:r>
            <w:r>
              <w:rPr>
                <w:rFonts w:asciiTheme="minorHAnsi" w:hAnsiTheme="minorHAnsi" w:cstheme="minorHAnsi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26" w:type="pct"/>
            <w:textDirection w:val="lrTb"/>
            <w:noWrap w:val="false"/>
          </w:tcPr>
          <w:p>
            <w:pPr>
              <w:pStyle w:val="1570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2</w:t>
            </w:r>
            <w:r>
              <w:rPr>
                <w:rFonts w:asciiTheme="minorHAnsi" w:hAnsiTheme="minorHAnsi" w:cstheme="minorHAnsi"/>
                <w:szCs w:val="24"/>
              </w:rPr>
            </w:r>
          </w:p>
        </w:tc>
        <w:tc>
          <w:tcPr>
            <w:tcW w:w="2061" w:type="pct"/>
            <w:textDirection w:val="lrTb"/>
            <w:noWrap w:val="false"/>
          </w:tcPr>
          <w:p>
            <w:pPr>
              <w:pStyle w:val="1570"/>
              <w:ind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Г. Пермь, Кировский район</w:t>
            </w:r>
            <w:r>
              <w:rPr>
                <w:rFonts w:asciiTheme="minorHAnsi" w:hAnsiTheme="minorHAnsi" w:cstheme="minorHAnsi"/>
                <w:szCs w:val="24"/>
              </w:rPr>
            </w:r>
          </w:p>
        </w:tc>
        <w:tc>
          <w:tcPr>
            <w:tcW w:w="1287" w:type="pct"/>
            <w:vAlign w:val="center"/>
            <w:vMerge w:val="continue"/>
            <w:textDirection w:val="lrTb"/>
            <w:noWrap w:val="false"/>
          </w:tcPr>
          <w:p>
            <w:pPr>
              <w:pStyle w:val="1570"/>
              <w:ind w:firstLine="0"/>
              <w:jc w:val="center"/>
              <w:rPr>
                <w:rStyle w:val="994"/>
                <w:rFonts w:eastAsiaTheme="minorEastAsia" w:cstheme="minorBidi"/>
                <w:iCs w:val="0"/>
                <w:sz w:val="24"/>
                <w:szCs w:val="24"/>
              </w:rPr>
            </w:pPr>
            <w:r>
              <w:rPr>
                <w:rFonts w:eastAsiaTheme="minorEastAsia" w:cstheme="minorBidi"/>
                <w:iCs w:val="0"/>
                <w:sz w:val="24"/>
                <w:szCs w:val="24"/>
              </w:rPr>
            </w:r>
            <w:r>
              <w:rPr>
                <w:rStyle w:val="994"/>
                <w:rFonts w:eastAsiaTheme="minorEastAsia" w:cstheme="minorBidi"/>
                <w:iCs w:val="0"/>
                <w:sz w:val="24"/>
                <w:szCs w:val="24"/>
              </w:rPr>
            </w:r>
          </w:p>
        </w:tc>
        <w:tc>
          <w:tcPr>
            <w:tcW w:w="1427" w:type="pct"/>
            <w:vAlign w:val="center"/>
            <w:vMerge w:val="continue"/>
            <w:textDirection w:val="lrTb"/>
            <w:noWrap w:val="false"/>
          </w:tcPr>
          <w:p>
            <w:pPr>
              <w:pStyle w:val="1570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</w:r>
            <w:r>
              <w:rPr>
                <w:rFonts w:asciiTheme="minorHAnsi" w:hAnsiTheme="minorHAnsi" w:cstheme="minorHAnsi"/>
                <w:szCs w:val="24"/>
              </w:rPr>
            </w:r>
          </w:p>
        </w:tc>
      </w:tr>
    </w:tbl>
    <w:p>
      <w:pPr>
        <w:pStyle w:val="1570"/>
        <w:ind w:firstLine="0"/>
        <w:rPr>
          <w:rFonts w:asciiTheme="minorHAnsi" w:hAnsiTheme="minorHAnsi" w:cstheme="minorHAnsi"/>
          <w:i/>
          <w:iCs w:val="0"/>
          <w:sz w:val="28"/>
          <w:szCs w:val="28"/>
        </w:rPr>
      </w:pPr>
      <w:r/>
      <w:bookmarkStart w:id="299" w:name="_Hlk176275509"/>
      <w:r/>
      <w:bookmarkEnd w:id="298"/>
      <w:r/>
      <w:r>
        <w:rPr>
          <w:rFonts w:asciiTheme="minorHAnsi" w:hAnsiTheme="minorHAnsi" w:cstheme="minorHAnsi"/>
          <w:i/>
          <w:iCs w:val="0"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i/>
          <w:iCs w:val="0"/>
          <w:sz w:val="28"/>
          <w:szCs w:val="28"/>
        </w:rPr>
      </w:pPr>
      <w:r>
        <w:rPr>
          <w:rFonts w:asciiTheme="minorHAnsi" w:hAnsiTheme="minorHAnsi" w:cstheme="minorHAnsi"/>
          <w:i/>
          <w:iCs w:val="0"/>
          <w:sz w:val="28"/>
          <w:szCs w:val="28"/>
        </w:rPr>
        <w:t xml:space="preserve">---------------------------</w:t>
      </w:r>
      <w:r>
        <w:rPr>
          <w:rFonts w:asciiTheme="minorHAnsi" w:hAnsiTheme="minorHAnsi" w:cstheme="minorHAnsi"/>
          <w:i/>
          <w:iCs w:val="0"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Примечание. Источник информации – Территориальная схема обращения с отходами в Пермском крае (приказ Министерства строительства и жилищно-коммунального хозяйства Пермского края от 09.12.2016 № СЭД-35-01-12-503).</w:t>
      </w:r>
      <w:bookmarkEnd w:id="299"/>
      <w:r/>
      <w:r>
        <w:rPr>
          <w:rFonts w:asciiTheme="minorHAnsi" w:hAnsiTheme="minorHAnsi" w:cstheme="minorHAnsi"/>
          <w:szCs w:val="24"/>
        </w:rPr>
      </w:r>
    </w:p>
    <w:p>
      <w:pPr>
        <w:pStyle w:val="1570"/>
        <w:ind w:firstLine="0"/>
        <w:rPr>
          <w:rFonts w:asciiTheme="minorHAnsi" w:hAnsiTheme="minorHAnsi" w:cstheme="minorHAnsi"/>
          <w:i/>
          <w:iCs w:val="0"/>
          <w:sz w:val="28"/>
          <w:szCs w:val="28"/>
        </w:rPr>
      </w:pPr>
      <w:r>
        <w:rPr>
          <w:rFonts w:asciiTheme="minorHAnsi" w:hAnsiTheme="minorHAnsi" w:cstheme="minorHAnsi"/>
          <w:i/>
          <w:iCs w:val="0"/>
          <w:sz w:val="28"/>
          <w:szCs w:val="28"/>
        </w:rPr>
      </w:r>
      <w:r>
        <w:rPr>
          <w:rFonts w:asciiTheme="minorHAnsi" w:hAnsiTheme="minorHAnsi" w:cstheme="minorHAnsi"/>
          <w:i/>
          <w:iCs w:val="0"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/>
      <w:bookmarkStart w:id="300" w:name="_Toc119947498"/>
      <w:r/>
      <w:bookmarkStart w:id="301" w:name="_Toc175216012"/>
      <w:r>
        <w:rPr>
          <w:b/>
          <w:bCs/>
          <w:sz w:val="28"/>
          <w:szCs w:val="28"/>
        </w:rPr>
        <w:t xml:space="preserve">2.6.6 Резервы и дефициты по зонам действия источников ресурсов </w:t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поселению, городскому округу в целом</w:t>
      </w:r>
      <w:bookmarkEnd w:id="300"/>
      <w:r/>
      <w:bookmarkEnd w:id="301"/>
      <w:r/>
      <w:r>
        <w:rPr>
          <w:b/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о мощности объектов по обработке, утилизации, обезвреживанию, захоронению, размещению отходов представлены в таблице 2.31.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b/>
          <w:bCs/>
          <w:sz w:val="28"/>
          <w:szCs w:val="28"/>
        </w:rPr>
      </w:pPr>
      <w:r/>
      <w:bookmarkStart w:id="302" w:name="_Toc175216107"/>
      <w:r/>
      <w:r>
        <w:rPr>
          <w:b/>
          <w:bCs/>
          <w:sz w:val="28"/>
          <w:szCs w:val="28"/>
        </w:rPr>
      </w:r>
    </w:p>
    <w:p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Таблица</w:t>
      </w:r>
      <w:bookmarkStart w:id="303" w:name="_Ref163564301"/>
      <w:r>
        <w:rPr>
          <w:b/>
          <w:bCs/>
          <w:sz w:val="28"/>
          <w:szCs w:val="28"/>
        </w:rPr>
        <w:t xml:space="preserve"> 2.31</w:t>
      </w:r>
      <w:bookmarkEnd w:id="303"/>
      <w:r/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Данные о мощности объектов по обработке, утилизации, обезвреживанию, захоронению, размещению отходов</w:t>
      </w:r>
      <w:bookmarkEnd w:id="302"/>
      <w:r/>
      <w:r>
        <w:rPr>
          <w:b/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84"/>
        <w:gridCol w:w="2419"/>
        <w:gridCol w:w="1954"/>
        <w:gridCol w:w="1383"/>
        <w:gridCol w:w="1385"/>
        <w:gridCol w:w="1385"/>
        <w:gridCol w:w="1227"/>
      </w:tblGrid>
      <w:tr>
        <w:tblPrEx/>
        <w:trPr>
          <w:trHeight w:val="20"/>
        </w:trPr>
        <w:tc>
          <w:tcPr>
            <w:shd w:val="clear" w:color="auto" w:fill="auto"/>
            <w:tcW w:w="189" w:type="pct"/>
            <w:vMerge w:val="restart"/>
            <w:textDirection w:val="lrTb"/>
            <w:noWrap w:val="false"/>
          </w:tcPr>
          <w:p>
            <w:pPr>
              <w:ind w:left="-117" w:right="-74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№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93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Наименование объекта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gridSpan w:val="2"/>
            <w:shd w:val="clear" w:color="auto" w:fill="auto"/>
            <w:tcW w:w="164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Сведения из проектной документации объектов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gridSpan w:val="3"/>
            <w:shd w:val="clear" w:color="auto" w:fill="auto"/>
            <w:tcW w:w="197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Данные о состоянии объекта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8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93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964" w:type="pct"/>
            <w:textDirection w:val="lrTb"/>
            <w:noWrap w:val="false"/>
          </w:tcPr>
          <w:p>
            <w:pPr>
              <w:ind w:left="-99" w:right="-134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производственная мощность, т/год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682" w:type="pct"/>
            <w:textDirection w:val="lrTb"/>
            <w:noWrap w:val="false"/>
          </w:tcPr>
          <w:p>
            <w:pPr>
              <w:ind w:left="-106" w:right="-106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проектная мощность, т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683" w:type="pct"/>
            <w:textDirection w:val="lrTb"/>
            <w:noWrap w:val="false"/>
          </w:tcPr>
          <w:p>
            <w:pPr>
              <w:ind w:left="-106" w:right="-114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свободная мощность, т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683" w:type="pct"/>
            <w:textDirection w:val="lrTb"/>
            <w:noWrap w:val="false"/>
          </w:tcPr>
          <w:p>
            <w:pPr>
              <w:ind w:left="-145" w:right="-14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фактическая мощность,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ind w:left="-145" w:right="-14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т/год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605" w:type="pct"/>
            <w:textDirection w:val="lrTb"/>
            <w:noWrap w:val="false"/>
          </w:tcPr>
          <w:p>
            <w:pPr>
              <w:ind w:left="-145" w:right="-14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проектная мощность, т/год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93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Полигон ТБО </w:t>
            </w:r>
            <w:r>
              <w:rPr>
                <w:rFonts w:asciiTheme="minorHAnsi" w:hAnsiTheme="minorHAnsi" w:cstheme="minorHAnsi"/>
                <w:color w:val="000000"/>
              </w:rPr>
              <w:t xml:space="preserve">«</w:t>
            </w:r>
            <w:r>
              <w:rPr>
                <w:rFonts w:asciiTheme="minorHAnsi" w:hAnsiTheme="minorHAnsi" w:cstheme="minorHAnsi"/>
                <w:color w:val="000000"/>
              </w:rPr>
              <w:t xml:space="preserve">Софроны</w:t>
            </w:r>
            <w:r>
              <w:rPr>
                <w:rFonts w:asciiTheme="minorHAnsi" w:hAnsiTheme="minorHAnsi" w:cstheme="minorHAnsi"/>
                <w:color w:val="000000"/>
              </w:rPr>
              <w:t xml:space="preserve">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96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917 900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682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9 236 836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68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1 526 360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68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60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93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Полигон д. Ключики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96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25 000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682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498 000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68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367 773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68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60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93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Полигон г. Краснокамска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96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100 000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682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1 614 600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683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602 407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68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60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93" w:type="pct"/>
            <w:vAlign w:val="center"/>
            <w:textDirection w:val="lrTb"/>
            <w:noWrap w:val="false"/>
          </w:tcPr>
          <w:p>
            <w:pPr>
              <w:ind w:right="-101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МСК с. Лобаново 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96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80 000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682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68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68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80 000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60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80 000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93" w:type="pct"/>
            <w:vAlign w:val="center"/>
            <w:textDirection w:val="lrTb"/>
            <w:noWrap w:val="false"/>
          </w:tcPr>
          <w:p>
            <w:pPr>
              <w:ind w:right="-101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МСК г. Краснокамск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96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60 000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682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68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68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60 000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60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60 000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</w:tbl>
    <w:p>
      <w:pPr>
        <w:pStyle w:val="1570"/>
        <w:ind w:firstLine="0"/>
        <w:rPr>
          <w:rFonts w:asciiTheme="minorHAnsi" w:hAnsiTheme="minorHAnsi" w:cstheme="minorHAnsi"/>
          <w:i/>
          <w:iCs w:val="0"/>
          <w:sz w:val="28"/>
          <w:szCs w:val="28"/>
        </w:rPr>
      </w:pPr>
      <w:r>
        <w:rPr>
          <w:rFonts w:asciiTheme="minorHAnsi" w:hAnsiTheme="minorHAnsi" w:cstheme="minorHAnsi"/>
          <w:i/>
          <w:iCs w:val="0"/>
          <w:sz w:val="28"/>
          <w:szCs w:val="28"/>
        </w:rPr>
      </w:r>
      <w:r>
        <w:rPr>
          <w:rFonts w:asciiTheme="minorHAnsi" w:hAnsiTheme="minorHAnsi" w:cstheme="minorHAnsi"/>
          <w:i/>
          <w:iCs w:val="0"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---------------------------</w:t>
      </w:r>
      <w:r>
        <w:rPr>
          <w:rFonts w:asciiTheme="minorHAnsi" w:hAnsiTheme="minorHAnsi" w:cstheme="minorHAnsi"/>
          <w:szCs w:val="24"/>
        </w:rPr>
      </w:r>
    </w:p>
    <w:p>
      <w:pPr>
        <w:pStyle w:val="157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Примечание. Источник информации – Территориальная схема обращения с отходами в Пермском крае (приказ Министерства строительства и жилищно-коммунального хозяйства Пермского края от 09.12.2016 № СЭД-35-01-12-503).</w:t>
      </w:r>
      <w:r>
        <w:rPr>
          <w:rFonts w:asciiTheme="minorHAnsi" w:hAnsiTheme="minorHAnsi" w:cstheme="minorHAnsi"/>
          <w:szCs w:val="24"/>
        </w:rPr>
      </w:r>
    </w:p>
    <w:p>
      <w:pPr>
        <w:pStyle w:val="157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</w:r>
      <w:r>
        <w:rPr>
          <w:rFonts w:asciiTheme="minorHAnsi" w:hAnsiTheme="minorHAnsi" w:cstheme="minorHAnsi"/>
          <w:szCs w:val="24"/>
        </w:rPr>
      </w:r>
    </w:p>
    <w:p>
      <w:pPr>
        <w:jc w:val="center"/>
        <w:rPr>
          <w:b/>
          <w:bCs/>
          <w:sz w:val="28"/>
          <w:szCs w:val="28"/>
        </w:rPr>
      </w:pPr>
      <w:r/>
      <w:bookmarkStart w:id="304" w:name="_Toc175216013"/>
      <w:r/>
      <w:bookmarkStart w:id="305" w:name="_Toc119947499"/>
      <w:r>
        <w:rPr>
          <w:b/>
          <w:bCs/>
          <w:sz w:val="28"/>
          <w:szCs w:val="28"/>
        </w:rPr>
        <w:t xml:space="preserve">2.6.7 Надежность работы системы</w:t>
      </w:r>
      <w:bookmarkEnd w:id="304"/>
      <w:r/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</w:t>
      </w:r>
      <w:r>
        <w:rPr>
          <w:sz w:val="28"/>
          <w:szCs w:val="28"/>
        </w:rPr>
        <w:t xml:space="preserve">ор надежности обеспечения услугой потребителей в сфере обращения с ТКО зависит от количества допустимых нарушений графика вывоза ТКО из мест их сбора и накопления в год и количества несанкционированных свалок на территории действия регионального оператора.</w:t>
      </w:r>
      <w:r>
        <w:rPr>
          <w:sz w:val="28"/>
          <w:szCs w:val="28"/>
        </w:rPr>
      </w:r>
    </w:p>
    <w:p>
      <w:pPr>
        <w:ind w:firstLine="851"/>
        <w:jc w:val="both"/>
        <w:rPr>
          <w:sz w:val="28"/>
          <w:szCs w:val="28"/>
        </w:rPr>
      </w:pPr>
      <w:r/>
      <w:bookmarkStart w:id="306" w:name="_Hlk166485070"/>
      <w:r>
        <w:rPr>
          <w:sz w:val="28"/>
          <w:szCs w:val="28"/>
        </w:rPr>
        <w:t xml:space="preserve">Транспортировка ТКО осуществляется на планово-регулярной основе в сроки, предусмотренные санитарными правилами. В соответствии с санитарными правилами и нормами СанПиН 2.1.368</w:t>
      </w:r>
      <w:r>
        <w:rPr>
          <w:sz w:val="28"/>
          <w:szCs w:val="28"/>
        </w:rPr>
        <w:t xml:space="preserve">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</w:t>
      </w:r>
      <w:r>
        <w:rPr>
          <w:sz w:val="28"/>
          <w:szCs w:val="28"/>
        </w:rPr>
        <w:t xml:space="preserve">мещений, организации и проведению санитарно-противоэпидемических (профилактических) мероприятий», утвержденными постановлением Главного государственного санитарного врача Российской Федерации от 21.01.2021 № 3, периодичность сбора крупногабаритных отходов:</w:t>
      </w:r>
      <w:r>
        <w:rPr>
          <w:sz w:val="28"/>
          <w:szCs w:val="28"/>
        </w:rPr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холодное время года (при среднесуточной температуре +5°C и ниже) не реже одного раза в десять суток;</w:t>
      </w:r>
      <w:r>
        <w:rPr>
          <w:sz w:val="28"/>
          <w:szCs w:val="28"/>
        </w:rPr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теплое время (при среднесуточной температуре свыше +5°C) не реже 1 раза в 7 суток.</w:t>
      </w:r>
      <w:r>
        <w:rPr>
          <w:sz w:val="28"/>
          <w:szCs w:val="28"/>
        </w:rPr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Вывоз твердых коммунальных отходов должен осуществляться:</w:t>
      </w:r>
      <w:r>
        <w:rPr>
          <w:sz w:val="28"/>
          <w:szCs w:val="28"/>
        </w:rPr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холодное время года (при среднесуточной температуре +5°C и ниже) не реже одного раза в трое суток;</w:t>
      </w:r>
      <w:r>
        <w:rPr>
          <w:sz w:val="28"/>
          <w:szCs w:val="28"/>
        </w:rPr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теплое время (при среднесуточной температуре свыше +5°C) не реже 1 раза в сутки (ежедневный вывоз).</w:t>
      </w:r>
      <w:r>
        <w:rPr>
          <w:sz w:val="28"/>
          <w:szCs w:val="28"/>
        </w:rPr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постановление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 не разделяет ТКО и крупногабаритные отходы</w:t>
      </w:r>
      <w:bookmarkStart w:id="307" w:name="_Hlk172195556"/>
      <w:r>
        <w:rPr>
          <w:sz w:val="28"/>
          <w:szCs w:val="28"/>
        </w:rPr>
        <w:t xml:space="preserve">, что делает требования к последним более жесткими (необходимо чаще вывозить). Это дает Инспекции государственного жилищного контроля Пермского края право предъявлять соответствующие требования, в результате чего у регионального оператора </w:t>
      </w:r>
      <w:r>
        <w:rPr>
          <w:sz w:val="28"/>
          <w:szCs w:val="28"/>
        </w:rPr>
        <w:t xml:space="preserve">возникают убытки (перерасчет за некачественно оказанную услугу и наложение административных штрафов). </w:t>
      </w:r>
      <w:bookmarkEnd w:id="307"/>
      <w:r/>
      <w:r>
        <w:rPr>
          <w:sz w:val="28"/>
          <w:szCs w:val="28"/>
        </w:rPr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на территории городского округа образуются несанкционированные свалки. В соответствии с положениями Правил обращения с твердыми коммунальными отходами, утвержденных постановлением Правительс</w:t>
      </w:r>
      <w:r>
        <w:rPr>
          <w:sz w:val="28"/>
          <w:szCs w:val="28"/>
        </w:rPr>
        <w:t xml:space="preserve">тва Российской Федерации от 12.11.2016 № 1156, он обязан приступить к ликвидации таких мест в случае, если собственник земельного участка не обеспечил его самостоятельную ликвидацию в течение 30 дней со дня получения уведомления от регионального оператора.</w:t>
      </w:r>
      <w:r>
        <w:rPr>
          <w:sz w:val="28"/>
          <w:szCs w:val="28"/>
        </w:rPr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/>
      <w:bookmarkStart w:id="308" w:name="_Toc175216014"/>
      <w:r/>
      <w:bookmarkEnd w:id="306"/>
      <w:r>
        <w:rPr>
          <w:b/>
          <w:bCs/>
          <w:sz w:val="28"/>
          <w:szCs w:val="28"/>
        </w:rPr>
        <w:t xml:space="preserve">2.6.8 Качество поставляемого ресурса</w:t>
      </w:r>
      <w:bookmarkEnd w:id="305"/>
      <w:r/>
      <w:bookmarkEnd w:id="308"/>
      <w:r/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Реестра оптимальное количество контейнеров – 8 274, что немногим выше указанного количества (8 198). В этом случае переполнение контейнеров незначительное.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мест накопления (площадок), соответствующих нормативным требованиям, составляет 225 единиц.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/>
      <w:bookmarkStart w:id="309" w:name="_Toc119947500"/>
      <w:r/>
      <w:bookmarkStart w:id="310" w:name="_Toc175216015"/>
      <w:r>
        <w:rPr>
          <w:b/>
          <w:bCs/>
          <w:sz w:val="28"/>
          <w:szCs w:val="28"/>
        </w:rPr>
        <w:t xml:space="preserve">2.6.9 Воздействие на окружающую среду</w:t>
      </w:r>
      <w:bookmarkEnd w:id="309"/>
      <w:r/>
      <w:bookmarkEnd w:id="310"/>
      <w:r/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на территории городского округа образуются несанкционированные сва</w:t>
      </w:r>
      <w:r>
        <w:rPr>
          <w:sz w:val="28"/>
          <w:szCs w:val="28"/>
        </w:rPr>
        <w:t xml:space="preserve">лки. Региональный оператор наделен обязанностью по ликвидации мест несанкционированного размещения ТКО в установленных законом случаях. В соответствии с положениями Правил обращения с твердыми коммунальными отходами, утвержденных постановлением Правительст</w:t>
      </w:r>
      <w:r>
        <w:rPr>
          <w:sz w:val="28"/>
          <w:szCs w:val="28"/>
        </w:rPr>
        <w:t xml:space="preserve">ва Российской Федерации от 12.11.2016 № 1156, он обязан приступить к ликвидации таких мест в случае, если собственник земельного участка не обеспечил его самостоятельную ликвидацию в течение 30 дней со дня получения уведомления от регионального оператора. </w:t>
      </w:r>
      <w:bookmarkStart w:id="311" w:name="_Hlk172733109"/>
      <w:r>
        <w:rPr>
          <w:sz w:val="28"/>
          <w:szCs w:val="28"/>
        </w:rPr>
        <w:t xml:space="preserve">В период деятельности с 2019 года на территории города Перми АО «ПРО ТКО» было ликвидировано 2 несанкционированные свалки</w:t>
      </w:r>
      <w:bookmarkEnd w:id="311"/>
      <w:r>
        <w:rPr>
          <w:sz w:val="28"/>
          <w:szCs w:val="28"/>
        </w:rPr>
        <w:t xml:space="preserve">. Сведения о несанкционированных свалках представлены в таблице 2.32.</w:t>
      </w:r>
      <w:bookmarkStart w:id="312" w:name="_Toc175216108"/>
      <w:r/>
      <w:r>
        <w:rPr>
          <w:sz w:val="28"/>
          <w:szCs w:val="28"/>
        </w:rPr>
      </w:r>
    </w:p>
    <w:p>
      <w:pPr>
        <w:jc w:val="right"/>
        <w:rPr>
          <w:b/>
          <w:bCs/>
          <w:sz w:val="28"/>
          <w:szCs w:val="28"/>
        </w:rPr>
      </w:pPr>
      <w:r/>
      <w:bookmarkStart w:id="313" w:name="_Hlk176171861"/>
      <w:r/>
      <w:r>
        <w:rPr>
          <w:b/>
          <w:bCs/>
          <w:sz w:val="28"/>
          <w:szCs w:val="28"/>
        </w:rPr>
      </w:r>
    </w:p>
    <w:p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Таблица</w:t>
      </w:r>
      <w:bookmarkStart w:id="314" w:name="_Ref163547372"/>
      <w:r>
        <w:rPr>
          <w:b/>
          <w:bCs/>
          <w:sz w:val="28"/>
          <w:szCs w:val="28"/>
        </w:rPr>
        <w:t xml:space="preserve"> 2.</w:t>
      </w:r>
      <w:bookmarkEnd w:id="314"/>
      <w:r>
        <w:rPr>
          <w:b/>
          <w:bCs/>
          <w:sz w:val="28"/>
          <w:szCs w:val="28"/>
        </w:rPr>
        <w:t xml:space="preserve">32</w:t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Сведения о несанкционированных свалках</w:t>
      </w:r>
      <w:bookmarkEnd w:id="312"/>
      <w:r/>
      <w:r>
        <w:rPr>
          <w:b/>
          <w:bCs/>
          <w:sz w:val="28"/>
          <w:szCs w:val="28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tbl>
      <w:tblPr>
        <w:tblStyle w:val="988"/>
        <w:tblW w:w="5000" w:type="pct"/>
        <w:tblLook w:val="04A0" w:firstRow="1" w:lastRow="0" w:firstColumn="1" w:lastColumn="0" w:noHBand="0" w:noVBand="1"/>
      </w:tblPr>
      <w:tblGrid>
        <w:gridCol w:w="4607"/>
        <w:gridCol w:w="1231"/>
        <w:gridCol w:w="1077"/>
        <w:gridCol w:w="1077"/>
        <w:gridCol w:w="1077"/>
        <w:gridCol w:w="1068"/>
      </w:tblGrid>
      <w:tr>
        <w:tblPrEx/>
        <w:trPr>
          <w:trHeight w:val="20"/>
          <w:tblHeader/>
        </w:trPr>
        <w:tc>
          <w:tcPr>
            <w:tcW w:w="227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Показатели</w:t>
            </w:r>
            <w:r>
              <w:rPr>
                <w:color w:val="000000"/>
                <w:spacing w:val="-1"/>
              </w:rPr>
            </w:r>
          </w:p>
        </w:tc>
        <w:tc>
          <w:tcPr>
            <w:tcW w:w="60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Ед. изм.</w:t>
            </w:r>
            <w:r>
              <w:rPr>
                <w:color w:val="000000"/>
                <w:spacing w:val="-1"/>
              </w:rPr>
            </w:r>
          </w:p>
        </w:tc>
        <w:tc>
          <w:tcPr>
            <w:tcW w:w="53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2019</w:t>
            </w:r>
            <w:r>
              <w:rPr>
                <w:color w:val="000000"/>
                <w:spacing w:val="-1"/>
              </w:rPr>
            </w:r>
          </w:p>
        </w:tc>
        <w:tc>
          <w:tcPr>
            <w:tcW w:w="53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2020</w:t>
            </w:r>
            <w:r>
              <w:rPr>
                <w:color w:val="000000"/>
                <w:spacing w:val="-1"/>
              </w:rPr>
            </w:r>
          </w:p>
        </w:tc>
        <w:tc>
          <w:tcPr>
            <w:tcW w:w="53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2021</w:t>
            </w:r>
            <w:r>
              <w:rPr>
                <w:color w:val="000000"/>
                <w:spacing w:val="-1"/>
              </w:rPr>
            </w:r>
          </w:p>
        </w:tc>
        <w:tc>
          <w:tcPr>
            <w:tcW w:w="52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2022</w:t>
            </w:r>
            <w:r>
              <w:rPr>
                <w:color w:val="000000"/>
                <w:spacing w:val="-1"/>
              </w:rPr>
            </w:r>
          </w:p>
        </w:tc>
      </w:tr>
      <w:tr>
        <w:tblPrEx/>
        <w:trPr>
          <w:trHeight w:val="20"/>
        </w:trPr>
        <w:tc>
          <w:tcPr>
            <w:tcW w:w="2273" w:type="pct"/>
            <w:vAlign w:val="center"/>
            <w:textDirection w:val="lrTb"/>
            <w:noWrap w:val="false"/>
          </w:tcPr>
          <w:p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Количество свалок</w:t>
            </w:r>
            <w:r>
              <w:rPr>
                <w:color w:val="000000"/>
                <w:spacing w:val="-1"/>
              </w:rPr>
            </w:r>
          </w:p>
        </w:tc>
        <w:tc>
          <w:tcPr>
            <w:tcW w:w="60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ед.</w:t>
            </w:r>
            <w:r>
              <w:rPr>
                <w:color w:val="000000"/>
                <w:spacing w:val="-1"/>
              </w:rPr>
            </w:r>
          </w:p>
        </w:tc>
        <w:tc>
          <w:tcPr>
            <w:tcW w:w="53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14</w:t>
            </w:r>
            <w:r>
              <w:rPr>
                <w:color w:val="000000"/>
                <w:spacing w:val="-1"/>
              </w:rPr>
            </w:r>
          </w:p>
        </w:tc>
        <w:tc>
          <w:tcPr>
            <w:tcW w:w="53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20</w:t>
            </w:r>
            <w:r>
              <w:rPr>
                <w:color w:val="000000"/>
                <w:spacing w:val="-1"/>
              </w:rPr>
            </w:r>
          </w:p>
        </w:tc>
        <w:tc>
          <w:tcPr>
            <w:tcW w:w="53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10</w:t>
            </w:r>
            <w:r>
              <w:rPr>
                <w:color w:val="000000"/>
                <w:spacing w:val="-1"/>
              </w:rPr>
            </w:r>
          </w:p>
        </w:tc>
        <w:tc>
          <w:tcPr>
            <w:tcW w:w="52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3</w:t>
            </w:r>
            <w:r>
              <w:rPr>
                <w:color w:val="000000"/>
                <w:spacing w:val="-1"/>
              </w:rPr>
            </w:r>
          </w:p>
        </w:tc>
      </w:tr>
      <w:tr>
        <w:tblPrEx/>
        <w:trPr>
          <w:trHeight w:val="20"/>
        </w:trPr>
        <w:tc>
          <w:tcPr>
            <w:tcW w:w="2273" w:type="pct"/>
            <w:vAlign w:val="center"/>
            <w:textDirection w:val="lrTb"/>
            <w:noWrap w:val="false"/>
          </w:tcPr>
          <w:p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Площадь свалок</w:t>
            </w:r>
            <w:r>
              <w:rPr>
                <w:color w:val="000000"/>
                <w:spacing w:val="-1"/>
              </w:rPr>
            </w:r>
          </w:p>
        </w:tc>
        <w:tc>
          <w:tcPr>
            <w:tcW w:w="60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га</w:t>
            </w:r>
            <w:r>
              <w:rPr>
                <w:color w:val="000000"/>
                <w:spacing w:val="-1"/>
              </w:rPr>
            </w:r>
          </w:p>
        </w:tc>
        <w:tc>
          <w:tcPr>
            <w:tcW w:w="531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0,062</w:t>
            </w:r>
            <w:r/>
          </w:p>
        </w:tc>
        <w:tc>
          <w:tcPr>
            <w:tcW w:w="531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0,126</w:t>
            </w:r>
            <w:r/>
          </w:p>
        </w:tc>
        <w:tc>
          <w:tcPr>
            <w:tcW w:w="531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0,136</w:t>
            </w:r>
            <w:r/>
          </w:p>
        </w:tc>
        <w:tc>
          <w:tcPr>
            <w:tcW w:w="52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0,423</w:t>
            </w:r>
            <w:r/>
          </w:p>
        </w:tc>
      </w:tr>
      <w:tr>
        <w:tblPrEx/>
        <w:trPr>
          <w:trHeight w:val="20"/>
        </w:trPr>
        <w:tc>
          <w:tcPr>
            <w:tcW w:w="2273" w:type="pct"/>
            <w:vAlign w:val="center"/>
            <w:textDirection w:val="lrTb"/>
            <w:noWrap w:val="false"/>
          </w:tcPr>
          <w:p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Объем отходов</w:t>
            </w:r>
            <w:r>
              <w:rPr>
                <w:color w:val="000000"/>
                <w:spacing w:val="-1"/>
              </w:rPr>
            </w:r>
          </w:p>
        </w:tc>
        <w:tc>
          <w:tcPr>
            <w:tcW w:w="60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тонн</w:t>
            </w:r>
            <w:r>
              <w:rPr>
                <w:color w:val="000000"/>
                <w:spacing w:val="-1"/>
              </w:rPr>
            </w:r>
          </w:p>
        </w:tc>
        <w:tc>
          <w:tcPr>
            <w:tcW w:w="531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345</w:t>
            </w:r>
            <w:r/>
          </w:p>
        </w:tc>
        <w:tc>
          <w:tcPr>
            <w:tcW w:w="531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428,6</w:t>
            </w:r>
            <w:r/>
          </w:p>
        </w:tc>
        <w:tc>
          <w:tcPr>
            <w:tcW w:w="531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213</w:t>
            </w:r>
            <w:r/>
          </w:p>
        </w:tc>
        <w:tc>
          <w:tcPr>
            <w:tcW w:w="52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673</w:t>
            </w:r>
            <w:r/>
          </w:p>
        </w:tc>
      </w:tr>
      <w:tr>
        <w:tblPrEx/>
        <w:trPr>
          <w:trHeight w:val="20"/>
        </w:trPr>
        <w:tc>
          <w:tcPr>
            <w:tcW w:w="2273" w:type="pct"/>
            <w:vAlign w:val="center"/>
            <w:textDirection w:val="lrTb"/>
            <w:noWrap w:val="false"/>
          </w:tcPr>
          <w:p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Количество ликвидированных свалок</w:t>
            </w:r>
            <w:r>
              <w:rPr>
                <w:color w:val="000000"/>
                <w:spacing w:val="-1"/>
              </w:rPr>
            </w:r>
          </w:p>
        </w:tc>
        <w:tc>
          <w:tcPr>
            <w:tcW w:w="60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ед.</w:t>
            </w:r>
            <w:r>
              <w:rPr>
                <w:color w:val="000000"/>
                <w:spacing w:val="-1"/>
              </w:rPr>
            </w:r>
          </w:p>
        </w:tc>
        <w:tc>
          <w:tcPr>
            <w:tcW w:w="53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14</w:t>
            </w:r>
            <w:r>
              <w:rPr>
                <w:color w:val="000000"/>
                <w:spacing w:val="-1"/>
              </w:rPr>
            </w:r>
          </w:p>
        </w:tc>
        <w:tc>
          <w:tcPr>
            <w:tcW w:w="53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16</w:t>
            </w:r>
            <w:r>
              <w:rPr>
                <w:color w:val="000000"/>
                <w:spacing w:val="-1"/>
              </w:rPr>
            </w:r>
          </w:p>
        </w:tc>
        <w:tc>
          <w:tcPr>
            <w:tcW w:w="53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12</w:t>
            </w:r>
            <w:r>
              <w:rPr>
                <w:color w:val="000000"/>
                <w:spacing w:val="-1"/>
              </w:rPr>
            </w:r>
          </w:p>
        </w:tc>
        <w:tc>
          <w:tcPr>
            <w:tcW w:w="52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5</w:t>
            </w:r>
            <w:r>
              <w:rPr>
                <w:color w:val="000000"/>
                <w:spacing w:val="-1"/>
              </w:rPr>
            </w:r>
          </w:p>
        </w:tc>
      </w:tr>
    </w:tbl>
    <w:p>
      <w:pPr>
        <w:pStyle w:val="1570"/>
        <w:ind w:firstLine="0"/>
        <w:rPr>
          <w:rFonts w:asciiTheme="minorHAnsi" w:hAnsiTheme="minorHAnsi" w:cstheme="minorHAnsi"/>
          <w:i/>
          <w:iCs w:val="0"/>
          <w:sz w:val="28"/>
          <w:szCs w:val="28"/>
        </w:rPr>
      </w:pPr>
      <w:r>
        <w:rPr>
          <w:rFonts w:asciiTheme="minorHAnsi" w:hAnsiTheme="minorHAnsi" w:cstheme="minorHAnsi"/>
          <w:i/>
          <w:iCs w:val="0"/>
          <w:sz w:val="28"/>
          <w:szCs w:val="28"/>
        </w:rPr>
      </w:r>
      <w:r>
        <w:rPr>
          <w:rFonts w:asciiTheme="minorHAnsi" w:hAnsiTheme="minorHAnsi" w:cstheme="minorHAnsi"/>
          <w:i/>
          <w:iCs w:val="0"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i/>
          <w:iCs w:val="0"/>
          <w:sz w:val="28"/>
          <w:szCs w:val="28"/>
        </w:rPr>
      </w:pPr>
      <w:r>
        <w:rPr>
          <w:rFonts w:asciiTheme="minorHAnsi" w:hAnsiTheme="minorHAnsi" w:cstheme="minorHAnsi"/>
          <w:i/>
          <w:iCs w:val="0"/>
          <w:sz w:val="28"/>
          <w:szCs w:val="28"/>
        </w:rPr>
        <w:t xml:space="preserve">---------------------------</w:t>
      </w:r>
      <w:r>
        <w:rPr>
          <w:rFonts w:asciiTheme="minorHAnsi" w:hAnsiTheme="minorHAnsi" w:cstheme="minorHAnsi"/>
          <w:i/>
          <w:iCs w:val="0"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Примечание. Источники информации – сведения АО «ПРО ТКО».</w:t>
      </w:r>
      <w:bookmarkEnd w:id="313"/>
      <w:r/>
      <w:r>
        <w:rPr>
          <w:rFonts w:asciiTheme="minorHAnsi" w:hAnsiTheme="minorHAnsi" w:cstheme="minorHAnsi"/>
          <w:szCs w:val="24"/>
        </w:rPr>
      </w:r>
    </w:p>
    <w:p>
      <w:pPr>
        <w:pStyle w:val="1570"/>
        <w:ind w:firstLine="0"/>
        <w:rPr>
          <w:rFonts w:asciiTheme="minorHAnsi" w:hAnsiTheme="minorHAnsi" w:cstheme="minorHAnsi"/>
          <w:i/>
          <w:iCs w:val="0"/>
          <w:sz w:val="28"/>
          <w:szCs w:val="28"/>
        </w:rPr>
      </w:pPr>
      <w:r>
        <w:rPr>
          <w:rFonts w:asciiTheme="minorHAnsi" w:hAnsiTheme="minorHAnsi" w:cstheme="minorHAnsi"/>
          <w:i/>
          <w:iCs w:val="0"/>
          <w:sz w:val="28"/>
          <w:szCs w:val="28"/>
        </w:rPr>
      </w:r>
      <w:r>
        <w:rPr>
          <w:rFonts w:asciiTheme="minorHAnsi" w:hAnsiTheme="minorHAnsi" w:cstheme="minorHAnsi"/>
          <w:i/>
          <w:iCs w:val="0"/>
          <w:sz w:val="28"/>
          <w:szCs w:val="28"/>
        </w:rPr>
      </w:r>
    </w:p>
    <w:p>
      <w:pPr>
        <w:pStyle w:val="1570"/>
        <w:rPr>
          <w:sz w:val="28"/>
          <w:szCs w:val="28"/>
        </w:rPr>
      </w:pPr>
      <w:r/>
      <w:bookmarkStart w:id="315" w:name="_Hlk172653866"/>
      <w:r>
        <w:rPr>
          <w:sz w:val="28"/>
          <w:szCs w:val="28"/>
        </w:rPr>
        <w:t xml:space="preserve">В свою очередь, Государственная инспекция по экологии и </w:t>
      </w:r>
      <w:r>
        <w:rPr>
          <w:sz w:val="28"/>
          <w:szCs w:val="28"/>
        </w:rPr>
        <w:t xml:space="preserve">природопользованию Пермского края</w:t>
      </w:r>
      <w:r>
        <w:rPr>
          <w:sz w:val="28"/>
          <w:szCs w:val="28"/>
        </w:rPr>
        <w:t xml:space="preserve"> и администрация города Перми также принимают активные меры по борьбе с несанкционированным</w:t>
      </w:r>
      <w:r>
        <w:rPr>
          <w:sz w:val="28"/>
          <w:szCs w:val="28"/>
        </w:rPr>
        <w:t xml:space="preserve">и свалками, для чего организован обмен информацией о мероприятиях по выявлению и ликвидации мест сброса отходов производства и потребления. Согласно информации, размещенной на сайте Государственной инспекции по экологии и природопользованию Пермского края,</w:t>
      </w:r>
      <w:r>
        <w:rPr>
          <w:rStyle w:val="1482"/>
          <w:sz w:val="28"/>
          <w:szCs w:val="28"/>
        </w:rPr>
        <w:footnoteReference w:id="5"/>
      </w:r>
      <w:r>
        <w:rPr>
          <w:sz w:val="28"/>
          <w:szCs w:val="28"/>
        </w:rPr>
        <w:t xml:space="preserve"> по состоянию на конец 2023 года на территории города Перми было выявлено 421 такое место, 413 из которых были ликвидированы силами МБУ «Полигон».  </w:t>
      </w:r>
      <w:bookmarkEnd w:id="315"/>
      <w:r/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Наличие несанкционированных мест размещения отходов на территории города может приводить к нанесению существенного экологического ущерба, ухудшению санитарно-эпидемиологической ситуации.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Выбросы парниковых газов производятся в местах захоронения и сжигания ТКО (поли</w:t>
      </w:r>
      <w:r>
        <w:rPr>
          <w:sz w:val="28"/>
          <w:szCs w:val="28"/>
        </w:rPr>
        <w:t xml:space="preserve">гоны, свалки и т.п.). Поскольку полигоны располагаются за пределами города Перми, а несанкционированные свалки своевременно ликвидируются, то эмиссия парниковых газов в системе обращения твердых коммунальных отходов на территории города Перми отсутствует. 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/>
      <w:bookmarkStart w:id="316" w:name="_Toc119947501"/>
      <w:r/>
      <w:bookmarkStart w:id="317" w:name="_Toc175216016"/>
      <w:r>
        <w:rPr>
          <w:b/>
          <w:bCs/>
          <w:sz w:val="28"/>
          <w:szCs w:val="28"/>
        </w:rPr>
        <w:t xml:space="preserve">2.6.10 Тарифы, плата (тариф) за подключение (присоединение), структура себестоимости производства и транспорта ресурса</w:t>
      </w:r>
      <w:bookmarkEnd w:id="316"/>
      <w:r/>
      <w:bookmarkEnd w:id="317"/>
      <w:r/>
      <w:r>
        <w:rPr>
          <w:b/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первую половину 2024 года установлен тариф без налога на добавленную стоимость в размере 5 923,33 руб. за тонну. Тариф единый в пределах одной территориальной зоны и включает затра</w:t>
      </w:r>
      <w:r>
        <w:rPr>
          <w:sz w:val="28"/>
          <w:szCs w:val="28"/>
        </w:rPr>
        <w:t xml:space="preserve">ты на сбор, транспортирование, обезвреживание и захоронение (утилизацию) ТКО, а также собственные расходы регионального оператора, направленные на осуществление деятельности. Предельные тарифы на услуги регионального оператора представлены в таблице 2.33.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567" w:footer="567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44"/>
        <w:jc w:val="right"/>
        <w:rPr>
          <w:b/>
          <w:bCs/>
          <w:sz w:val="28"/>
          <w:szCs w:val="28"/>
        </w:rPr>
      </w:pPr>
      <w:r/>
      <w:bookmarkStart w:id="318" w:name="_Toc175216109"/>
      <w:r>
        <w:rPr>
          <w:b/>
          <w:bCs/>
          <w:sz w:val="28"/>
          <w:szCs w:val="28"/>
        </w:rPr>
        <w:t xml:space="preserve">Таблица 2.33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Предельные тарифы на услуги регионального оператора</w:t>
      </w:r>
      <w:bookmarkEnd w:id="318"/>
      <w:r/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</w:r>
      <w:r>
        <w:rPr>
          <w:b/>
          <w:bCs/>
          <w:sz w:val="28"/>
          <w:szCs w:val="28"/>
          <w:lang w:eastAsia="en-US"/>
        </w:rPr>
      </w:r>
    </w:p>
    <w:tbl>
      <w:tblPr>
        <w:tblStyle w:val="988"/>
        <w:tblW w:w="5000" w:type="pct"/>
        <w:tblLook w:val="04A0" w:firstRow="1" w:lastRow="0" w:firstColumn="1" w:lastColumn="0" w:noHBand="0" w:noVBand="1"/>
      </w:tblPr>
      <w:tblGrid>
        <w:gridCol w:w="2930"/>
        <w:gridCol w:w="1173"/>
        <w:gridCol w:w="1089"/>
        <w:gridCol w:w="973"/>
        <w:gridCol w:w="973"/>
        <w:gridCol w:w="973"/>
        <w:gridCol w:w="973"/>
        <w:gridCol w:w="973"/>
        <w:gridCol w:w="973"/>
        <w:gridCol w:w="995"/>
        <w:gridCol w:w="1028"/>
        <w:gridCol w:w="1046"/>
        <w:gridCol w:w="970"/>
      </w:tblGrid>
      <w:tr>
        <w:tblPrEx/>
        <w:trPr>
          <w:trHeight w:val="20"/>
        </w:trPr>
        <w:tc>
          <w:tcPr>
            <w:tcW w:w="972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Группа потребителей</w:t>
            </w:r>
            <w:r>
              <w:rPr>
                <w:color w:val="000000"/>
              </w:rPr>
            </w:r>
          </w:p>
        </w:tc>
        <w:tc>
          <w:tcPr>
            <w:gridSpan w:val="2"/>
            <w:tcW w:w="7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2019</w:t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</w:t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2021</w:t>
            </w:r>
            <w:r>
              <w:rPr>
                <w:color w:val="00000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2022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2023</w:t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2024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97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89" w:type="pct"/>
            <w:vAlign w:val="center"/>
            <w:textDirection w:val="lrTb"/>
            <w:noWrap w:val="false"/>
          </w:tcPr>
          <w:p>
            <w:pPr>
              <w:ind w:left="-164" w:right="-115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 xml:space="preserve">пол.</w:t>
            </w:r>
            <w:r>
              <w:rPr>
                <w:color w:val="000000"/>
              </w:rPr>
            </w:r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left="-164" w:right="-115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 xml:space="preserve">пол.</w:t>
            </w:r>
            <w:r>
              <w:rPr>
                <w:color w:val="000000"/>
                <w:lang w:val="en-US"/>
              </w:rPr>
            </w:r>
          </w:p>
        </w:tc>
        <w:tc>
          <w:tcPr>
            <w:tcW w:w="323" w:type="pct"/>
            <w:vAlign w:val="center"/>
            <w:textDirection w:val="lrTb"/>
            <w:noWrap w:val="false"/>
          </w:tcPr>
          <w:p>
            <w:pPr>
              <w:ind w:left="-164" w:right="-115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 xml:space="preserve">пол.</w:t>
            </w:r>
            <w:r>
              <w:rPr>
                <w:color w:val="000000"/>
              </w:rPr>
            </w:r>
          </w:p>
        </w:tc>
        <w:tc>
          <w:tcPr>
            <w:tcBorders>
              <w:right w:val="single" w:color="auto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ind w:left="-164" w:right="-115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 xml:space="preserve">пол.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ind w:left="-164" w:right="-115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 xml:space="preserve">пол.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ind w:left="-164" w:right="-115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 xml:space="preserve">пол.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ind w:left="-164" w:right="-115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 xml:space="preserve">пол.</w:t>
            </w:r>
            <w:r>
              <w:rPr>
                <w:color w:val="00000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ind w:left="-164" w:right="-115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 xml:space="preserve">пол. </w:t>
            </w:r>
            <w:r>
              <w:rPr>
                <w:color w:val="000000"/>
                <w:vertAlign w:val="superscript"/>
              </w:rPr>
              <w:t xml:space="preserve"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" w:type="pct"/>
            <w:textDirection w:val="lrTb"/>
            <w:noWrap w:val="false"/>
          </w:tcPr>
          <w:p>
            <w:pPr>
              <w:ind w:left="-164" w:right="-1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 01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 xml:space="preserve">дек.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textDirection w:val="lrTb"/>
            <w:noWrap w:val="false"/>
          </w:tcPr>
          <w:p>
            <w:pPr>
              <w:ind w:left="-164" w:right="-115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год</w:t>
            </w:r>
            <w:r>
              <w:rPr>
                <w:color w:val="00000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ind w:left="-164" w:right="-115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 xml:space="preserve">пол.</w:t>
            </w:r>
            <w:r>
              <w:rPr>
                <w:color w:val="00000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2" w:type="pct"/>
            <w:vAlign w:val="center"/>
            <w:textDirection w:val="lrTb"/>
            <w:noWrap w:val="false"/>
          </w:tcPr>
          <w:p>
            <w:pPr>
              <w:ind w:left="-164" w:right="-115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 xml:space="preserve">пол.</w:t>
            </w:r>
            <w:r>
              <w:rPr>
                <w:color w:val="000000"/>
                <w:lang w:val="en-US"/>
              </w:rPr>
            </w:r>
          </w:p>
        </w:tc>
      </w:tr>
      <w:tr>
        <w:tblPrEx/>
        <w:trPr>
          <w:trHeight w:val="20"/>
        </w:trPr>
        <w:tc>
          <w:tcPr>
            <w:tcW w:w="972" w:type="pct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Прочие, руб./т (без НДС)</w:t>
            </w:r>
            <w:r>
              <w:rPr>
                <w:color w:val="000000"/>
              </w:rPr>
            </w:r>
          </w:p>
        </w:tc>
        <w:tc>
          <w:tcPr>
            <w:tcW w:w="389" w:type="pct"/>
            <w:vAlign w:val="center"/>
            <w:textDirection w:val="lrTb"/>
            <w:noWrap w:val="false"/>
          </w:tcPr>
          <w:p>
            <w:pPr>
              <w:ind w:left="-164" w:right="-1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5 699,60</w:t>
            </w:r>
            <w:r>
              <w:rPr>
                <w:color w:val="000000"/>
              </w:rPr>
            </w:r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left="-164" w:right="-1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5 699,60</w:t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ind w:left="-164" w:right="-1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5 699,60</w:t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auto" w:sz="4" w:space="0"/>
              <w:right w:val="single" w:color="auto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ind w:left="-164" w:right="-1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6 160,67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ind w:left="-164" w:right="-1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6 160,67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ind w:left="-164" w:right="-1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6 607,57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ind w:left="-164" w:right="-1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5 942,78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ind w:left="-164" w:right="-1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5 942,78</w:t>
            </w:r>
            <w:r>
              <w:rPr>
                <w:color w:val="000000"/>
              </w:rPr>
            </w:r>
          </w:p>
        </w:tc>
        <w:tc>
          <w:tcPr>
            <w:tcW w:w="330" w:type="pct"/>
            <w:vAlign w:val="center"/>
            <w:textDirection w:val="lrTb"/>
            <w:noWrap w:val="false"/>
          </w:tcPr>
          <w:p>
            <w:pPr>
              <w:ind w:left="-164" w:right="-1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5 923,33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textDirection w:val="lrTb"/>
            <w:noWrap w:val="false"/>
          </w:tcPr>
          <w:p>
            <w:pPr>
              <w:ind w:left="-164" w:right="-1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5 923,33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ind w:left="-164" w:right="-1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5 923,33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2" w:type="pct"/>
            <w:vAlign w:val="center"/>
            <w:textDirection w:val="lrTb"/>
            <w:noWrap w:val="false"/>
          </w:tcPr>
          <w:p>
            <w:pPr>
              <w:ind w:left="-164" w:right="-1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6 456,43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972" w:type="pct"/>
            <w:vAlign w:val="center"/>
            <w:textDirection w:val="lrTb"/>
            <w:noWrap w:val="false"/>
          </w:tcPr>
          <w:p>
            <w:pPr>
              <w:ind w:right="-38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Население, руб./т (с НДС)</w:t>
            </w:r>
            <w:r>
              <w:rPr>
                <w:color w:val="000000"/>
              </w:rPr>
            </w:r>
          </w:p>
        </w:tc>
        <w:tc>
          <w:tcPr>
            <w:tcW w:w="389" w:type="pct"/>
            <w:vAlign w:val="center"/>
            <w:textDirection w:val="lrTb"/>
            <w:noWrap w:val="false"/>
          </w:tcPr>
          <w:p>
            <w:pPr>
              <w:ind w:left="-164" w:right="-1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6 839,52</w:t>
            </w:r>
            <w:r>
              <w:rPr>
                <w:color w:val="000000"/>
              </w:rPr>
            </w:r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ind w:left="-164" w:right="-1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6 839,52</w:t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ind w:left="-164" w:right="-1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6 839,52</w:t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auto" w:sz="4" w:space="0"/>
              <w:right w:val="single" w:color="auto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ind w:left="-164" w:right="-1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7 320,80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ind w:left="-164" w:right="-1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7 320,80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ind w:left="-164" w:right="-1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7 929,08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ind w:left="-164" w:right="-1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7 131,34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ind w:left="-164" w:right="-1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7 131,34</w:t>
            </w:r>
            <w:r>
              <w:rPr>
                <w:color w:val="000000"/>
              </w:rPr>
            </w:r>
          </w:p>
        </w:tc>
        <w:tc>
          <w:tcPr>
            <w:tcW w:w="330" w:type="pct"/>
            <w:vAlign w:val="center"/>
            <w:textDirection w:val="lrTb"/>
            <w:noWrap w:val="false"/>
          </w:tcPr>
          <w:p>
            <w:pPr>
              <w:ind w:left="-164" w:right="-1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7 108,00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textDirection w:val="lrTb"/>
            <w:noWrap w:val="false"/>
          </w:tcPr>
          <w:p>
            <w:pPr>
              <w:ind w:left="-164" w:right="-1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7 108,00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ind w:left="-164" w:right="-1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7 108,00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2" w:type="pct"/>
            <w:vAlign w:val="center"/>
            <w:textDirection w:val="lrTb"/>
            <w:noWrap w:val="false"/>
          </w:tcPr>
          <w:p>
            <w:pPr>
              <w:ind w:left="-164" w:right="-1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7 747,72</w:t>
            </w:r>
            <w:r>
              <w:rPr>
                <w:color w:val="000000"/>
              </w:rPr>
            </w:r>
          </w:p>
        </w:tc>
      </w:tr>
    </w:tbl>
    <w:p>
      <w:pPr>
        <w:pStyle w:val="1570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1570"/>
        <w:rPr>
          <w:szCs w:val="24"/>
        </w:rPr>
      </w:pPr>
      <w:r>
        <w:rPr>
          <w:szCs w:val="24"/>
        </w:rPr>
        <w:t xml:space="preserve">---------------------------</w:t>
      </w:r>
      <w:r>
        <w:rPr>
          <w:szCs w:val="24"/>
        </w:rPr>
      </w:r>
    </w:p>
    <w:p>
      <w:pPr>
        <w:pStyle w:val="1570"/>
        <w:rPr>
          <w:szCs w:val="24"/>
        </w:rPr>
      </w:pPr>
      <w:r>
        <w:rPr>
          <w:szCs w:val="24"/>
        </w:rPr>
        <w:t xml:space="preserve">1. До 01 декабря. </w:t>
      </w:r>
      <w:r>
        <w:rPr>
          <w:szCs w:val="24"/>
        </w:rPr>
      </w:r>
    </w:p>
    <w:p>
      <w:pPr>
        <w:pStyle w:val="1570"/>
        <w:rPr>
          <w:szCs w:val="24"/>
        </w:rPr>
      </w:pPr>
      <w:r>
        <w:rPr>
          <w:szCs w:val="24"/>
        </w:rPr>
        <w:t xml:space="preserve">Примечание. Источники информации – постановления Министерства тарифного регулирования и энергетики Пермского края</w:t>
      </w:r>
      <w:r>
        <w:t xml:space="preserve"> «О предельном едином тарифе регионального оператора по обращению с твердыми коммунальными отходами акционерного общества «Пермский региональный оператор ТКО» на территории Пермского края»</w:t>
      </w:r>
      <w:r>
        <w:rPr>
          <w:szCs w:val="24"/>
        </w:rPr>
        <w:t xml:space="preserve">. </w:t>
      </w:r>
      <w:r>
        <w:rPr>
          <w:szCs w:val="24"/>
        </w:rPr>
      </w:r>
    </w:p>
    <w:p>
      <w:pPr>
        <w:pStyle w:val="1570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1570"/>
        <w:ind w:firstLine="0"/>
        <w:rPr>
          <w:i/>
          <w:iCs w:val="0"/>
          <w:sz w:val="20"/>
          <w:szCs w:val="20"/>
        </w:rPr>
      </w:pPr>
      <w:r>
        <w:rPr>
          <w:i/>
          <w:iCs w:val="0"/>
          <w:sz w:val="20"/>
          <w:szCs w:val="20"/>
        </w:rPr>
      </w:r>
      <w:r>
        <w:rPr>
          <w:i/>
          <w:iCs w:val="0"/>
          <w:sz w:val="20"/>
          <w:szCs w:val="20"/>
        </w:rPr>
      </w:r>
    </w:p>
    <w:p>
      <w:pPr>
        <w:pStyle w:val="1570"/>
        <w:ind w:firstLine="0"/>
        <w:rPr>
          <w:i/>
          <w:iCs w:val="0"/>
          <w:sz w:val="20"/>
          <w:szCs w:val="20"/>
        </w:rPr>
      </w:pPr>
      <w:r>
        <w:rPr>
          <w:i/>
          <w:iCs w:val="0"/>
          <w:sz w:val="20"/>
          <w:szCs w:val="20"/>
        </w:rPr>
      </w:r>
      <w:r>
        <w:rPr>
          <w:i/>
          <w:iCs w:val="0"/>
          <w:sz w:val="20"/>
          <w:szCs w:val="20"/>
        </w:rPr>
      </w:r>
    </w:p>
    <w:p>
      <w:pPr>
        <w:pStyle w:val="1570"/>
        <w:ind w:firstLine="0"/>
        <w:rPr>
          <w:i/>
          <w:iCs w:val="0"/>
          <w:sz w:val="20"/>
          <w:szCs w:val="20"/>
        </w:rPr>
        <w:sectPr>
          <w:footnotePr/>
          <w:endnotePr/>
          <w:type w:val="nextPage"/>
          <w:pgSz w:w="16838" w:h="11906" w:orient="landscape"/>
          <w:pgMar w:top="1134" w:right="567" w:bottom="1134" w:left="1418" w:header="567" w:footer="567" w:gutter="0"/>
          <w:cols w:num="1" w:sep="0" w:space="708" w:equalWidth="1"/>
          <w:docGrid w:linePitch="360"/>
        </w:sectPr>
      </w:pPr>
      <w:r>
        <w:rPr>
          <w:i/>
          <w:iCs w:val="0"/>
          <w:sz w:val="20"/>
          <w:szCs w:val="20"/>
        </w:rPr>
      </w:r>
      <w:r>
        <w:rPr>
          <w:i/>
          <w:iCs w:val="0"/>
          <w:sz w:val="20"/>
          <w:szCs w:val="20"/>
        </w:rPr>
      </w:r>
    </w:p>
    <w:p>
      <w:pPr>
        <w:jc w:val="center"/>
        <w:rPr>
          <w:b/>
          <w:bCs/>
          <w:sz w:val="28"/>
          <w:szCs w:val="28"/>
        </w:rPr>
      </w:pPr>
      <w:r/>
      <w:bookmarkStart w:id="319" w:name="_Toc119947502"/>
      <w:r/>
      <w:bookmarkStart w:id="320" w:name="_Toc175216017"/>
      <w:r>
        <w:rPr>
          <w:b/>
          <w:bCs/>
          <w:sz w:val="28"/>
          <w:szCs w:val="28"/>
        </w:rPr>
        <w:t xml:space="preserve">2.6.11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 xml:space="preserve">Технические и технологические проблемы в системе</w:t>
      </w:r>
      <w:bookmarkEnd w:id="319"/>
      <w:r/>
      <w:bookmarkEnd w:id="320"/>
      <w:r/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системе обращения ТКО существуют следующие основные проблемы: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/>
      <w:bookmarkStart w:id="321" w:name="_Hlk172654199"/>
      <w:r>
        <w:rPr>
          <w:sz w:val="28"/>
          <w:szCs w:val="28"/>
        </w:rPr>
        <w:t xml:space="preserve">небольшая нехватка </w:t>
      </w:r>
      <w:bookmarkEnd w:id="321"/>
      <w:r>
        <w:rPr>
          <w:sz w:val="28"/>
          <w:szCs w:val="28"/>
        </w:rPr>
        <w:t xml:space="preserve">контейнеров для соблюдения санитарных норм;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в достаточном количестве мест для обустройства контейнерных площадок в соответствии с нормативными требованиями ввиду плотной жилой застройки, узких дворов, отсутствия проездов и пространства для маневрирования мусоровозов;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у части юридических лиц и индивидуальных предпринимателей собственных контейнерных площадок, оборудованных в соответствии с нормативными требованиями (при этом региональный оператор не вправе отказать в заключении договора на этом основании);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складирование в контейнеры отходов, не относящихся к ТКО (строительный мусор, автомобильные шины и др.);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жесткие требования (предусматривают чаще выв</w:t>
      </w:r>
      <w:r>
        <w:rPr>
          <w:sz w:val="28"/>
          <w:szCs w:val="28"/>
        </w:rPr>
        <w:t xml:space="preserve">оз) регионального законодательства по сравнению с федеральным в части сбора и вывоза крупногабаритных отходов, в результате чего у регионального оператора возникают убытки (перерасчет за некачественно оказанную услугу и наложение административных штрафов).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/>
      <w:bookmarkStart w:id="322" w:name="_Toc175216018"/>
      <w:r/>
      <w:bookmarkStart w:id="323" w:name="_Toc119947503"/>
      <w:r>
        <w:rPr>
          <w:b/>
          <w:bCs/>
          <w:sz w:val="28"/>
          <w:szCs w:val="28"/>
        </w:rPr>
        <w:t xml:space="preserve">2.7. Краткий анализ существующего состояния системы ливневой канализации</w:t>
      </w:r>
      <w:bookmarkEnd w:id="322"/>
      <w:r/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/>
      <w:bookmarkStart w:id="324" w:name="_Toc175216019"/>
      <w:r>
        <w:rPr>
          <w:b/>
          <w:bCs/>
          <w:sz w:val="28"/>
          <w:szCs w:val="28"/>
        </w:rPr>
        <w:t xml:space="preserve">2.7.1 Институциональная структура</w:t>
      </w:r>
      <w:bookmarkEnd w:id="324"/>
      <w:r/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/>
      <w:bookmarkStart w:id="325" w:name="_Hlk164943822"/>
      <w:r>
        <w:rPr>
          <w:sz w:val="28"/>
          <w:szCs w:val="28"/>
        </w:rPr>
        <w:t xml:space="preserve">МБУ «Полигон»</w:t>
      </w:r>
      <w:bookmarkEnd w:id="325"/>
      <w:r>
        <w:rPr>
          <w:sz w:val="28"/>
          <w:szCs w:val="28"/>
        </w:rPr>
        <w:t xml:space="preserve"> осуществляется деятельность на территории муниципального образования город Пермь по содержанию городских коммуникаций, в том числе систем ливневой канализации.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Ливневая канализация в городе Перми развивалась одновременно с развитием капитальной застройки с учетом рельефа местности. </w:t>
      </w:r>
      <w:r>
        <w:rPr>
          <w:sz w:val="28"/>
          <w:szCs w:val="28"/>
        </w:rPr>
      </w:r>
    </w:p>
    <w:p>
      <w:pPr>
        <w:pStyle w:val="1570"/>
        <w:keepLines/>
        <w:keepNext/>
        <w:rPr>
          <w:sz w:val="28"/>
          <w:szCs w:val="28"/>
        </w:rPr>
      </w:pPr>
      <w:r>
        <w:rPr>
          <w:sz w:val="28"/>
          <w:szCs w:val="28"/>
        </w:rPr>
        <w:t xml:space="preserve">Система отведения ливневых стоков города Перми включает: 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сети ливневого стока общей протяженностью 444,6 км, из которых: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163,4 км – находятся на оперативном управлении МБУ «Полигон»;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около 70 км – содержатся и обслуживаются МБУ «Полигон», но не поставлены на баланс (владелец не установлен);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14 локальных очистных сооружений, числящихся на балансовой ведомости МБУ «Полигон»;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146 выпусков ливневых стоков, из которых 104 являются бесхозными, а остальные числятся на балансе МБУ «Полигон».</w:t>
      </w:r>
      <w:r>
        <w:rPr>
          <w:sz w:val="28"/>
          <w:szCs w:val="28"/>
        </w:rPr>
      </w:r>
    </w:p>
    <w:p>
      <w:pPr>
        <w:pStyle w:val="1544"/>
      </w:pPr>
      <w:r/>
      <w:bookmarkStart w:id="326" w:name="_Toc175216020"/>
      <w:r/>
      <w:r/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2.7.2 Характеристика системы ливневой канализации</w:t>
      </w:r>
      <w:bookmarkEnd w:id="326"/>
      <w:r/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эффективность очистки поверхностных сточных вод в Перми очень низкая. Очистке подвергается только небольшой объем стоков с территории города Перми. Всего на территории города существует </w:t>
      </w:r>
      <w:r>
        <w:rPr>
          <w:sz w:val="28"/>
          <w:szCs w:val="28"/>
        </w:rPr>
        <w:t xml:space="preserve">14 локальных очистных сооружений, введенных в эксплуатацию относительно недавно – в период с 2003 по 2021 годы.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Для очистки поверхностного стока, в основном, применяется следующая схема. Общий поток дождевых вод с канализуемой тер</w:t>
      </w:r>
      <w:r>
        <w:rPr>
          <w:sz w:val="28"/>
          <w:szCs w:val="28"/>
        </w:rPr>
        <w:t xml:space="preserve">ритории в ливнеспуске разделяется на загрязненную и условно чистую части, перед разделением на некоторых объектах предусматривается решетка для улавливания крупных загрязнений; на очистные сооружения поступают только загрязненные порции дождевых вод. Часть</w:t>
      </w:r>
      <w:r>
        <w:rPr>
          <w:sz w:val="28"/>
          <w:szCs w:val="28"/>
        </w:rPr>
        <w:t xml:space="preserve"> очистных сооружений оборудована аккумулирующими емкостями, в которых предусматривается предварительное извлечение грубодисперсных минеральных примесей и всплытие нефтепродуктов. Для нефтепродуктов на некоторых очистных сооружениях предусматриваются также </w:t>
      </w:r>
      <w:r>
        <w:rPr>
          <w:sz w:val="28"/>
          <w:szCs w:val="28"/>
        </w:rPr>
        <w:t xml:space="preserve">нефтеуловители</w:t>
      </w:r>
      <w:r>
        <w:rPr>
          <w:sz w:val="28"/>
          <w:szCs w:val="28"/>
        </w:rPr>
        <w:t xml:space="preserve">. После предварительной очистки сточные воды направляются на доочистку с помощью фильтров.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Общие сведения о локальных очистных сооружениях поверхностных сточных вод города Перми представлены в таблице 2.34.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340" w:footer="567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44"/>
        <w:jc w:val="right"/>
        <w:rPr>
          <w:b/>
          <w:bCs/>
          <w:sz w:val="28"/>
          <w:szCs w:val="28"/>
        </w:rPr>
      </w:pPr>
      <w:r/>
      <w:bookmarkStart w:id="327" w:name="_Toc175216110"/>
      <w:r>
        <w:rPr>
          <w:b/>
          <w:bCs/>
          <w:sz w:val="28"/>
          <w:szCs w:val="28"/>
        </w:rPr>
        <w:t xml:space="preserve">Таблица 2.34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Общие сведения о локальных очистных сооружениях поверхностных сточных вод города Перми</w:t>
      </w:r>
      <w:bookmarkEnd w:id="327"/>
      <w:r/>
      <w:r>
        <w:rPr>
          <w:b/>
          <w:bCs/>
          <w:sz w:val="28"/>
          <w:szCs w:val="28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tbl>
      <w:tblPr>
        <w:tblStyle w:val="988"/>
        <w:tblW w:w="5000" w:type="pct"/>
        <w:tblLook w:val="04A0" w:firstRow="1" w:lastRow="0" w:firstColumn="1" w:lastColumn="0" w:noHBand="0" w:noVBand="1"/>
      </w:tblPr>
      <w:tblGrid>
        <w:gridCol w:w="730"/>
        <w:gridCol w:w="5473"/>
        <w:gridCol w:w="1844"/>
        <w:gridCol w:w="7022"/>
      </w:tblGrid>
      <w:tr>
        <w:tblPrEx/>
        <w:trPr>
          <w:trHeight w:val="20"/>
          <w:tblHeader/>
        </w:trPr>
        <w:tc>
          <w:tcPr>
            <w:shd w:val="clear" w:color="auto" w:fill="auto"/>
            <w:tcW w:w="242" w:type="pct"/>
            <w:vAlign w:val="center"/>
            <w:textDirection w:val="lrTb"/>
            <w:noWrap w:val="false"/>
          </w:tcPr>
          <w:p>
            <w:pPr>
              <w:ind w:left="-112" w:right="-56"/>
              <w:jc w:val="center"/>
            </w:pPr>
            <w:r/>
            <w:bookmarkStart w:id="328" w:name="_Hlk161835175"/>
            <w:r>
              <w:t xml:space="preserve">№</w:t>
            </w:r>
            <w:r/>
          </w:p>
        </w:tc>
        <w:tc>
          <w:tcPr>
            <w:shd w:val="clear" w:color="auto" w:fill="auto"/>
            <w:tcW w:w="1816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объекта</w:t>
            </w:r>
            <w:r/>
          </w:p>
        </w:tc>
        <w:tc>
          <w:tcPr>
            <w:shd w:val="clear" w:color="auto" w:fill="auto"/>
            <w:tcW w:w="61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Год постройки</w:t>
            </w:r>
            <w:r/>
          </w:p>
        </w:tc>
        <w:tc>
          <w:tcPr>
            <w:shd w:val="clear" w:color="auto" w:fill="auto"/>
            <w:tcW w:w="2330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Применяемые технологии очистки</w:t>
            </w:r>
            <w:r/>
          </w:p>
        </w:tc>
      </w:tr>
    </w:tbl>
    <w:p>
      <w:pPr>
        <w:spacing w:line="48" w:lineRule="auto"/>
      </w:pPr>
      <w:r/>
      <w:r/>
    </w:p>
    <w:tbl>
      <w:tblPr>
        <w:tblStyle w:val="988"/>
        <w:tblW w:w="5000" w:type="pct"/>
        <w:tblLook w:val="04A0" w:firstRow="1" w:lastRow="0" w:firstColumn="1" w:lastColumn="0" w:noHBand="0" w:noVBand="1"/>
      </w:tblPr>
      <w:tblGrid>
        <w:gridCol w:w="730"/>
        <w:gridCol w:w="5473"/>
        <w:gridCol w:w="1844"/>
        <w:gridCol w:w="7022"/>
      </w:tblGrid>
      <w:tr>
        <w:tblPrEx/>
        <w:trPr>
          <w:trHeight w:val="20"/>
          <w:tblHeader/>
        </w:trPr>
        <w:tc>
          <w:tcPr>
            <w:shd w:val="clear" w:color="auto" w:fill="auto"/>
            <w:tcW w:w="242" w:type="pct"/>
            <w:vAlign w:val="center"/>
            <w:textDirection w:val="lrTb"/>
            <w:noWrap w:val="false"/>
          </w:tcPr>
          <w:p>
            <w:pPr>
              <w:ind w:left="-112" w:right="-56"/>
              <w:jc w:val="center"/>
            </w:pPr>
            <w:r>
              <w:t xml:space="preserve">1</w:t>
            </w:r>
            <w:r/>
          </w:p>
        </w:tc>
        <w:tc>
          <w:tcPr>
            <w:shd w:val="clear" w:color="auto" w:fill="auto"/>
            <w:tcW w:w="1816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shd w:val="clear" w:color="auto" w:fill="auto"/>
            <w:tcW w:w="61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shd w:val="clear" w:color="auto" w:fill="auto"/>
            <w:tcW w:w="2330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shd w:val="clear" w:color="auto" w:fill="auto"/>
            <w:tcW w:w="1816" w:type="pct"/>
            <w:textDirection w:val="lrTb"/>
            <w:noWrap w:val="false"/>
          </w:tcPr>
          <w:p>
            <w:pPr>
              <w:ind w:right="-109"/>
            </w:pPr>
            <w:r/>
            <w:bookmarkStart w:id="329" w:name="_Hlk145248635"/>
            <w:r>
              <w:t xml:space="preserve">Очистные сооружения ливневых стоков, ул. Маршала Жукова</w:t>
            </w:r>
            <w:bookmarkEnd w:id="329"/>
            <w:r/>
            <w:r/>
          </w:p>
        </w:tc>
        <w:tc>
          <w:tcPr>
            <w:shd w:val="clear" w:color="auto" w:fill="auto"/>
            <w:tcW w:w="612" w:type="pct"/>
            <w:textDirection w:val="lrTb"/>
            <w:noWrap w:val="false"/>
          </w:tcPr>
          <w:p>
            <w:pPr>
              <w:jc w:val="center"/>
            </w:pPr>
            <w:r>
              <w:t xml:space="preserve">2011</w:t>
            </w:r>
            <w:r/>
          </w:p>
        </w:tc>
        <w:tc>
          <w:tcPr>
            <w:shd w:val="clear" w:color="auto" w:fill="auto"/>
            <w:tcW w:w="2330" w:type="pct"/>
            <w:textDirection w:val="lrTb"/>
            <w:noWrap w:val="false"/>
          </w:tcPr>
          <w:p>
            <w:r>
              <w:t xml:space="preserve">Выделение взвешенных веществ (осветление) и пленочных загрязнений (свободных нефтепродуктов).</w:t>
            </w:r>
            <w:r/>
          </w:p>
          <w:p>
            <w:r>
              <w:t xml:space="preserve">Обеззараживание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shd w:val="clear" w:color="auto" w:fill="auto"/>
            <w:tcW w:w="1816" w:type="pct"/>
            <w:textDirection w:val="lrTb"/>
            <w:noWrap w:val="false"/>
          </w:tcPr>
          <w:p>
            <w:r>
              <w:t xml:space="preserve">Очистные сооружения «Лит Г6»</w:t>
            </w:r>
            <w:r/>
          </w:p>
        </w:tc>
        <w:tc>
          <w:tcPr>
            <w:shd w:val="clear" w:color="auto" w:fill="auto"/>
            <w:tcW w:w="612" w:type="pct"/>
            <w:textDirection w:val="lrTb"/>
            <w:noWrap w:val="false"/>
          </w:tcPr>
          <w:p>
            <w:pPr>
              <w:jc w:val="center"/>
            </w:pPr>
            <w:r>
              <w:t xml:space="preserve">2010</w:t>
            </w:r>
            <w:r/>
          </w:p>
        </w:tc>
        <w:tc>
          <w:tcPr>
            <w:shd w:val="clear" w:color="auto" w:fill="auto"/>
            <w:tcW w:w="2330" w:type="pct"/>
            <w:textDirection w:val="lrTb"/>
            <w:noWrap w:val="false"/>
          </w:tcPr>
          <w:p>
            <w:r>
              <w:t xml:space="preserve">Отсутствует система очистки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shd w:val="clear" w:color="auto" w:fill="auto"/>
            <w:tcW w:w="1816" w:type="pct"/>
            <w:textDirection w:val="lrTb"/>
            <w:noWrap w:val="false"/>
          </w:tcPr>
          <w:p>
            <w:r>
              <w:t xml:space="preserve">Очистные сооружения «Лит Г4» </w:t>
            </w:r>
            <w:r/>
          </w:p>
        </w:tc>
        <w:tc>
          <w:tcPr>
            <w:shd w:val="clear" w:color="auto" w:fill="auto"/>
            <w:tcW w:w="612" w:type="pct"/>
            <w:textDirection w:val="lrTb"/>
            <w:noWrap w:val="false"/>
          </w:tcPr>
          <w:p>
            <w:pPr>
              <w:jc w:val="center"/>
            </w:pPr>
            <w:r>
              <w:t xml:space="preserve">2010</w:t>
            </w:r>
            <w:r/>
          </w:p>
        </w:tc>
        <w:tc>
          <w:tcPr>
            <w:shd w:val="clear" w:color="auto" w:fill="auto"/>
            <w:tcW w:w="2330" w:type="pct"/>
            <w:textDirection w:val="lrTb"/>
            <w:noWrap w:val="false"/>
          </w:tcPr>
          <w:p>
            <w:r>
              <w:t xml:space="preserve">Отсутствует система очистки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shd w:val="clear" w:color="auto" w:fill="auto"/>
            <w:tcW w:w="1816" w:type="pct"/>
            <w:textDirection w:val="lrTb"/>
            <w:noWrap w:val="false"/>
          </w:tcPr>
          <w:p>
            <w:r>
              <w:t xml:space="preserve">Очистные сооружения «Лит Г5» </w:t>
            </w:r>
            <w:r/>
          </w:p>
        </w:tc>
        <w:tc>
          <w:tcPr>
            <w:shd w:val="clear" w:color="auto" w:fill="auto"/>
            <w:tcW w:w="612" w:type="pct"/>
            <w:textDirection w:val="lrTb"/>
            <w:noWrap w:val="false"/>
          </w:tcPr>
          <w:p>
            <w:pPr>
              <w:jc w:val="center"/>
            </w:pPr>
            <w:r>
              <w:t xml:space="preserve">2010</w:t>
            </w:r>
            <w:r/>
          </w:p>
        </w:tc>
        <w:tc>
          <w:tcPr>
            <w:shd w:val="clear" w:color="auto" w:fill="auto"/>
            <w:tcW w:w="2330" w:type="pct"/>
            <w:textDirection w:val="lrTb"/>
            <w:noWrap w:val="false"/>
          </w:tcPr>
          <w:p>
            <w:r>
              <w:t xml:space="preserve">Отсутствует система очистки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shd w:val="clear" w:color="auto" w:fill="auto"/>
            <w:tcW w:w="1816" w:type="pct"/>
            <w:textDirection w:val="lrTb"/>
            <w:noWrap w:val="false"/>
          </w:tcPr>
          <w:p>
            <w:r>
              <w:t xml:space="preserve">Очистные сооружения «Лит Г3» </w:t>
            </w:r>
            <w:r/>
          </w:p>
        </w:tc>
        <w:tc>
          <w:tcPr>
            <w:shd w:val="clear" w:color="auto" w:fill="auto"/>
            <w:tcW w:w="612" w:type="pct"/>
            <w:textDirection w:val="lrTb"/>
            <w:noWrap w:val="false"/>
          </w:tcPr>
          <w:p>
            <w:pPr>
              <w:jc w:val="center"/>
            </w:pPr>
            <w:r>
              <w:t xml:space="preserve">2010</w:t>
            </w:r>
            <w:r/>
          </w:p>
        </w:tc>
        <w:tc>
          <w:tcPr>
            <w:shd w:val="clear" w:color="auto" w:fill="auto"/>
            <w:tcW w:w="2330" w:type="pct"/>
            <w:textDirection w:val="lrTb"/>
            <w:noWrap w:val="false"/>
          </w:tcPr>
          <w:p>
            <w:r>
              <w:t xml:space="preserve">Отсутствует система очистки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shd w:val="clear" w:color="auto" w:fill="auto"/>
            <w:tcW w:w="1816" w:type="pct"/>
            <w:textDirection w:val="lrTb"/>
            <w:noWrap w:val="false"/>
          </w:tcPr>
          <w:p>
            <w:r>
              <w:t xml:space="preserve">Очистные сооружения «Лит Г2» </w:t>
            </w:r>
            <w:r/>
          </w:p>
        </w:tc>
        <w:tc>
          <w:tcPr>
            <w:shd w:val="clear" w:color="auto" w:fill="auto"/>
            <w:tcW w:w="612" w:type="pct"/>
            <w:textDirection w:val="lrTb"/>
            <w:noWrap w:val="false"/>
          </w:tcPr>
          <w:p>
            <w:pPr>
              <w:jc w:val="center"/>
            </w:pPr>
            <w:r>
              <w:t xml:space="preserve">2010</w:t>
            </w:r>
            <w:r/>
          </w:p>
        </w:tc>
        <w:tc>
          <w:tcPr>
            <w:shd w:val="clear" w:color="auto" w:fill="auto"/>
            <w:tcW w:w="2330" w:type="pct"/>
            <w:textDirection w:val="lrTb"/>
            <w:noWrap w:val="false"/>
          </w:tcPr>
          <w:p>
            <w:r>
              <w:t xml:space="preserve">Отсутствует система очистки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shd w:val="clear" w:color="auto" w:fill="auto"/>
            <w:tcW w:w="1816" w:type="pct"/>
            <w:textDirection w:val="lrTb"/>
            <w:noWrap w:val="false"/>
          </w:tcPr>
          <w:p>
            <w:r>
              <w:t xml:space="preserve">Очистные сооружения «Лит Г1» </w:t>
            </w:r>
            <w:r/>
          </w:p>
        </w:tc>
        <w:tc>
          <w:tcPr>
            <w:shd w:val="clear" w:color="auto" w:fill="auto"/>
            <w:tcW w:w="612" w:type="pct"/>
            <w:textDirection w:val="lrTb"/>
            <w:noWrap w:val="false"/>
          </w:tcPr>
          <w:p>
            <w:pPr>
              <w:jc w:val="center"/>
            </w:pPr>
            <w:r>
              <w:t xml:space="preserve">2010</w:t>
            </w:r>
            <w:r/>
          </w:p>
        </w:tc>
        <w:tc>
          <w:tcPr>
            <w:shd w:val="clear" w:color="auto" w:fill="auto"/>
            <w:tcW w:w="2330" w:type="pct"/>
            <w:textDirection w:val="lrTb"/>
            <w:noWrap w:val="false"/>
          </w:tcPr>
          <w:p>
            <w:r>
              <w:t xml:space="preserve">Отсутствует система очистки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shd w:val="clear" w:color="auto" w:fill="auto"/>
            <w:tcW w:w="1816" w:type="pct"/>
            <w:textDirection w:val="lrTb"/>
            <w:noWrap w:val="false"/>
          </w:tcPr>
          <w:p>
            <w:r>
              <w:t xml:space="preserve">Очистные сооружения «Лит Г»</w:t>
            </w:r>
            <w:r/>
          </w:p>
        </w:tc>
        <w:tc>
          <w:tcPr>
            <w:shd w:val="clear" w:color="auto" w:fill="auto"/>
            <w:tcW w:w="612" w:type="pct"/>
            <w:textDirection w:val="lrTb"/>
            <w:noWrap w:val="false"/>
          </w:tcPr>
          <w:p>
            <w:pPr>
              <w:jc w:val="center"/>
            </w:pPr>
            <w:r>
              <w:t xml:space="preserve">2010</w:t>
            </w:r>
            <w:r/>
          </w:p>
        </w:tc>
        <w:tc>
          <w:tcPr>
            <w:shd w:val="clear" w:color="auto" w:fill="auto"/>
            <w:tcW w:w="2330" w:type="pct"/>
            <w:textDirection w:val="lrTb"/>
            <w:noWrap w:val="false"/>
          </w:tcPr>
          <w:p>
            <w:r>
              <w:t xml:space="preserve">Аккумулирование сточных вод с целью регулирования расхода и усреднения состава.</w:t>
            </w:r>
            <w:r/>
          </w:p>
          <w:p>
            <w:r>
              <w:t xml:space="preserve">Выделение взвешенных веществ (осветление) и пленочных загрязнений (свободных нефтепродуктов).</w:t>
            </w:r>
            <w:r/>
          </w:p>
          <w:p>
            <w:r>
              <w:t xml:space="preserve">Дополнительное выделение мелкодисперсных взвешенных веществ и нефтепродуктов фильтрованием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  <w:tc>
          <w:tcPr>
            <w:shd w:val="clear" w:color="auto" w:fill="auto"/>
            <w:tcW w:w="1816" w:type="pct"/>
            <w:textDirection w:val="lrTb"/>
            <w:noWrap w:val="false"/>
          </w:tcPr>
          <w:p>
            <w:r>
              <w:t xml:space="preserve">Очистные сооружения дождевой канализации № 1 на створе ул. Революции и ул. Макаренко</w:t>
            </w:r>
            <w:r/>
          </w:p>
        </w:tc>
        <w:tc>
          <w:tcPr>
            <w:shd w:val="clear" w:color="auto" w:fill="auto"/>
            <w:tcW w:w="612" w:type="pct"/>
            <w:textDirection w:val="lrTb"/>
            <w:noWrap w:val="false"/>
          </w:tcPr>
          <w:p>
            <w:pPr>
              <w:jc w:val="center"/>
            </w:pPr>
            <w:r>
              <w:t xml:space="preserve">2003</w:t>
            </w:r>
            <w:r/>
          </w:p>
        </w:tc>
        <w:tc>
          <w:tcPr>
            <w:shd w:val="clear" w:color="auto" w:fill="auto"/>
            <w:tcW w:w="2330" w:type="pct"/>
            <w:textDirection w:val="lrTb"/>
            <w:noWrap w:val="false"/>
          </w:tcPr>
          <w:p>
            <w:r>
              <w:t xml:space="preserve">Выделение взвешенных веществ (осветление) и пленочных загрязнений (свободных нефтепродуктов)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shd w:val="clear" w:color="auto" w:fill="auto"/>
            <w:tcW w:w="1816" w:type="pct"/>
            <w:textDirection w:val="lrTb"/>
            <w:noWrap w:val="false"/>
          </w:tcPr>
          <w:p>
            <w:r>
              <w:t xml:space="preserve">Очистные сооружения дождевой канализации № 2 в створе ул. Революции и ул. Макаренко</w:t>
            </w:r>
            <w:r/>
          </w:p>
        </w:tc>
        <w:tc>
          <w:tcPr>
            <w:shd w:val="clear" w:color="auto" w:fill="auto"/>
            <w:tcW w:w="612" w:type="pct"/>
            <w:textDirection w:val="lrTb"/>
            <w:noWrap w:val="false"/>
          </w:tcPr>
          <w:p>
            <w:pPr>
              <w:jc w:val="center"/>
            </w:pPr>
            <w:r>
              <w:t xml:space="preserve">2003</w:t>
            </w:r>
            <w:r/>
          </w:p>
        </w:tc>
        <w:tc>
          <w:tcPr>
            <w:shd w:val="clear" w:color="auto" w:fill="auto"/>
            <w:tcW w:w="2330" w:type="pct"/>
            <w:textDirection w:val="lrTb"/>
            <w:noWrap w:val="false"/>
          </w:tcPr>
          <w:p>
            <w:r>
              <w:t xml:space="preserve">Выделение взвешенных веществ (осветление) и пленочных загрязнений (свободных нефтепродуктов)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shd w:val="clear" w:color="auto" w:fill="auto"/>
            <w:tcW w:w="1816" w:type="pct"/>
            <w:textDirection w:val="lrTb"/>
            <w:noWrap w:val="false"/>
          </w:tcPr>
          <w:p>
            <w:r>
              <w:t xml:space="preserve">Очистные сооружения дождевой канализации, ул. Коломенская</w:t>
            </w:r>
            <w:r/>
          </w:p>
        </w:tc>
        <w:tc>
          <w:tcPr>
            <w:shd w:val="clear" w:color="auto" w:fill="auto"/>
            <w:tcW w:w="612" w:type="pct"/>
            <w:textDirection w:val="lrTb"/>
            <w:noWrap w:val="false"/>
          </w:tcPr>
          <w:p>
            <w:pPr>
              <w:jc w:val="center"/>
            </w:pPr>
            <w:r>
              <w:t xml:space="preserve">2010</w:t>
            </w:r>
            <w:r/>
          </w:p>
        </w:tc>
        <w:tc>
          <w:tcPr>
            <w:shd w:val="clear" w:color="auto" w:fill="auto"/>
            <w:tcW w:w="2330" w:type="pct"/>
            <w:textDirection w:val="lrTb"/>
            <w:noWrap w:val="false"/>
          </w:tcPr>
          <w:p>
            <w:r>
              <w:t xml:space="preserve">Выделение взвешенных веществ (осветление) и пленочных загрязнений (свободных нефтепродуктов).</w:t>
            </w:r>
            <w:r/>
          </w:p>
          <w:p>
            <w:r>
              <w:t xml:space="preserve">Дополнительное выделение мелкодисперсных взвешенных веществ и нефтепродуктов фильтрованием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shd w:val="clear" w:color="auto" w:fill="auto"/>
            <w:tcW w:w="1816" w:type="pct"/>
            <w:textDirection w:val="lrTb"/>
            <w:noWrap w:val="false"/>
          </w:tcPr>
          <w:p>
            <w:r>
              <w:t xml:space="preserve">Очистные сооружения дождевой канализации, ул. Монастырская</w:t>
            </w:r>
            <w:r/>
          </w:p>
        </w:tc>
        <w:tc>
          <w:tcPr>
            <w:shd w:val="clear" w:color="auto" w:fill="auto"/>
            <w:tcW w:w="612" w:type="pct"/>
            <w:textDirection w:val="lrTb"/>
            <w:noWrap w:val="false"/>
          </w:tcPr>
          <w:p>
            <w:pPr>
              <w:jc w:val="center"/>
            </w:pPr>
            <w:r>
              <w:t xml:space="preserve">2021</w:t>
            </w:r>
            <w:r/>
          </w:p>
        </w:tc>
        <w:tc>
          <w:tcPr>
            <w:shd w:val="clear" w:color="auto" w:fill="auto"/>
            <w:tcW w:w="2330" w:type="pct"/>
            <w:textDirection w:val="lrTb"/>
            <w:noWrap w:val="false"/>
          </w:tcPr>
          <w:p>
            <w:r>
              <w:t xml:space="preserve">Выделение взвешенных веществ (осветление) и пленочных загрязнений (свободных нефтепродуктов).</w:t>
            </w:r>
            <w:r/>
          </w:p>
          <w:p>
            <w:r>
              <w:t xml:space="preserve">Дополнительное выделение мелкодисперсных взвешенных веществ и нефтепродуктов фильтрованием.</w:t>
            </w:r>
            <w:r/>
          </w:p>
          <w:p>
            <w:r>
              <w:t xml:space="preserve">Обеззараживание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</w:pPr>
            <w:r>
              <w:t xml:space="preserve">13</w:t>
            </w:r>
            <w:r/>
          </w:p>
        </w:tc>
        <w:tc>
          <w:tcPr>
            <w:shd w:val="clear" w:color="auto" w:fill="auto"/>
            <w:tcW w:w="1816" w:type="pct"/>
            <w:textDirection w:val="lrTb"/>
            <w:noWrap w:val="false"/>
          </w:tcPr>
          <w:p>
            <w:r>
              <w:t xml:space="preserve">Очистные сооружения дождевой канализации в Парковой даче</w:t>
            </w:r>
            <w:r/>
          </w:p>
        </w:tc>
        <w:tc>
          <w:tcPr>
            <w:shd w:val="clear" w:color="auto" w:fill="auto"/>
            <w:tcW w:w="612" w:type="pct"/>
            <w:textDirection w:val="lrTb"/>
            <w:noWrap w:val="false"/>
          </w:tcPr>
          <w:p>
            <w:pPr>
              <w:jc w:val="center"/>
            </w:pPr>
            <w:r>
              <w:t xml:space="preserve">2010</w:t>
            </w:r>
            <w:r/>
          </w:p>
        </w:tc>
        <w:tc>
          <w:tcPr>
            <w:shd w:val="clear" w:color="auto" w:fill="auto"/>
            <w:tcW w:w="2330" w:type="pct"/>
            <w:textDirection w:val="lrTb"/>
            <w:noWrap w:val="false"/>
          </w:tcPr>
          <w:p>
            <w:r>
              <w:t xml:space="preserve">Выделение взвешенных веществ (осветление) и пленочных загрязнений (свободных нефтепродуктов)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/>
          </w:p>
        </w:tc>
        <w:tc>
          <w:tcPr>
            <w:shd w:val="clear" w:color="auto" w:fill="auto"/>
            <w:tcW w:w="1816" w:type="pct"/>
            <w:textDirection w:val="lrTb"/>
            <w:noWrap w:val="false"/>
          </w:tcPr>
          <w:p>
            <w:r>
              <w:t xml:space="preserve">Очистные сооружения ливневых стоков ЖЖ/комплекса «Данилиха-1»</w:t>
            </w:r>
            <w:r/>
          </w:p>
        </w:tc>
        <w:tc>
          <w:tcPr>
            <w:shd w:val="clear" w:color="auto" w:fill="auto"/>
            <w:tcW w:w="612" w:type="pct"/>
            <w:textDirection w:val="lrTb"/>
            <w:noWrap w:val="false"/>
          </w:tcPr>
          <w:p>
            <w:pPr>
              <w:jc w:val="center"/>
            </w:pPr>
            <w:r>
              <w:t xml:space="preserve">2012</w:t>
            </w:r>
            <w:r/>
          </w:p>
        </w:tc>
        <w:tc>
          <w:tcPr>
            <w:shd w:val="clear" w:color="auto" w:fill="auto"/>
            <w:tcW w:w="2330" w:type="pct"/>
            <w:textDirection w:val="lrTb"/>
            <w:noWrap w:val="false"/>
          </w:tcPr>
          <w:p>
            <w:r>
              <w:t xml:space="preserve">н</w:t>
            </w:r>
            <w:r>
              <w:rPr>
                <w:lang w:val="en-US"/>
              </w:rPr>
              <w:t xml:space="preserve">/</w:t>
            </w:r>
            <w:r>
              <w:t xml:space="preserve">д</w:t>
            </w:r>
            <w:bookmarkEnd w:id="328"/>
            <w:r/>
            <w:r/>
          </w:p>
        </w:tc>
      </w:tr>
    </w:tbl>
    <w:p>
      <w:pPr>
        <w:pStyle w:val="1570"/>
        <w:sectPr>
          <w:footnotePr/>
          <w:endnotePr/>
          <w:type w:val="nextPage"/>
          <w:pgSz w:w="16838" w:h="11906" w:orient="landscape"/>
          <w:pgMar w:top="1134" w:right="567" w:bottom="1134" w:left="1418" w:header="567" w:footer="567" w:gutter="0"/>
          <w:cols w:num="1" w:sep="0" w:space="708" w:equalWidth="1"/>
          <w:docGrid w:linePitch="360"/>
        </w:sectPr>
      </w:pPr>
      <w:r/>
      <w:r/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В го</w:t>
      </w:r>
      <w:r>
        <w:rPr>
          <w:sz w:val="28"/>
          <w:szCs w:val="28"/>
        </w:rPr>
        <w:t xml:space="preserve">роде Перми имеется сеть дождевых коллекторов, проложенных преимущественно по магистральным улицам. Принцип водоотведения – раздельно от хозяйственно-бытовой канализации по отдельным бассейнам стока, с тяготением к малым городским рекам, оврагам и водоемам.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Водосточная сеть преимущественно закрытого типа. В районах малоэтажной застройки водоотведение осуществляется с помощью открытых лотков (Мотовилихинский, Орджоникидзевский районы), с выпусками в малые реки, овраги, в понижения рельефа.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Отвод и транспортировка дождевых вод с проезжей части основных магистралей с интенсивным автомобильным движением и с «пониженных мест» городской застройки осуществляются через систему самотечных трубопроводов.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Общая протяженность сетей ливневого стока муниципального образования город Пермь составляет 444,6 км, из которых на балансе МБУ «Полигон» – 163,4 км. Еще порядка 70 км сетей обслуживаются, но не поставлены на баланс (владелец не установлен).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Диаметры сетей варьируются от 100 до 1 600 мм. Материал трубопр</w:t>
      </w:r>
      <w:r>
        <w:rPr>
          <w:sz w:val="28"/>
          <w:szCs w:val="28"/>
        </w:rPr>
        <w:t xml:space="preserve">оводов – бетон, железобетон, реже используются керамика, сталь и пластик. Сети ливневого стока располагаются на отметках 95-188 метров. Более 70 % сетей были построены в период с 1958 по 2000 годы и на сегодняшний день имеют срок эксплуатации более 20 лет.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образования город Пермь установлено 146 выпусков ливневой канализации.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настоящий момент система ливневой канализации находится в неудовлетворительном состоянии и требует проведения масштабных работ по строительству, </w:t>
      </w:r>
      <w:r>
        <w:rPr>
          <w:sz w:val="28"/>
          <w:szCs w:val="28"/>
        </w:rPr>
        <w:t xml:space="preserve">реконструкции и модернизации. Согласно данным технического обследования средний процент износа ливневой сети муниципального образования город Пермь, исходя из фактического срока службы, составляет 78 %, что позволяет сделать вывод о существенном преобладан</w:t>
      </w:r>
      <w:r>
        <w:rPr>
          <w:sz w:val="28"/>
          <w:szCs w:val="28"/>
        </w:rPr>
        <w:t xml:space="preserve">ии ветхих и подлежащих замене сетей, которые находятся в аварийном либо предаварийном состоянии и не могут эксплуатироваться без постоянного увеличения затрат со стороны обсуживающих организаций на их эксплуатацию и поддержание в работоспособном состоянии.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/>
      <w:bookmarkStart w:id="330" w:name="_Toc175216021"/>
      <w:r>
        <w:rPr>
          <w:b/>
          <w:bCs/>
          <w:sz w:val="28"/>
          <w:szCs w:val="28"/>
        </w:rPr>
        <w:t xml:space="preserve">2.7.3 Балансы мощности и ресурса</w:t>
      </w:r>
      <w:bookmarkEnd w:id="330"/>
      <w:r/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/>
      <w:bookmarkStart w:id="331" w:name="_Hlk166056095"/>
      <w:r>
        <w:rPr>
          <w:sz w:val="28"/>
          <w:szCs w:val="28"/>
        </w:rPr>
        <w:t xml:space="preserve">В централизованной системе сбора ливневых стоков города Перми расходомеры, применимые для целей осуществления коммерческих расчетов, отсутствуют полностью. </w:t>
      </w:r>
      <w:bookmarkEnd w:id="331"/>
      <w:r>
        <w:rPr>
          <w:sz w:val="28"/>
          <w:szCs w:val="28"/>
        </w:rPr>
        <w:t xml:space="preserve">Баланс поступления ливневых сточных вод не рассчитывается.</w:t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/>
      <w:bookmarkStart w:id="332" w:name="_Toc175216022"/>
      <w:r/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2.7.4 Доля поставки ресурса по приборам учета</w:t>
      </w:r>
      <w:bookmarkEnd w:id="332"/>
      <w:r/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централизованной системе сбора ливневых стоков муниципального образования город Пермь расходомеры, применимые для целей осуществления коммерческих расчетов, отсутствуют полностью. </w:t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/>
      <w:bookmarkStart w:id="333" w:name="_Toc175216023"/>
      <w:r>
        <w:rPr>
          <w:b/>
          <w:bCs/>
          <w:sz w:val="28"/>
          <w:szCs w:val="28"/>
        </w:rPr>
        <w:t xml:space="preserve">2.7.5 Зоны действия источников ресурсов</w:t>
      </w:r>
      <w:bookmarkEnd w:id="333"/>
      <w:r/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Территория сетей ливневого стока муниципального образования город Пермь условно разделена на 45 укрупненных водосборных бассейнов, с учетом рельефа, существующей дождевой канализации, основных дорожных магистралей и квартальной застройки территории.</w:t>
      </w:r>
      <w:r>
        <w:rPr>
          <w:sz w:val="28"/>
          <w:szCs w:val="28"/>
        </w:rPr>
      </w:r>
    </w:p>
    <w:p>
      <w:pPr>
        <w:ind w:firstLine="709"/>
        <w:jc w:val="both"/>
      </w:pPr>
      <w:r/>
      <w:bookmarkStart w:id="334" w:name="_Toc175216024"/>
      <w:r/>
      <w:r/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2.7.6 Резервы и дефициты по зонам действия источников ресурсов 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поселению, городскому округу в целом</w:t>
      </w:r>
      <w:bookmarkEnd w:id="334"/>
      <w:r/>
      <w:r>
        <w:rPr>
          <w:b/>
          <w:bCs/>
          <w:sz w:val="28"/>
          <w:szCs w:val="28"/>
        </w:rPr>
      </w:r>
    </w:p>
    <w:p>
      <w:pPr>
        <w:ind w:firstLine="709"/>
        <w:jc w:val="both"/>
      </w:pPr>
      <w:r/>
      <w:r/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На территории города существует 14 локальных очистных сооружений, предназначенных для очистки стоков с небольших по пл</w:t>
      </w:r>
      <w:r>
        <w:rPr>
          <w:sz w:val="28"/>
          <w:szCs w:val="28"/>
        </w:rPr>
        <w:t xml:space="preserve">ощади участков территории и для очистки стоков с магистральных дорог. Несмотря на наличие сетей ливневой канализации, очистные сооружения на большинстве территории города отсутствуют. Большая часть дождевого стока сбрасывается в водные объекты без очистки.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На территории города Перми отсутствуют расходомеры поверхностных сточных вод, резерв производственных мощностей очистных сооружений системы</w:t>
      </w:r>
      <w:r>
        <w:rPr>
          <w:sz w:val="28"/>
          <w:szCs w:val="28"/>
        </w:rPr>
        <w:t xml:space="preserve"> водоотведения принят 30 %. В составе технологического оборудования очистных сооружений и главных канализационных насосных станций предусматривается резервное оборудование. В камерах переключений очистных сооружений предусматриваются обводные участки сети.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очистные сооружения</w:t>
      </w:r>
      <w:r>
        <w:rPr>
          <w:sz w:val="28"/>
          <w:szCs w:val="28"/>
        </w:rPr>
        <w:t xml:space="preserve"> в большей части отсутствуют, а существующие очистные сооружения не могут обеспечить увеличение объема дождевого стока, принимаемого на очистку, необходимо строительство новых очистных сооружений на полную производительность для каждого бассейна водосбора.</w:t>
      </w:r>
      <w:r>
        <w:rPr>
          <w:sz w:val="28"/>
          <w:szCs w:val="28"/>
        </w:rPr>
      </w:r>
    </w:p>
    <w:p>
      <w:pPr>
        <w:pStyle w:val="1570"/>
      </w:pPr>
      <w:r/>
      <w:bookmarkStart w:id="335" w:name="_Toc175216025"/>
      <w:r/>
      <w:r/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2.7.7 Надежность работы системы</w:t>
      </w:r>
      <w:bookmarkEnd w:id="335"/>
      <w:r/>
      <w:r>
        <w:rPr>
          <w:b/>
          <w:bCs/>
          <w:sz w:val="28"/>
          <w:szCs w:val="28"/>
        </w:rPr>
      </w:r>
    </w:p>
    <w:p>
      <w:pPr>
        <w:pStyle w:val="1570"/>
      </w:pPr>
      <w:r/>
      <w:r/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На территории города Перми на очистные сооружения попадает менее 10 % общего объема ливневых стоков самотеком без использования ливневых насосных станций.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Сооружения очистки ливневых стоков в настоящее время не обеспечивают нормативную очистку воды.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/>
      <w:bookmarkStart w:id="336" w:name="_Hlk166055484"/>
      <w:r>
        <w:rPr>
          <w:sz w:val="28"/>
          <w:szCs w:val="28"/>
        </w:rPr>
        <w:t xml:space="preserve">В настоящий момент система ливневой канализации находится в неудовлетворительном состоянии и требует проведения масштабных работ по строительству, р</w:t>
      </w:r>
      <w:r>
        <w:rPr>
          <w:sz w:val="28"/>
          <w:szCs w:val="28"/>
        </w:rPr>
        <w:t xml:space="preserve">еконструкции и модернизации. Согласно данным технического обследования средний процент износа ливневой сети муниципального образования город Пермь, исходя из фактического срока службы, составляет 78 %, что позволяет сделать вывод о существенном преобладани</w:t>
      </w:r>
      <w:r>
        <w:rPr>
          <w:sz w:val="28"/>
          <w:szCs w:val="28"/>
        </w:rPr>
        <w:t xml:space="preserve">и ветхих и подлежащих замене сетей, которые находятся в аварийном либо предаварийном состоянии и не могут эксплуатироваться без постоянного увеличения затрат со стороны обсуживающих организаций на их эксплуатацию и поддержание в работоспособном состоянии. </w:t>
      </w:r>
      <w:r>
        <w:rPr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/>
      <w:bookmarkStart w:id="337" w:name="_Toc175216026"/>
      <w:r/>
      <w:bookmarkEnd w:id="336"/>
      <w:r>
        <w:rPr>
          <w:b/>
          <w:bCs/>
          <w:sz w:val="28"/>
          <w:szCs w:val="28"/>
        </w:rPr>
        <w:t xml:space="preserve">2.7.8 Качество поставляемого ресурса</w:t>
      </w:r>
      <w:bookmarkEnd w:id="337"/>
      <w:r/>
      <w:r>
        <w:rPr>
          <w:b/>
          <w:bCs/>
          <w:sz w:val="28"/>
          <w:szCs w:val="28"/>
        </w:rPr>
      </w:r>
    </w:p>
    <w:p>
      <w:pPr>
        <w:pStyle w:val="1570"/>
      </w:pPr>
      <w:r/>
      <w:r/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Сооружения очистки ливневых стоков в настоящее время не обеспечивают нормативную очистку воды.</w:t>
      </w:r>
      <w:r>
        <w:rPr>
          <w:sz w:val="28"/>
          <w:szCs w:val="28"/>
        </w:rPr>
      </w:r>
    </w:p>
    <w:p>
      <w:pPr>
        <w:pStyle w:val="1570"/>
      </w:pPr>
      <w:r/>
      <w:bookmarkStart w:id="338" w:name="_Toc175216027"/>
      <w:r/>
      <w:r/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2.7.9 Воздействие на окружающую среду</w:t>
      </w:r>
      <w:bookmarkEnd w:id="338"/>
      <w:r/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Поверхностный сток с урбанизированных территорий – один из значительных источников загрязнения окружающей среды различными примесями природного и техногенного происхождения. Геохимический состав поверхно</w:t>
      </w:r>
      <w:r>
        <w:rPr>
          <w:sz w:val="28"/>
          <w:szCs w:val="28"/>
        </w:rPr>
        <w:t xml:space="preserve">стного стока в городах значительно отличается от фоновых условий. Наряду с геохимическими свойствами существенно меняются гидрологические условия формирования поверхностного стока. В процессе застройки и благоустройства городской территории естественная си</w:t>
      </w:r>
      <w:r>
        <w:rPr>
          <w:sz w:val="28"/>
          <w:szCs w:val="28"/>
        </w:rPr>
        <w:t xml:space="preserve">стема водосбора и водоотвода нарушается. Застроенные территории практически лишаются впитывающей способности, поэтому расход стока здесь может увеличиваться в несколько раз (3-4 раза) по сравнению с расходом стока, формируемого на естественных природных и </w:t>
      </w:r>
      <w:r>
        <w:rPr>
          <w:sz w:val="28"/>
          <w:szCs w:val="28"/>
        </w:rPr>
        <w:t xml:space="preserve">агроландшафтах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Территория Перми составляет значительную величину – 800,5 </w:t>
      </w:r>
      <w:bookmarkStart w:id="339" w:name="_Hlk176247856"/>
      <w:r>
        <w:rPr>
          <w:sz w:val="28"/>
          <w:szCs w:val="28"/>
        </w:rPr>
        <w:t xml:space="preserve">кв. </w:t>
      </w:r>
      <w:bookmarkEnd w:id="339"/>
      <w:r>
        <w:rPr>
          <w:sz w:val="28"/>
          <w:szCs w:val="28"/>
        </w:rPr>
        <w:t xml:space="preserve">км. Учитывая высокую плотность застройки, наличие значительного количества промышленных предприятий и расположение в непосредственной близости к рекам: </w:t>
      </w:r>
      <w:r>
        <w:rPr>
          <w:sz w:val="28"/>
          <w:szCs w:val="28"/>
        </w:rPr>
        <w:t xml:space="preserve">Данилиха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Егошиха</w:t>
      </w:r>
      <w:r>
        <w:rPr>
          <w:sz w:val="28"/>
          <w:szCs w:val="28"/>
        </w:rPr>
        <w:t xml:space="preserve">, Ива и </w:t>
      </w:r>
      <w:r>
        <w:rPr>
          <w:sz w:val="28"/>
          <w:szCs w:val="28"/>
        </w:rPr>
        <w:t xml:space="preserve">Мулянка</w:t>
      </w:r>
      <w:r>
        <w:rPr>
          <w:sz w:val="28"/>
          <w:szCs w:val="28"/>
        </w:rPr>
        <w:t xml:space="preserve">, городская агломерация формирует значительный объем загрязнений, поступающих в водный объект.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В городских поверхностных стоках такого города, как Пермь, по данным открытых источников, содержание </w:t>
      </w:r>
      <w:r>
        <w:rPr>
          <w:sz w:val="28"/>
          <w:szCs w:val="28"/>
        </w:rPr>
        <w:t xml:space="preserve">Cl</w:t>
      </w:r>
      <w:r>
        <w:rPr>
          <w:sz w:val="28"/>
          <w:szCs w:val="28"/>
        </w:rPr>
        <w:t xml:space="preserve">-~, SO42-~, NO3-~, РO43-~, N+ и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+ в среднем в десятки и сотни раз больше, чем в фоновых условиях. В среднем концентрация взвешенных веществ составляет 400-600 мг/л, нефтепродуктов – </w:t>
      </w:r>
      <w:r>
        <w:rPr>
          <w:sz w:val="28"/>
          <w:szCs w:val="28"/>
        </w:rPr>
        <w:br/>
        <w:t xml:space="preserve">7-12 мг/л, БПК5 – 17-8</w:t>
      </w:r>
      <w:r>
        <w:rPr>
          <w:sz w:val="28"/>
          <w:szCs w:val="28"/>
        </w:rPr>
        <w:t xml:space="preserve">0 мг/л. В стоке талых вод эти показатели выше в два-три раза. Сток с площадок промышленных предприятий, районов со старой застройкой, транспортных магистралей с интенсивным движением автомобилей может обладать еще более высокими концентрациями загрязнений.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Усугубляет ситуацию то, что в нарушение требований экологического законодательства система не оснащена очистными сооружениями в полном объеме. Большая часть дождевого стока сбрасывается в водные объекты без очистки.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В августе 2021 года была проведена работа по инвентаризации источников поступления сточных вод в систему малых рек </w:t>
      </w:r>
      <w:r>
        <w:rPr>
          <w:sz w:val="28"/>
          <w:szCs w:val="28"/>
        </w:rPr>
        <w:t xml:space="preserve">Данилихи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Егошихи</w:t>
      </w:r>
      <w:r>
        <w:rPr>
          <w:sz w:val="28"/>
          <w:szCs w:val="28"/>
        </w:rPr>
        <w:t xml:space="preserve"> на территории муниципального образования город Пермь. В соо</w:t>
      </w:r>
      <w:r>
        <w:rPr>
          <w:sz w:val="28"/>
          <w:szCs w:val="28"/>
        </w:rPr>
        <w:t xml:space="preserve">тветствии с отчетом о выполнении работы было выявлено 145 источников поступления загрязненных вод в водные объекты. В это число также входят природные воды, такие как родники, ручьи и пр., заключенные в трубопроводы и таким образом включенные в сеть дождев</w:t>
      </w:r>
      <w:r>
        <w:rPr>
          <w:sz w:val="28"/>
          <w:szCs w:val="28"/>
        </w:rPr>
        <w:t xml:space="preserve">ой канализации. Необходимо отметить, что в ходе инвентаризации было выявлено значительное количество неорганизованных выпусков поверхностных сточных вод, это объясняется отсутствием канализационных сетей поверхностных сточных вод во многих районах города. </w:t>
      </w:r>
      <w:r>
        <w:rPr>
          <w:sz w:val="28"/>
          <w:szCs w:val="28"/>
        </w:rPr>
        <w:t xml:space="preserve">Кроме того, был обнаружен ряд выпусков неочищенных сточных вод с промышленных площадок, а также аварийные выпуски сточных вод с тепловых сетей.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Большая часть </w:t>
      </w:r>
      <w:r>
        <w:rPr>
          <w:sz w:val="28"/>
          <w:szCs w:val="28"/>
        </w:rPr>
        <w:t xml:space="preserve">водовыпусков</w:t>
      </w:r>
      <w:r>
        <w:rPr>
          <w:sz w:val="28"/>
          <w:szCs w:val="28"/>
        </w:rPr>
        <w:t xml:space="preserve"> (за исключением 14 </w:t>
      </w:r>
      <w:r>
        <w:rPr>
          <w:sz w:val="28"/>
          <w:szCs w:val="28"/>
        </w:rPr>
        <w:t xml:space="preserve">водовыпусков</w:t>
      </w:r>
      <w:r>
        <w:rPr>
          <w:sz w:val="28"/>
          <w:szCs w:val="28"/>
        </w:rPr>
        <w:t xml:space="preserve">, обслуживаемых МБУ «Полигон») очистными сооружениями не оборудована. Сброс сточных дождевых и ливневых вод в водные объекты муниципального образования город Пермь осуществляется без соответствующих решений о водопользовании, за исключением </w:t>
      </w:r>
      <w:r>
        <w:rPr>
          <w:sz w:val="28"/>
          <w:szCs w:val="28"/>
        </w:rPr>
        <w:t xml:space="preserve">водовыпуска</w:t>
      </w:r>
      <w:r>
        <w:rPr>
          <w:sz w:val="28"/>
          <w:szCs w:val="28"/>
        </w:rPr>
        <w:t xml:space="preserve"> – выпуск № 1 на р. Черной (а/д ул. Маршала Жукова, водопользователь МБУ «Полигон»).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Существующая система водоотведения представляет серьезную опасность с экологической точки зрения для местных водоемов, каналов и речек. Также она оказывает негативное влияние на состояние рек города Перми.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  <w:highlight w:val="white"/>
        </w:rPr>
      </w:pPr>
      <w:r/>
      <w:bookmarkStart w:id="340" w:name="_Toc175216028"/>
      <w:r>
        <w:rPr>
          <w:b/>
          <w:bCs/>
          <w:sz w:val="28"/>
          <w:szCs w:val="28"/>
          <w:highlight w:val="white"/>
        </w:rPr>
        <w:t xml:space="preserve">2.7.10 Тарифы, плата (тариф) за подключение (присоединение), структура себестоимости производства и транспорта ресурса</w:t>
      </w:r>
      <w:bookmarkEnd w:id="340"/>
      <w:r/>
      <w:r>
        <w:rPr>
          <w:b/>
          <w:bCs/>
          <w:sz w:val="28"/>
          <w:szCs w:val="28"/>
          <w:highlight w:val="white"/>
        </w:rPr>
      </w:r>
    </w:p>
    <w:p>
      <w:pPr>
        <w:pStyle w:val="1570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Тариф за подключение к системе ливневой канализации не установлен.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Согласно решению Пермской городск</w:t>
      </w:r>
      <w:r>
        <w:rPr>
          <w:sz w:val="28"/>
          <w:szCs w:val="28"/>
        </w:rPr>
        <w:t xml:space="preserve">ой Думы от 15.12.2020 № 277 «Об утверждении Правил благоустройства территории города Перми» прием поверхностных сточных вод от земельного участка и (или) зданий, строений, сооружений в систему ливневой канализации города Перми осуществляется при условии со</w:t>
      </w:r>
      <w:r>
        <w:rPr>
          <w:sz w:val="28"/>
          <w:szCs w:val="28"/>
        </w:rPr>
        <w:t xml:space="preserve">гласования присоединения с эксплуатирующей организацией на основании договора пользования системой ливневой канализации на безвозмездной основе, содержащего технические условия и требования, по форме, утвержденной правовым актом администрации города Перми.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договора пользование системой ливневой канализации является самовольным.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44"/>
        <w:keepLines/>
        <w:keepNext/>
        <w:rPr>
          <w:b/>
          <w:bCs/>
          <w:sz w:val="28"/>
          <w:szCs w:val="28"/>
        </w:rPr>
      </w:pPr>
      <w:r/>
      <w:bookmarkStart w:id="341" w:name="_Toc175216029"/>
      <w:r>
        <w:rPr>
          <w:b/>
          <w:bCs/>
          <w:sz w:val="28"/>
          <w:szCs w:val="28"/>
        </w:rPr>
        <w:t xml:space="preserve">2.7.11 Технические и технологические проблемы в системе</w:t>
      </w:r>
      <w:bookmarkEnd w:id="341"/>
      <w:r/>
      <w:r>
        <w:rPr>
          <w:b/>
          <w:bCs/>
          <w:sz w:val="28"/>
          <w:szCs w:val="28"/>
        </w:rPr>
      </w:r>
    </w:p>
    <w:p>
      <w:pPr>
        <w:pStyle w:val="1570"/>
        <w:keepLines/>
        <w:keepNext/>
      </w:pPr>
      <w:r/>
      <w:r/>
    </w:p>
    <w:p>
      <w:pPr>
        <w:pStyle w:val="1570"/>
        <w:keepLines/>
        <w:keepNext/>
        <w:rPr>
          <w:sz w:val="28"/>
          <w:szCs w:val="28"/>
        </w:rPr>
      </w:pPr>
      <w:r>
        <w:rPr>
          <w:sz w:val="28"/>
          <w:szCs w:val="28"/>
        </w:rPr>
        <w:t xml:space="preserve">В существующей системе ливневой канализации муниципального образования город Пермь выделяют следующие проблемы: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подтопление территорий города вследствие отсутствия сетей ливневой канализации или малой пропускной способности сетей ливневой канализации;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использование системы малых рек в качестве дождевой канализации;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очистные сооружения дождевых вод практически отсутствуют;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служба эксплуатации очистных сооружений и линейных объектов не обеспечена в должной мере ресурсами. 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/>
      <w:bookmarkStart w:id="342" w:name="_Toc175216030"/>
      <w:r>
        <w:rPr>
          <w:b/>
          <w:bCs/>
          <w:sz w:val="28"/>
          <w:szCs w:val="28"/>
        </w:rPr>
        <w:t xml:space="preserve">2.8. Краткий анализ состояния установки приборов учета 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</w:t>
      </w:r>
      <w:r>
        <w:rPr>
          <w:b/>
          <w:bCs/>
          <w:sz w:val="28"/>
          <w:szCs w:val="28"/>
        </w:rPr>
        <w:t xml:space="preserve">энергоресурсосбережения</w:t>
      </w:r>
      <w:r>
        <w:rPr>
          <w:b/>
          <w:bCs/>
          <w:sz w:val="28"/>
          <w:szCs w:val="28"/>
        </w:rPr>
        <w:t xml:space="preserve"> у потребителей</w:t>
      </w:r>
      <w:bookmarkEnd w:id="323"/>
      <w:r/>
      <w:bookmarkEnd w:id="342"/>
      <w:r/>
      <w:r>
        <w:rPr>
          <w:b/>
          <w:bCs/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/>
      <w:bookmarkStart w:id="343" w:name="_Ref160454175"/>
      <w:r/>
      <w:bookmarkStart w:id="344" w:name="_Toc35880639"/>
      <w:r/>
      <w:bookmarkStart w:id="345" w:name="_Toc26465059"/>
      <w:r/>
      <w:bookmarkStart w:id="346" w:name="_Toc119947649"/>
      <w:r/>
      <w:bookmarkStart w:id="347" w:name="_Toc122445968"/>
      <w:r/>
      <w:bookmarkStart w:id="348" w:name="_Hlk167268437"/>
      <w:r>
        <w:rPr>
          <w:sz w:val="28"/>
          <w:szCs w:val="28"/>
        </w:rPr>
        <w:t xml:space="preserve">Сведения формы статистического наблюдения № 1-ПУ «Сведения о приборах учета потребления коммунальных услуг в жилищном фонде» агрегированы в таблицах 2.35-2.38.</w:t>
      </w:r>
      <w:r>
        <w:rPr>
          <w:sz w:val="28"/>
          <w:szCs w:val="28"/>
        </w:rPr>
      </w:r>
    </w:p>
    <w:p>
      <w:pPr>
        <w:pStyle w:val="1544"/>
        <w:jc w:val="right"/>
        <w:rPr>
          <w:b/>
          <w:bCs/>
          <w:sz w:val="28"/>
          <w:szCs w:val="28"/>
        </w:rPr>
      </w:pPr>
      <w:r/>
      <w:bookmarkStart w:id="349" w:name="_Toc175216111"/>
      <w:r>
        <w:rPr>
          <w:b/>
          <w:bCs/>
          <w:sz w:val="28"/>
          <w:szCs w:val="28"/>
        </w:rPr>
        <w:t xml:space="preserve">Таблица </w:t>
      </w:r>
      <w:bookmarkEnd w:id="343"/>
      <w:r>
        <w:rPr>
          <w:b/>
          <w:bCs/>
          <w:sz w:val="28"/>
          <w:szCs w:val="28"/>
        </w:rPr>
        <w:t xml:space="preserve">2.35</w:t>
      </w:r>
      <w:bookmarkEnd w:id="344"/>
      <w:r/>
      <w:bookmarkEnd w:id="345"/>
      <w:r/>
      <w:bookmarkEnd w:id="346"/>
      <w:r/>
      <w:bookmarkEnd w:id="347"/>
      <w:r/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Обеспеченность МКД коллективными приборами учета</w:t>
      </w:r>
      <w:bookmarkEnd w:id="349"/>
      <w:r/>
      <w:r>
        <w:rPr>
          <w:b/>
          <w:bCs/>
          <w:sz w:val="28"/>
          <w:szCs w:val="28"/>
        </w:rPr>
      </w:r>
    </w:p>
    <w:p>
      <w:pPr>
        <w:pStyle w:val="15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10"/>
        <w:gridCol w:w="1071"/>
        <w:gridCol w:w="1081"/>
        <w:gridCol w:w="1075"/>
        <w:gridCol w:w="1075"/>
        <w:gridCol w:w="922"/>
        <w:gridCol w:w="872"/>
        <w:gridCol w:w="1431"/>
      </w:tblGrid>
      <w:tr>
        <w:tblPrEx/>
        <w:trPr>
          <w:trHeight w:val="20"/>
          <w:tblHeader/>
        </w:trPr>
        <w:tc>
          <w:tcPr>
            <w:tcW w:w="128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Коммунальные ресурсы</w:t>
            </w:r>
            <w:r>
              <w:rPr>
                <w:color w:val="000000"/>
              </w:rPr>
            </w:r>
          </w:p>
        </w:tc>
        <w:tc>
          <w:tcPr>
            <w:tcW w:w="52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Ед. изм.</w:t>
            </w:r>
            <w:r>
              <w:rPr>
                <w:color w:val="000000"/>
              </w:rPr>
            </w:r>
          </w:p>
        </w:tc>
        <w:tc>
          <w:tcPr>
            <w:tcW w:w="53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2019</w:t>
            </w:r>
            <w:r>
              <w:rPr>
                <w:color w:val="000000"/>
              </w:rPr>
            </w:r>
          </w:p>
        </w:tc>
        <w:tc>
          <w:tcPr>
            <w:tcW w:w="5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</w:t>
            </w:r>
            <w:r>
              <w:rPr>
                <w:color w:val="000000"/>
              </w:rPr>
            </w:r>
          </w:p>
        </w:tc>
        <w:tc>
          <w:tcPr>
            <w:tcW w:w="5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2021</w:t>
            </w:r>
            <w:r>
              <w:rPr>
                <w:color w:val="000000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2022</w:t>
            </w:r>
            <w:r>
              <w:rPr>
                <w:color w:val="000000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2023</w:t>
            </w:r>
            <w:r>
              <w:rPr>
                <w:color w:val="000000"/>
              </w:rPr>
            </w:r>
          </w:p>
        </w:tc>
        <w:tc>
          <w:tcPr>
            <w:tcW w:w="70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Россия – 2022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1287" w:type="pct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Холодная вода</w:t>
            </w:r>
            <w:r>
              <w:rPr>
                <w:color w:val="000000"/>
              </w:rPr>
            </w:r>
          </w:p>
        </w:tc>
        <w:tc>
          <w:tcPr>
            <w:tcW w:w="52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%</w:t>
            </w:r>
            <w:r>
              <w:rPr>
                <w:color w:val="000000"/>
              </w:rPr>
            </w:r>
          </w:p>
        </w:tc>
        <w:tc>
          <w:tcPr>
            <w:tcW w:w="53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98,9</w:t>
            </w:r>
            <w:r>
              <w:rPr>
                <w:color w:val="000000"/>
              </w:rPr>
            </w:r>
          </w:p>
        </w:tc>
        <w:tc>
          <w:tcPr>
            <w:tcW w:w="5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99,4</w:t>
            </w:r>
            <w:r>
              <w:rPr>
                <w:color w:val="000000"/>
              </w:rPr>
            </w:r>
          </w:p>
        </w:tc>
        <w:tc>
          <w:tcPr>
            <w:tcW w:w="5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99,2</w:t>
            </w:r>
            <w:r>
              <w:rPr>
                <w:color w:val="000000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99,3</w:t>
            </w:r>
            <w:r>
              <w:rPr>
                <w:color w:val="000000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W w:w="70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54,0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1287" w:type="pct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Горячая вода</w:t>
            </w:r>
            <w:r>
              <w:rPr>
                <w:color w:val="000000"/>
              </w:rPr>
            </w:r>
          </w:p>
        </w:tc>
        <w:tc>
          <w:tcPr>
            <w:tcW w:w="52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%</w:t>
            </w:r>
            <w:r>
              <w:rPr>
                <w:color w:val="000000"/>
              </w:rPr>
            </w:r>
          </w:p>
        </w:tc>
        <w:tc>
          <w:tcPr>
            <w:tcW w:w="53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95,0</w:t>
            </w:r>
            <w:r>
              <w:rPr>
                <w:color w:val="000000"/>
              </w:rPr>
            </w:r>
          </w:p>
        </w:tc>
        <w:tc>
          <w:tcPr>
            <w:tcW w:w="5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92,8</w:t>
            </w:r>
            <w:r>
              <w:rPr>
                <w:color w:val="000000"/>
              </w:rPr>
            </w:r>
          </w:p>
        </w:tc>
        <w:tc>
          <w:tcPr>
            <w:tcW w:w="5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94,5</w:t>
            </w:r>
            <w:r>
              <w:rPr>
                <w:color w:val="000000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99,2</w:t>
            </w:r>
            <w:r>
              <w:rPr>
                <w:color w:val="000000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W w:w="70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66,2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1287" w:type="pct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Отопление</w:t>
            </w:r>
            <w:r>
              <w:rPr>
                <w:color w:val="000000"/>
              </w:rPr>
            </w:r>
          </w:p>
        </w:tc>
        <w:tc>
          <w:tcPr>
            <w:tcW w:w="52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%</w:t>
            </w:r>
            <w:r>
              <w:rPr>
                <w:color w:val="000000"/>
              </w:rPr>
            </w:r>
          </w:p>
        </w:tc>
        <w:tc>
          <w:tcPr>
            <w:tcW w:w="53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96,7</w:t>
            </w:r>
            <w:r>
              <w:rPr>
                <w:color w:val="000000"/>
              </w:rPr>
            </w:r>
          </w:p>
        </w:tc>
        <w:tc>
          <w:tcPr>
            <w:tcW w:w="5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95,9</w:t>
            </w:r>
            <w:r>
              <w:rPr>
                <w:color w:val="000000"/>
              </w:rPr>
            </w:r>
          </w:p>
        </w:tc>
        <w:tc>
          <w:tcPr>
            <w:tcW w:w="5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96,5</w:t>
            </w:r>
            <w:r>
              <w:rPr>
                <w:color w:val="000000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99,6</w:t>
            </w:r>
            <w:r>
              <w:rPr>
                <w:color w:val="000000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W w:w="70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64,6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1287" w:type="pct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Электрическая энергия</w:t>
            </w:r>
            <w:r>
              <w:rPr>
                <w:color w:val="000000"/>
              </w:rPr>
            </w:r>
          </w:p>
        </w:tc>
        <w:tc>
          <w:tcPr>
            <w:tcW w:w="52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%</w:t>
            </w:r>
            <w:r>
              <w:rPr>
                <w:color w:val="000000"/>
              </w:rPr>
            </w:r>
          </w:p>
        </w:tc>
        <w:tc>
          <w:tcPr>
            <w:tcW w:w="53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100,0</w:t>
            </w:r>
            <w:r>
              <w:rPr>
                <w:color w:val="000000"/>
              </w:rPr>
            </w:r>
          </w:p>
        </w:tc>
        <w:tc>
          <w:tcPr>
            <w:tcW w:w="5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100,0</w:t>
            </w:r>
            <w:r>
              <w:rPr>
                <w:color w:val="000000"/>
              </w:rPr>
            </w:r>
          </w:p>
        </w:tc>
        <w:tc>
          <w:tcPr>
            <w:tcW w:w="5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100,0</w:t>
            </w:r>
            <w:r>
              <w:rPr>
                <w:color w:val="000000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100,0</w:t>
            </w:r>
            <w:r>
              <w:rPr>
                <w:color w:val="000000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W w:w="70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75,7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1287" w:type="pct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Природный газ</w:t>
            </w:r>
            <w:r>
              <w:rPr>
                <w:color w:val="000000"/>
              </w:rPr>
            </w:r>
          </w:p>
        </w:tc>
        <w:tc>
          <w:tcPr>
            <w:tcW w:w="52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%</w:t>
            </w:r>
            <w:r>
              <w:rPr>
                <w:color w:val="000000"/>
              </w:rPr>
            </w:r>
          </w:p>
        </w:tc>
        <w:tc>
          <w:tcPr>
            <w:tcW w:w="53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100,0</w:t>
            </w:r>
            <w:r>
              <w:rPr>
                <w:color w:val="000000"/>
              </w:rPr>
            </w:r>
          </w:p>
        </w:tc>
        <w:tc>
          <w:tcPr>
            <w:tcW w:w="5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100,0</w:t>
            </w:r>
            <w:r>
              <w:rPr>
                <w:color w:val="000000"/>
              </w:rPr>
            </w:r>
          </w:p>
        </w:tc>
        <w:tc>
          <w:tcPr>
            <w:tcW w:w="5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100,0</w:t>
            </w:r>
            <w:r>
              <w:rPr>
                <w:color w:val="000000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100,0</w:t>
            </w:r>
            <w:r>
              <w:rPr>
                <w:color w:val="000000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W w:w="70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4,9</w:t>
            </w:r>
            <w:r>
              <w:rPr>
                <w:color w:val="000000"/>
              </w:rPr>
            </w:r>
          </w:p>
        </w:tc>
      </w:tr>
    </w:tbl>
    <w:p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  <w:r>
        <w:rPr>
          <w:i/>
          <w:iCs/>
          <w:sz w:val="28"/>
          <w:szCs w:val="28"/>
        </w:rPr>
      </w:r>
    </w:p>
    <w:p>
      <w:pPr>
        <w:ind w:firstLine="709"/>
        <w:rPr>
          <w:i/>
          <w:iCs/>
          <w:sz w:val="28"/>
          <w:szCs w:val="28"/>
        </w:rPr>
      </w:pPr>
      <w:r/>
      <w:bookmarkStart w:id="350" w:name="_Hlk176273384"/>
      <w:r/>
      <w:bookmarkStart w:id="351" w:name="_Hlk176274019"/>
      <w:r/>
      <w:bookmarkStart w:id="352" w:name="_Hlk176276036"/>
      <w:r>
        <w:rPr>
          <w:i/>
          <w:iCs/>
          <w:sz w:val="28"/>
          <w:szCs w:val="28"/>
        </w:rPr>
        <w:t xml:space="preserve">---------------------------</w:t>
      </w:r>
      <w:r>
        <w:rPr>
          <w:i/>
          <w:iCs/>
          <w:sz w:val="28"/>
          <w:szCs w:val="28"/>
        </w:rPr>
      </w:r>
    </w:p>
    <w:p>
      <w:pPr>
        <w:ind w:firstLine="709"/>
        <w:jc w:val="both"/>
        <w:rPr>
          <w:i/>
          <w:iCs/>
          <w:sz w:val="28"/>
          <w:szCs w:val="28"/>
        </w:rPr>
      </w:pPr>
      <w:r>
        <w:t xml:space="preserve">Примечание. Источник информации – форма федерального статистического наблюдения № 1-ПУ «Сведения о приборах учета потребления коммунальных услуг в жилищном фонде».</w:t>
      </w:r>
      <w:r>
        <w:rPr>
          <w:i/>
          <w:iCs/>
          <w:sz w:val="28"/>
          <w:szCs w:val="28"/>
        </w:rPr>
        <w:t xml:space="preserve"> </w:t>
      </w:r>
      <w:bookmarkEnd w:id="350"/>
      <w:r/>
      <w:bookmarkEnd w:id="351"/>
      <w:r/>
      <w:bookmarkEnd w:id="352"/>
      <w:r/>
      <w:r>
        <w:rPr>
          <w:i/>
          <w:iCs/>
          <w:sz w:val="28"/>
          <w:szCs w:val="28"/>
        </w:rPr>
      </w:r>
    </w:p>
    <w:p>
      <w:pPr>
        <w:ind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  <w:r>
        <w:rPr>
          <w:i/>
          <w:iCs/>
          <w:sz w:val="28"/>
          <w:szCs w:val="28"/>
        </w:rPr>
      </w:r>
    </w:p>
    <w:p>
      <w:pPr>
        <w:pStyle w:val="1544"/>
        <w:jc w:val="right"/>
        <w:rPr>
          <w:b/>
          <w:bCs/>
          <w:sz w:val="28"/>
          <w:szCs w:val="28"/>
        </w:rPr>
      </w:pPr>
      <w:r/>
      <w:bookmarkStart w:id="353" w:name="_Toc175216112"/>
      <w:r>
        <w:rPr>
          <w:b/>
          <w:bCs/>
          <w:sz w:val="28"/>
          <w:szCs w:val="28"/>
        </w:rPr>
        <w:t xml:space="preserve">Таблица 2.36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Обеспеченность МКД индивидуальными </w:t>
      </w:r>
      <w:bookmarkEnd w:id="353"/>
      <w:r>
        <w:rPr>
          <w:b/>
          <w:bCs/>
          <w:sz w:val="28"/>
          <w:szCs w:val="28"/>
        </w:rPr>
        <w:t xml:space="preserve">приборами учета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070"/>
        <w:gridCol w:w="1078"/>
        <w:gridCol w:w="920"/>
        <w:gridCol w:w="922"/>
        <w:gridCol w:w="772"/>
        <w:gridCol w:w="922"/>
        <w:gridCol w:w="920"/>
        <w:gridCol w:w="1533"/>
      </w:tblGrid>
      <w:tr>
        <w:tblPrEx/>
        <w:trPr>
          <w:trHeight w:val="20"/>
          <w:tblHeader/>
        </w:trPr>
        <w:tc>
          <w:tcPr>
            <w:tcW w:w="151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Коммунальные ресурсы</w:t>
            </w:r>
            <w:r>
              <w:rPr>
                <w:color w:val="000000"/>
              </w:rPr>
            </w:r>
          </w:p>
        </w:tc>
        <w:tc>
          <w:tcPr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Ед. изм.</w:t>
            </w:r>
            <w:r>
              <w:rPr>
                <w:color w:val="000000"/>
              </w:rPr>
            </w:r>
          </w:p>
        </w:tc>
        <w:tc>
          <w:tcPr>
            <w:tcW w:w="45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2019</w:t>
            </w:r>
            <w:r>
              <w:rPr>
                <w:color w:val="000000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</w:t>
            </w:r>
            <w:r>
              <w:rPr>
                <w:color w:val="000000"/>
              </w:rPr>
            </w:r>
          </w:p>
        </w:tc>
        <w:tc>
          <w:tcPr>
            <w:tcW w:w="38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2021</w:t>
            </w:r>
            <w:r>
              <w:rPr>
                <w:color w:val="000000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2022</w:t>
            </w:r>
            <w:r>
              <w:rPr>
                <w:color w:val="000000"/>
              </w:rPr>
            </w:r>
          </w:p>
        </w:tc>
        <w:tc>
          <w:tcPr>
            <w:tcW w:w="45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2023</w:t>
            </w:r>
            <w:r>
              <w:rPr>
                <w:color w:val="000000"/>
              </w:rPr>
            </w:r>
          </w:p>
        </w:tc>
        <w:tc>
          <w:tcPr>
            <w:tcW w:w="75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Россия – 2022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1514" w:type="pct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Холодная вода</w:t>
            </w:r>
            <w:r>
              <w:rPr>
                <w:color w:val="000000"/>
              </w:rPr>
            </w:r>
          </w:p>
        </w:tc>
        <w:tc>
          <w:tcPr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%</w:t>
            </w:r>
            <w:r>
              <w:rPr>
                <w:color w:val="000000"/>
              </w:rPr>
            </w:r>
          </w:p>
        </w:tc>
        <w:tc>
          <w:tcPr>
            <w:tcW w:w="45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73,4</w:t>
            </w:r>
            <w:r>
              <w:rPr>
                <w:color w:val="000000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78,2</w:t>
            </w:r>
            <w:r>
              <w:rPr>
                <w:color w:val="000000"/>
              </w:rPr>
            </w:r>
          </w:p>
        </w:tc>
        <w:tc>
          <w:tcPr>
            <w:tcW w:w="38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78,5</w:t>
            </w:r>
            <w:r>
              <w:rPr>
                <w:color w:val="000000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77,4</w:t>
            </w:r>
            <w:r>
              <w:rPr>
                <w:color w:val="000000"/>
              </w:rPr>
            </w:r>
          </w:p>
        </w:tc>
        <w:tc>
          <w:tcPr>
            <w:tcW w:w="45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W w:w="75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83,0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1514" w:type="pct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Горячая вода</w:t>
            </w:r>
            <w:r>
              <w:rPr>
                <w:color w:val="000000"/>
              </w:rPr>
            </w:r>
          </w:p>
        </w:tc>
        <w:tc>
          <w:tcPr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%</w:t>
            </w:r>
            <w:r>
              <w:rPr>
                <w:color w:val="000000"/>
              </w:rPr>
            </w:r>
          </w:p>
        </w:tc>
        <w:tc>
          <w:tcPr>
            <w:tcW w:w="45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97,1</w:t>
            </w:r>
            <w:r>
              <w:rPr>
                <w:color w:val="000000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98,2</w:t>
            </w:r>
            <w:r>
              <w:rPr>
                <w:color w:val="000000"/>
              </w:rPr>
            </w:r>
          </w:p>
        </w:tc>
        <w:tc>
          <w:tcPr>
            <w:tcW w:w="38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97,1</w:t>
            </w:r>
            <w:r>
              <w:rPr>
                <w:color w:val="000000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98,5</w:t>
            </w:r>
            <w:r>
              <w:rPr>
                <w:color w:val="000000"/>
              </w:rPr>
            </w:r>
          </w:p>
        </w:tc>
        <w:tc>
          <w:tcPr>
            <w:tcW w:w="45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W w:w="75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85,9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1514" w:type="pct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Отопление</w:t>
            </w:r>
            <w:r>
              <w:rPr>
                <w:color w:val="000000"/>
              </w:rPr>
            </w:r>
          </w:p>
        </w:tc>
        <w:tc>
          <w:tcPr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%</w:t>
            </w:r>
            <w:r>
              <w:rPr>
                <w:color w:val="000000"/>
              </w:rPr>
            </w:r>
          </w:p>
        </w:tc>
        <w:tc>
          <w:tcPr>
            <w:tcW w:w="45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15,9</w:t>
            </w:r>
            <w:r>
              <w:rPr>
                <w:color w:val="000000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26,4</w:t>
            </w:r>
            <w:r>
              <w:rPr>
                <w:color w:val="000000"/>
              </w:rPr>
            </w:r>
          </w:p>
        </w:tc>
        <w:tc>
          <w:tcPr>
            <w:tcW w:w="38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37,2</w:t>
            </w:r>
            <w:r>
              <w:rPr>
                <w:color w:val="000000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50,0</w:t>
            </w:r>
            <w:r>
              <w:rPr>
                <w:color w:val="000000"/>
              </w:rPr>
            </w:r>
          </w:p>
        </w:tc>
        <w:tc>
          <w:tcPr>
            <w:tcW w:w="45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W w:w="75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36,8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1514" w:type="pct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Электрическая энергия</w:t>
            </w:r>
            <w:r>
              <w:rPr>
                <w:color w:val="000000"/>
              </w:rPr>
            </w:r>
          </w:p>
        </w:tc>
        <w:tc>
          <w:tcPr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%</w:t>
            </w:r>
            <w:r>
              <w:rPr>
                <w:color w:val="000000"/>
              </w:rPr>
            </w:r>
          </w:p>
        </w:tc>
        <w:tc>
          <w:tcPr>
            <w:tcW w:w="45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100,0</w:t>
            </w:r>
            <w:r>
              <w:rPr>
                <w:color w:val="000000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100,0</w:t>
            </w:r>
            <w:r>
              <w:rPr>
                <w:color w:val="000000"/>
              </w:rPr>
            </w:r>
          </w:p>
        </w:tc>
        <w:tc>
          <w:tcPr>
            <w:tcW w:w="38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100,0</w:t>
            </w:r>
            <w:r>
              <w:rPr>
                <w:color w:val="000000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100,0</w:t>
            </w:r>
            <w:r>
              <w:rPr>
                <w:color w:val="000000"/>
              </w:rPr>
            </w:r>
          </w:p>
        </w:tc>
        <w:tc>
          <w:tcPr>
            <w:tcW w:w="45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W w:w="75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97,2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1514" w:type="pct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Природный газ</w:t>
            </w:r>
            <w:r>
              <w:rPr>
                <w:color w:val="000000"/>
              </w:rPr>
            </w:r>
          </w:p>
        </w:tc>
        <w:tc>
          <w:tcPr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%</w:t>
            </w:r>
            <w:r>
              <w:rPr>
                <w:color w:val="000000"/>
              </w:rPr>
            </w:r>
          </w:p>
        </w:tc>
        <w:tc>
          <w:tcPr>
            <w:tcW w:w="45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43,3</w:t>
            </w:r>
            <w:r>
              <w:rPr>
                <w:color w:val="000000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44,6</w:t>
            </w:r>
            <w:r>
              <w:rPr>
                <w:color w:val="000000"/>
              </w:rPr>
            </w:r>
          </w:p>
        </w:tc>
        <w:tc>
          <w:tcPr>
            <w:tcW w:w="38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45,7</w:t>
            </w:r>
            <w:r>
              <w:rPr>
                <w:color w:val="000000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46,6</w:t>
            </w:r>
            <w:r>
              <w:rPr>
                <w:color w:val="000000"/>
              </w:rPr>
            </w:r>
          </w:p>
        </w:tc>
        <w:tc>
          <w:tcPr>
            <w:tcW w:w="45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W w:w="75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53,6</w:t>
            </w:r>
            <w:r>
              <w:rPr>
                <w:color w:val="000000"/>
              </w:rPr>
            </w:r>
          </w:p>
        </w:tc>
      </w:tr>
    </w:tbl>
    <w:p>
      <w:pPr>
        <w:ind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  <w:r>
        <w:rPr>
          <w:i/>
          <w:iCs/>
          <w:sz w:val="28"/>
          <w:szCs w:val="28"/>
        </w:rPr>
      </w:r>
    </w:p>
    <w:p>
      <w:pPr>
        <w:ind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---------------------------</w:t>
      </w:r>
      <w:r>
        <w:rPr>
          <w:i/>
          <w:iCs/>
          <w:sz w:val="28"/>
          <w:szCs w:val="28"/>
        </w:rPr>
      </w:r>
    </w:p>
    <w:p>
      <w:pPr>
        <w:ind w:firstLine="709"/>
        <w:jc w:val="both"/>
        <w:rPr>
          <w:i/>
          <w:iCs/>
          <w:sz w:val="28"/>
          <w:szCs w:val="28"/>
        </w:rPr>
      </w:pPr>
      <w:r>
        <w:t xml:space="preserve">Примечание. Источник информации – форма федерального статистического наблюдения № 1-ПУ «Сведения о приборах учета потребления коммунальных услуг в жилищном фонде».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</w:r>
    </w:p>
    <w:p>
      <w:pPr>
        <w:pStyle w:val="1544"/>
      </w:pPr>
      <w:r/>
      <w:bookmarkStart w:id="354" w:name="_Toc175216113"/>
      <w:r/>
      <w:r/>
    </w:p>
    <w:p>
      <w:pPr>
        <w:spacing w:after="200" w:line="276" w:lineRule="auto"/>
        <w:rPr>
          <w:rFonts w:eastAsiaTheme="minorHAnsi"/>
          <w:iCs/>
          <w:sz w:val="20"/>
          <w:szCs w:val="20"/>
          <w:lang w:eastAsia="en-US"/>
        </w:rPr>
      </w:pPr>
      <w:r>
        <w:rPr>
          <w:rFonts w:eastAsiaTheme="minorHAnsi"/>
          <w:iCs/>
          <w:sz w:val="20"/>
          <w:szCs w:val="20"/>
          <w:lang w:eastAsia="en-US"/>
        </w:rPr>
      </w:r>
      <w:r>
        <w:rPr>
          <w:rFonts w:eastAsiaTheme="minorHAnsi"/>
          <w:iCs/>
          <w:sz w:val="20"/>
          <w:szCs w:val="20"/>
          <w:lang w:eastAsia="en-US"/>
        </w:rPr>
      </w:r>
    </w:p>
    <w:p>
      <w:pPr>
        <w:pStyle w:val="1544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Таблица 2.37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Обеспеченность ИОЗ индивидуальными </w:t>
      </w:r>
      <w:bookmarkEnd w:id="354"/>
      <w:r>
        <w:rPr>
          <w:b/>
          <w:bCs/>
          <w:sz w:val="28"/>
          <w:szCs w:val="28"/>
        </w:rPr>
        <w:t xml:space="preserve">приборами учета 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993"/>
        <w:gridCol w:w="1051"/>
        <w:gridCol w:w="921"/>
        <w:gridCol w:w="922"/>
        <w:gridCol w:w="916"/>
        <w:gridCol w:w="922"/>
        <w:gridCol w:w="914"/>
        <w:gridCol w:w="1498"/>
      </w:tblGrid>
      <w:tr>
        <w:tblPrEx/>
        <w:trPr>
          <w:tblHeader/>
        </w:trPr>
        <w:tc>
          <w:tcPr>
            <w:tcW w:w="147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Коммунальные ресурсы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Ед. изм.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5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2019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52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5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Россия – 2022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/>
        <w:tc>
          <w:tcPr>
            <w:tcW w:w="1476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Холодная вода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%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5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80,2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86,6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52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76,9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88,6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5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75,6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/>
        <w:tc>
          <w:tcPr>
            <w:tcW w:w="1476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Горячая вода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%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5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40,1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22,7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52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4,1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83,3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5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32,5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/>
        <w:tc>
          <w:tcPr>
            <w:tcW w:w="1476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Отопление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%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5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26,2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9,5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52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2,4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7,8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5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25,8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/>
        <w:tc>
          <w:tcPr>
            <w:tcW w:w="1476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Электрическая энергия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%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5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100,0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100,0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52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100,0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100,0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5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98,3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/>
        <w:tc>
          <w:tcPr>
            <w:tcW w:w="1476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Природный газ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%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5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100,0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100,0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52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100,0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100,0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5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94,9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</w:tbl>
    <w:p>
      <w:pPr>
        <w:pStyle w:val="1570"/>
        <w:rPr>
          <w:i/>
          <w:iCs w:val="0"/>
          <w:sz w:val="28"/>
          <w:szCs w:val="28"/>
        </w:rPr>
      </w:pPr>
      <w:r>
        <w:rPr>
          <w:i/>
          <w:iCs w:val="0"/>
          <w:sz w:val="28"/>
          <w:szCs w:val="28"/>
        </w:rPr>
      </w:r>
      <w:r>
        <w:rPr>
          <w:i/>
          <w:iCs w:val="0"/>
          <w:sz w:val="28"/>
          <w:szCs w:val="28"/>
        </w:rPr>
      </w:r>
    </w:p>
    <w:p>
      <w:pPr>
        <w:pStyle w:val="1570"/>
        <w:rPr>
          <w:i/>
          <w:iCs w:val="0"/>
          <w:sz w:val="28"/>
          <w:szCs w:val="28"/>
        </w:rPr>
      </w:pPr>
      <w:r>
        <w:rPr>
          <w:i/>
          <w:iCs w:val="0"/>
          <w:sz w:val="28"/>
          <w:szCs w:val="28"/>
        </w:rPr>
        <w:t xml:space="preserve">---------------------------</w:t>
      </w:r>
      <w:r>
        <w:rPr>
          <w:i/>
          <w:iCs w:val="0"/>
          <w:sz w:val="28"/>
          <w:szCs w:val="28"/>
        </w:rPr>
      </w:r>
    </w:p>
    <w:p>
      <w:pPr>
        <w:pStyle w:val="1570"/>
        <w:rPr>
          <w:szCs w:val="24"/>
        </w:rPr>
      </w:pPr>
      <w:r>
        <w:rPr>
          <w:szCs w:val="24"/>
        </w:rPr>
        <w:t xml:space="preserve">Примечание. Источник информации – форма федерального статистического наблюдения № 1-ПУ «Сведения о приборах учета потребления коммунальных услуг в жилищном фонде».</w:t>
      </w:r>
      <w:r>
        <w:rPr>
          <w:szCs w:val="24"/>
        </w:rPr>
      </w:r>
    </w:p>
    <w:p>
      <w:pPr>
        <w:pStyle w:val="1570"/>
        <w:ind w:firstLine="0"/>
        <w:rPr>
          <w:i/>
          <w:iCs w:val="0"/>
          <w:sz w:val="28"/>
          <w:szCs w:val="28"/>
        </w:rPr>
      </w:pPr>
      <w:r>
        <w:rPr>
          <w:i/>
          <w:iCs w:val="0"/>
          <w:sz w:val="28"/>
          <w:szCs w:val="28"/>
        </w:rPr>
      </w:r>
      <w:r>
        <w:rPr>
          <w:i/>
          <w:iCs w:val="0"/>
          <w:sz w:val="28"/>
          <w:szCs w:val="28"/>
        </w:rPr>
      </w:r>
    </w:p>
    <w:p>
      <w:pPr>
        <w:pStyle w:val="1544"/>
        <w:jc w:val="right"/>
        <w:rPr>
          <w:b/>
          <w:bCs/>
          <w:sz w:val="28"/>
          <w:szCs w:val="28"/>
        </w:rPr>
      </w:pPr>
      <w:r/>
      <w:bookmarkStart w:id="355" w:name="_Toc175216114"/>
      <w:r>
        <w:rPr>
          <w:b/>
          <w:bCs/>
          <w:sz w:val="28"/>
          <w:szCs w:val="28"/>
        </w:rPr>
        <w:t xml:space="preserve">Таблица 2.38 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Обеспеченность </w:t>
      </w:r>
      <w:bookmarkStart w:id="356" w:name="_Hlk164956669"/>
      <w:r>
        <w:rPr>
          <w:b/>
          <w:bCs/>
          <w:sz w:val="28"/>
          <w:szCs w:val="28"/>
        </w:rPr>
        <w:t xml:space="preserve">домов блокированной застройки</w:t>
      </w:r>
      <w:bookmarkEnd w:id="356"/>
      <w:r>
        <w:rPr>
          <w:b/>
          <w:bCs/>
          <w:sz w:val="28"/>
          <w:szCs w:val="28"/>
        </w:rPr>
        <w:t xml:space="preserve"> индивидуальными </w:t>
      </w:r>
      <w:bookmarkEnd w:id="355"/>
      <w:r>
        <w:rPr>
          <w:b/>
          <w:bCs/>
          <w:sz w:val="28"/>
          <w:szCs w:val="28"/>
        </w:rPr>
        <w:t xml:space="preserve">приборами учета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803"/>
        <w:gridCol w:w="1092"/>
        <w:gridCol w:w="935"/>
        <w:gridCol w:w="937"/>
        <w:gridCol w:w="939"/>
        <w:gridCol w:w="937"/>
        <w:gridCol w:w="935"/>
        <w:gridCol w:w="1559"/>
      </w:tblGrid>
      <w:tr>
        <w:tblPrEx/>
        <w:trPr>
          <w:trHeight w:val="20"/>
          <w:tblHeader/>
        </w:trPr>
        <w:tc>
          <w:tcPr>
            <w:tcW w:w="138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Коммунальные ресурсы</w:t>
            </w:r>
            <w:r>
              <w:rPr>
                <w:color w:val="000000"/>
              </w:rPr>
            </w:r>
          </w:p>
        </w:tc>
        <w:tc>
          <w:tcPr>
            <w:tcW w:w="53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Ед. изм.</w:t>
            </w:r>
            <w:r>
              <w:rPr>
                <w:color w:val="000000"/>
              </w:rPr>
            </w:r>
          </w:p>
        </w:tc>
        <w:tc>
          <w:tcPr>
            <w:tcW w:w="46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2019</w:t>
            </w:r>
            <w:r>
              <w:rPr>
                <w:color w:val="000000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</w:t>
            </w:r>
            <w:r>
              <w:rPr>
                <w:color w:val="000000"/>
              </w:rPr>
            </w:r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2021</w:t>
            </w:r>
            <w:r>
              <w:rPr>
                <w:color w:val="000000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2022</w:t>
            </w:r>
            <w:r>
              <w:rPr>
                <w:color w:val="000000"/>
              </w:rPr>
            </w:r>
          </w:p>
        </w:tc>
        <w:tc>
          <w:tcPr>
            <w:tcW w:w="46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2023</w:t>
            </w:r>
            <w:r>
              <w:rPr>
                <w:color w:val="000000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Россия – 2022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1383" w:type="pct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Холодная вода</w:t>
            </w:r>
            <w:r>
              <w:rPr>
                <w:color w:val="000000"/>
              </w:rPr>
            </w:r>
          </w:p>
        </w:tc>
        <w:tc>
          <w:tcPr>
            <w:tcW w:w="53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%</w:t>
            </w:r>
            <w:r>
              <w:rPr>
                <w:color w:val="000000"/>
              </w:rPr>
            </w:r>
          </w:p>
        </w:tc>
        <w:tc>
          <w:tcPr>
            <w:tcW w:w="46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36,5</w:t>
            </w:r>
            <w:r>
              <w:rPr>
                <w:color w:val="000000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66,5</w:t>
            </w:r>
            <w:r>
              <w:rPr>
                <w:color w:val="000000"/>
              </w:rPr>
            </w:r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74,9</w:t>
            </w:r>
            <w:r>
              <w:rPr>
                <w:color w:val="000000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74,9</w:t>
            </w:r>
            <w:r>
              <w:rPr>
                <w:color w:val="000000"/>
              </w:rPr>
            </w:r>
          </w:p>
        </w:tc>
        <w:tc>
          <w:tcPr>
            <w:tcW w:w="46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72,9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1383" w:type="pct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Горячая вода</w:t>
            </w:r>
            <w:r>
              <w:rPr>
                <w:color w:val="000000"/>
              </w:rPr>
            </w:r>
          </w:p>
        </w:tc>
        <w:tc>
          <w:tcPr>
            <w:tcW w:w="53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%</w:t>
            </w:r>
            <w:r>
              <w:rPr>
                <w:color w:val="000000"/>
              </w:rPr>
            </w:r>
          </w:p>
        </w:tc>
        <w:tc>
          <w:tcPr>
            <w:tcW w:w="46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W w:w="46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58,7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1383" w:type="pct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Отопление</w:t>
            </w:r>
            <w:r>
              <w:rPr>
                <w:color w:val="000000"/>
              </w:rPr>
            </w:r>
          </w:p>
        </w:tc>
        <w:tc>
          <w:tcPr>
            <w:tcW w:w="53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%</w:t>
            </w:r>
            <w:r>
              <w:rPr>
                <w:color w:val="000000"/>
              </w:rPr>
            </w:r>
          </w:p>
        </w:tc>
        <w:tc>
          <w:tcPr>
            <w:tcW w:w="46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W w:w="46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26,8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1383" w:type="pct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Электрическая энергия</w:t>
            </w:r>
            <w:r>
              <w:rPr>
                <w:color w:val="000000"/>
              </w:rPr>
            </w:r>
          </w:p>
        </w:tc>
        <w:tc>
          <w:tcPr>
            <w:tcW w:w="53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%</w:t>
            </w:r>
            <w:r>
              <w:rPr>
                <w:color w:val="000000"/>
              </w:rPr>
            </w:r>
          </w:p>
        </w:tc>
        <w:tc>
          <w:tcPr>
            <w:tcW w:w="46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100,0</w:t>
            </w:r>
            <w:r>
              <w:rPr>
                <w:color w:val="000000"/>
              </w:rPr>
            </w:r>
          </w:p>
        </w:tc>
        <w:tc>
          <w:tcPr>
            <w:tcW w:w="46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98,2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1383" w:type="pct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Природный газ</w:t>
            </w:r>
            <w:r>
              <w:rPr>
                <w:color w:val="000000"/>
              </w:rPr>
            </w:r>
          </w:p>
        </w:tc>
        <w:tc>
          <w:tcPr>
            <w:tcW w:w="53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%</w:t>
            </w:r>
            <w:r>
              <w:rPr>
                <w:color w:val="000000"/>
              </w:rPr>
            </w:r>
          </w:p>
        </w:tc>
        <w:tc>
          <w:tcPr>
            <w:tcW w:w="46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W w:w="46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95,6</w:t>
            </w:r>
            <w:bookmarkEnd w:id="348"/>
            <w:r/>
            <w:r>
              <w:rPr>
                <w:color w:val="000000"/>
              </w:rPr>
            </w:r>
          </w:p>
        </w:tc>
      </w:tr>
    </w:tbl>
    <w:p>
      <w:pPr>
        <w:pStyle w:val="1570"/>
        <w:ind w:firstLine="0"/>
        <w:rPr>
          <w:i/>
          <w:iCs w:val="0"/>
          <w:sz w:val="28"/>
          <w:szCs w:val="28"/>
        </w:rPr>
      </w:pPr>
      <w:r>
        <w:rPr>
          <w:i/>
          <w:iCs w:val="0"/>
          <w:sz w:val="28"/>
          <w:szCs w:val="28"/>
        </w:rPr>
      </w:r>
      <w:r>
        <w:rPr>
          <w:i/>
          <w:iCs w:val="0"/>
          <w:sz w:val="28"/>
          <w:szCs w:val="28"/>
        </w:rPr>
      </w:r>
    </w:p>
    <w:p>
      <w:pPr>
        <w:pStyle w:val="1570"/>
        <w:rPr>
          <w:i/>
          <w:iCs w:val="0"/>
          <w:sz w:val="28"/>
          <w:szCs w:val="28"/>
        </w:rPr>
      </w:pPr>
      <w:r>
        <w:rPr>
          <w:i/>
          <w:iCs w:val="0"/>
          <w:sz w:val="28"/>
          <w:szCs w:val="28"/>
        </w:rPr>
        <w:t xml:space="preserve">---------------------------</w:t>
      </w:r>
      <w:r>
        <w:rPr>
          <w:i/>
          <w:iCs w:val="0"/>
          <w:sz w:val="28"/>
          <w:szCs w:val="28"/>
        </w:rPr>
      </w:r>
    </w:p>
    <w:p>
      <w:pPr>
        <w:pStyle w:val="1570"/>
        <w:rPr>
          <w:szCs w:val="24"/>
        </w:rPr>
      </w:pPr>
      <w:r>
        <w:rPr>
          <w:szCs w:val="24"/>
        </w:rPr>
        <w:t xml:space="preserve">Примечание. Источник информации – форма федерального статистического наблюдения № 1-ПУ «Сведения о приборах учета потребления коммунальных услуг в жилищном фонде».</w:t>
      </w:r>
      <w:r>
        <w:rPr>
          <w:szCs w:val="24"/>
        </w:rPr>
      </w:r>
    </w:p>
    <w:p>
      <w:pPr>
        <w:pStyle w:val="1570"/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Обеспеченность МКД приборами учета (далее – ПУ) в муниципальном образовании высокая, а по электрич</w:t>
      </w:r>
      <w:r>
        <w:rPr>
          <w:sz w:val="28"/>
          <w:szCs w:val="28"/>
        </w:rPr>
        <w:t xml:space="preserve">еской энергии и природному газу составляет 100 %. Такое состояние характерно для всего рассматриваемого периода, в течение которого значения показателей только улучшались. Стоит отметить, что показатели города Перми заметно выше среднероссийских значений.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Обеспеченность МКД индивидуальными ПУ согласно таблице 2.36 высокая по горячей воде и электрической энергии, относительно высокая по холодной в</w:t>
      </w:r>
      <w:r>
        <w:rPr>
          <w:sz w:val="28"/>
          <w:szCs w:val="28"/>
        </w:rPr>
        <w:t xml:space="preserve">оде и средняя по отоплению и природному газу. Показатели также имели тенденцию к улучшению в рассматриваемый период. По горячей воде, отоплению и электрической энергии обеспеченность многоквартирных домов индивидуальными ПУ выше среднероссийских значений.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Обес</w:t>
      </w:r>
      <w:r>
        <w:rPr>
          <w:sz w:val="28"/>
          <w:szCs w:val="28"/>
        </w:rPr>
        <w:t xml:space="preserve">печенность индивидуальных зданий приборами учета согласно таблице 2.37 высокая и выше среднероссийских значений, за исключением услуги «отопление», по которой динамика в отличие от других коммунальных ресурсов была отрицательной и ниже среднего по России.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Дома блокированной застройки обеспечены только приборами учета холодной воды и электрической энергии, по которым значения немного выше среднероссийских показателей (таблица 2.38).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Из представленных подразделениями администрац</w:t>
      </w:r>
      <w:r>
        <w:rPr>
          <w:sz w:val="28"/>
          <w:szCs w:val="28"/>
        </w:rPr>
        <w:t xml:space="preserve">ии города Перми сведений по учреждениям можно судить о высокой обеспеченности ПУ коммунальных ресурсов. Часть объектов муниципальных учреждений располагается в жилых зданиях, и оплата за потребленные услуги производится пропорционально занимаемой площади.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/>
      <w:bookmarkStart w:id="357" w:name="_Hlk166052887"/>
      <w:r>
        <w:rPr>
          <w:sz w:val="28"/>
          <w:szCs w:val="28"/>
        </w:rPr>
        <w:t xml:space="preserve">Здания, строения и сооружения на территории города Перми не оборудованы общедомовыми приборами учета принимаемых сточных вод. Размер платы за коммунальную у</w:t>
      </w:r>
      <w:r>
        <w:rPr>
          <w:sz w:val="28"/>
          <w:szCs w:val="28"/>
        </w:rPr>
        <w:t xml:space="preserve">слугу водоотведения, предоставленную за расчетный период, в жилом помещении, не оборудованном индивидуальным или общим (квартирным) прибором учета сточных бытовых вод, рассчитывается исходя из суммы объемов холодной и горячей воды, предоставленных в таком </w:t>
      </w:r>
      <w:r>
        <w:rPr>
          <w:sz w:val="28"/>
          <w:szCs w:val="28"/>
        </w:rPr>
        <w:t xml:space="preserve">жилом помещении и определенных по показаниям индив</w:t>
      </w:r>
      <w:r>
        <w:rPr>
          <w:sz w:val="28"/>
          <w:szCs w:val="28"/>
        </w:rPr>
        <w:t xml:space="preserve">идуальных или общих (квартирных) приборов учета холодной и горячей воды за расчетный период, а при отсутствии приборов учета холодной и горячей воды – исходя из нормативов потребления коммунальных услуг по холодному и горячему водоснабжению, водоотведению.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/>
      <w:bookmarkStart w:id="358" w:name="_Toc119947504"/>
      <w:r/>
      <w:bookmarkStart w:id="359" w:name="_Toc175216031"/>
      <w:r/>
      <w:bookmarkEnd w:id="357"/>
      <w:r>
        <w:rPr>
          <w:b/>
          <w:bCs/>
          <w:sz w:val="28"/>
          <w:szCs w:val="28"/>
          <w:lang w:val="en-US"/>
        </w:rPr>
        <w:t xml:space="preserve">III</w:t>
      </w:r>
      <w:r>
        <w:rPr>
          <w:b/>
          <w:bCs/>
          <w:sz w:val="28"/>
          <w:szCs w:val="28"/>
        </w:rPr>
        <w:t xml:space="preserve">. Исследование перспективы развития муниципального образования </w:t>
      </w:r>
      <w:r>
        <w:rPr>
          <w:b/>
          <w:bCs/>
          <w:sz w:val="28"/>
          <w:szCs w:val="28"/>
        </w:rPr>
      </w:r>
    </w:p>
    <w:p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и прогноз на коммунальные ресурсы</w:t>
      </w:r>
      <w:bookmarkEnd w:id="358"/>
      <w:r/>
      <w:bookmarkEnd w:id="359"/>
      <w:r/>
      <w:r>
        <w:rPr>
          <w:rFonts w:eastAsiaTheme="minorHAnsi" w:cstheme="minorBidi"/>
          <w:b/>
          <w:sz w:val="28"/>
          <w:szCs w:val="28"/>
          <w:lang w:eastAsia="en-US"/>
        </w:rPr>
      </w:r>
    </w:p>
    <w:p>
      <w:pPr>
        <w:pStyle w:val="1544"/>
        <w:rPr>
          <w:b/>
          <w:bCs/>
          <w:sz w:val="28"/>
          <w:szCs w:val="28"/>
          <w:highlight w:val="cyan"/>
        </w:rPr>
      </w:pPr>
      <w:r>
        <w:rPr>
          <w:b/>
          <w:bCs/>
          <w:sz w:val="28"/>
          <w:szCs w:val="28"/>
          <w:highlight w:val="cyan"/>
        </w:rPr>
      </w:r>
      <w:r>
        <w:rPr>
          <w:b/>
          <w:bCs/>
          <w:sz w:val="28"/>
          <w:szCs w:val="28"/>
          <w:highlight w:val="cyan"/>
        </w:rPr>
      </w:r>
    </w:p>
    <w:p>
      <w:pPr>
        <w:pStyle w:val="1544"/>
        <w:rPr>
          <w:b/>
          <w:bCs/>
          <w:sz w:val="28"/>
          <w:szCs w:val="28"/>
        </w:rPr>
      </w:pPr>
      <w:r/>
      <w:bookmarkStart w:id="360" w:name="_Toc119947505"/>
      <w:r/>
      <w:bookmarkStart w:id="361" w:name="_Toc175216032"/>
      <w:r>
        <w:rPr>
          <w:b/>
          <w:bCs/>
          <w:sz w:val="28"/>
          <w:szCs w:val="28"/>
        </w:rPr>
        <w:t xml:space="preserve">3.1. Определение перспективных показателей развития муниципального образования</w:t>
      </w:r>
      <w:bookmarkEnd w:id="360"/>
      <w:r/>
      <w:bookmarkEnd w:id="361"/>
      <w:r/>
      <w:r>
        <w:rPr>
          <w:b/>
          <w:bCs/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70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Обоснование перспективных показателей приведено в обосновывающих материалах Программы.</w:t>
      </w:r>
      <w:r>
        <w:rPr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/>
      <w:bookmarkStart w:id="362" w:name="_Toc175216033"/>
      <w:r>
        <w:rPr>
          <w:b/>
          <w:bCs/>
          <w:sz w:val="28"/>
          <w:szCs w:val="28"/>
        </w:rPr>
        <w:t xml:space="preserve">3.1.1 Прогноз численности и состава населения 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(демографический прогноз)</w:t>
      </w:r>
      <w:bookmarkEnd w:id="362"/>
      <w:r/>
      <w:r>
        <w:rPr>
          <w:b/>
          <w:bCs/>
          <w:sz w:val="28"/>
          <w:szCs w:val="28"/>
        </w:rPr>
      </w:r>
    </w:p>
    <w:p>
      <w:pPr>
        <w:pStyle w:val="15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70"/>
        <w:rPr>
          <w:sz w:val="28"/>
          <w:szCs w:val="28"/>
        </w:rPr>
      </w:pPr>
      <w:r/>
      <w:bookmarkStart w:id="363" w:name="_Hlk51012005"/>
      <w:r/>
      <w:bookmarkStart w:id="364" w:name="_Hlk27334718"/>
      <w:r>
        <w:rPr>
          <w:sz w:val="28"/>
          <w:szCs w:val="28"/>
        </w:rPr>
        <w:t xml:space="preserve">По состоянию на 01.01.2023 численность постоянного населения Пермского городского округа составила 1 027,157 тыс. человек, или 99,5 % к уровню предыдущего года (в 2022 году численность постоянного населения города Перми скорректирована с учетом итогов </w:t>
      </w:r>
      <w:bookmarkStart w:id="365" w:name="_Hlk166593128"/>
      <w:r>
        <w:rPr>
          <w:sz w:val="28"/>
          <w:szCs w:val="28"/>
        </w:rPr>
        <w:t xml:space="preserve">Всероссийской переписи населения 2020 года </w:t>
      </w:r>
      <w:bookmarkEnd w:id="365"/>
      <w:r>
        <w:rPr>
          <w:sz w:val="28"/>
          <w:szCs w:val="28"/>
        </w:rPr>
        <w:t xml:space="preserve">– 1 032,5 тыс. человек), что соответствует общей отрицательной динамике и по Пермскому краю в целом.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Ретроспективная динамика численности постоянного населения Пермского городского округа за последние пять лет по данным территориального органа Федеральной службы государственной статистики по Пермскому краю представлена в таблице </w:t>
      </w:r>
      <w:bookmarkStart w:id="366" w:name="_Toc159418351"/>
      <w:r/>
      <w:bookmarkStart w:id="367" w:name="_Toc159420916"/>
      <w:r/>
      <w:bookmarkStart w:id="368" w:name="_Toc175216115"/>
      <w:r>
        <w:rPr>
          <w:sz w:val="28"/>
          <w:szCs w:val="28"/>
        </w:rPr>
        <w:t xml:space="preserve">3.1.</w:t>
      </w:r>
      <w:r>
        <w:rPr>
          <w:sz w:val="28"/>
          <w:szCs w:val="28"/>
        </w:rPr>
      </w:r>
    </w:p>
    <w:p>
      <w:pPr>
        <w:spacing w:after="200" w:line="276" w:lineRule="auto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</w:r>
      <w:r>
        <w:rPr>
          <w:rFonts w:eastAsiaTheme="minorHAnsi"/>
          <w:iCs/>
          <w:sz w:val="28"/>
          <w:szCs w:val="28"/>
          <w:lang w:eastAsia="en-US"/>
        </w:rPr>
      </w:r>
    </w:p>
    <w:p>
      <w:pPr>
        <w:spacing w:after="200" w:line="276" w:lineRule="auto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</w:r>
      <w:r>
        <w:rPr>
          <w:rFonts w:eastAsiaTheme="minorHAnsi"/>
          <w:iCs/>
          <w:sz w:val="28"/>
          <w:szCs w:val="28"/>
          <w:lang w:eastAsia="en-US"/>
        </w:rPr>
      </w:r>
    </w:p>
    <w:p>
      <w:pPr>
        <w:pStyle w:val="157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Таблица 3.1</w:t>
      </w:r>
      <w:r>
        <w:rPr>
          <w:b/>
          <w:bCs/>
          <w:sz w:val="28"/>
          <w:szCs w:val="28"/>
        </w:rPr>
      </w:r>
    </w:p>
    <w:p>
      <w:pPr>
        <w:pStyle w:val="1570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Численность населения Пермского городского округа за 2019-2023 г</w:t>
      </w:r>
      <w:bookmarkEnd w:id="366"/>
      <w:r/>
      <w:bookmarkEnd w:id="367"/>
      <w:r/>
      <w:bookmarkEnd w:id="368"/>
      <w:r>
        <w:rPr>
          <w:b/>
          <w:bCs/>
          <w:sz w:val="28"/>
          <w:szCs w:val="28"/>
        </w:rPr>
        <w:t xml:space="preserve">оды</w:t>
      </w:r>
      <w:r>
        <w:rPr>
          <w:b/>
          <w:bCs/>
          <w:sz w:val="28"/>
          <w:szCs w:val="28"/>
        </w:rPr>
      </w:r>
    </w:p>
    <w:p>
      <w:pPr>
        <w:pStyle w:val="157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850"/>
        <w:gridCol w:w="851"/>
        <w:gridCol w:w="850"/>
        <w:gridCol w:w="1081"/>
        <w:gridCol w:w="897"/>
      </w:tblGrid>
      <w:tr>
        <w:tblPrEx/>
        <w:trPr>
          <w:trHeight w:val="20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2" w:type="dxa"/>
            <w:textDirection w:val="lrTb"/>
            <w:noWrap w:val="false"/>
          </w:tcPr>
          <w:p>
            <w:pPr>
              <w:pStyle w:val="1544"/>
            </w:pPr>
            <w:r>
              <w:t xml:space="preserve">Наименование показателя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pStyle w:val="1217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pStyle w:val="1217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pStyle w:val="1217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textDirection w:val="lrTb"/>
            <w:noWrap w:val="false"/>
          </w:tcPr>
          <w:p>
            <w:pPr>
              <w:pStyle w:val="1217"/>
              <w:contextualSpacing/>
              <w:ind w:left="-103" w:right="-16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2022/2022</w:t>
            </w:r>
            <w:r>
              <w:rPr>
                <w:rFonts w:asciiTheme="minorHAnsi" w:hAnsiTheme="minorHAnsi" w:cstheme="minorHAnsi"/>
                <w:vertAlign w:val="superscript"/>
              </w:rPr>
              <w:footnoteRef/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7" w:type="dxa"/>
            <w:textDirection w:val="lrTb"/>
            <w:noWrap/>
          </w:tcPr>
          <w:p>
            <w:pPr>
              <w:pStyle w:val="1217"/>
              <w:contextualSpacing/>
              <w:ind w:right="-150" w:hanging="18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2023</w:t>
            </w:r>
            <w:r>
              <w:rPr>
                <w:rFonts w:asciiTheme="minorHAnsi" w:hAnsiTheme="minorHAnsi" w:cstheme="minorHAnsi"/>
                <w:vertAlign w:val="superscript"/>
              </w:rPr>
              <w:footnoteRef/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2" w:type="dxa"/>
            <w:textDirection w:val="lrTb"/>
            <w:noWrap/>
          </w:tcPr>
          <w:p>
            <w:pPr>
              <w:pStyle w:val="1544"/>
              <w:jc w:val="left"/>
            </w:pPr>
            <w:r>
              <w:t xml:space="preserve">Численность населения Пермского ГО на начало года, чел., всего, в </w:t>
            </w:r>
            <w:r>
              <w:t xml:space="preserve">т.ч</w:t>
            </w:r>
            <w:r>
              <w:t xml:space="preserve">.: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217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1 053 938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217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1 055 403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850" w:type="dxa"/>
            <w:textDirection w:val="lrTb"/>
            <w:noWrap/>
          </w:tcPr>
          <w:p>
            <w:pPr>
              <w:pStyle w:val="1217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1 049 206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textDirection w:val="lrTb"/>
            <w:noWrap w:val="false"/>
          </w:tcPr>
          <w:p>
            <w:pPr>
              <w:pStyle w:val="1217"/>
              <w:contextualSpacing/>
              <w:ind w:left="-95" w:right="-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1 042 770/</w:t>
            </w:r>
            <w:r>
              <w:rPr>
                <w:sz w:val="20"/>
                <w:szCs w:val="20"/>
              </w:rPr>
            </w:r>
          </w:p>
          <w:p>
            <w:pPr>
              <w:pStyle w:val="1217"/>
              <w:contextualSpacing/>
              <w:ind w:left="-95" w:right="-125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1 032 452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7" w:type="dxa"/>
            <w:textDirection w:val="lrTb"/>
            <w:noWrap/>
          </w:tcPr>
          <w:p>
            <w:pPr>
              <w:ind w:left="-112" w:right="-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1 027 157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2" w:type="dxa"/>
            <w:textDirection w:val="lrTb"/>
            <w:noWrap/>
          </w:tcPr>
          <w:p>
            <w:pPr>
              <w:pStyle w:val="1544"/>
              <w:ind w:right="183"/>
              <w:jc w:val="left"/>
            </w:pPr>
            <w:r>
              <w:t xml:space="preserve">городское население, в </w:t>
            </w:r>
            <w:r>
              <w:t xml:space="preserve">т.ч</w:t>
            </w:r>
            <w:r>
              <w:t xml:space="preserve">.: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217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1 053 934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217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1 055 397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pStyle w:val="1217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1 049 199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textDirection w:val="lrTb"/>
            <w:noWrap w:val="false"/>
          </w:tcPr>
          <w:p>
            <w:pPr>
              <w:pStyle w:val="1217"/>
              <w:contextualSpacing/>
              <w:ind w:left="-95" w:right="-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1 042 763/</w:t>
            </w:r>
            <w:r>
              <w:rPr>
                <w:sz w:val="20"/>
                <w:szCs w:val="20"/>
              </w:rPr>
            </w:r>
          </w:p>
          <w:p>
            <w:pPr>
              <w:pStyle w:val="1217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1 032 445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7" w:type="dxa"/>
            <w:textDirection w:val="lrTb"/>
            <w:noWrap/>
          </w:tcPr>
          <w:p>
            <w:pPr>
              <w:ind w:left="-112" w:right="-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1 027 153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2" w:type="dxa"/>
            <w:textDirection w:val="lrTb"/>
            <w:noWrap/>
          </w:tcPr>
          <w:p>
            <w:pPr>
              <w:pStyle w:val="1544"/>
              <w:jc w:val="left"/>
              <w:rPr>
                <w:highlight w:val="red"/>
              </w:rPr>
            </w:pPr>
            <w:r>
              <w:t xml:space="preserve">Дзержинский район</w:t>
            </w:r>
            <w:r>
              <w:rPr>
                <w:highlight w:val="red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pStyle w:val="1217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 xml:space="preserve">167 405</w:t>
            </w:r>
            <w:r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pStyle w:val="1217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 xml:space="preserve">167 600</w:t>
            </w:r>
            <w:r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pStyle w:val="1217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 xml:space="preserve">166 516</w:t>
            </w:r>
            <w:r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textDirection w:val="lrTb"/>
            <w:noWrap w:val="false"/>
          </w:tcPr>
          <w:p>
            <w:pPr>
              <w:pStyle w:val="1217"/>
              <w:contextualSpacing/>
              <w:ind w:left="-95" w:right="-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165 494/</w:t>
            </w:r>
            <w:r>
              <w:rPr>
                <w:sz w:val="20"/>
                <w:szCs w:val="20"/>
              </w:rPr>
            </w:r>
          </w:p>
          <w:p>
            <w:pPr>
              <w:pStyle w:val="1217"/>
              <w:contextualSpacing/>
              <w:ind w:left="-95" w:right="-125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163 856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7" w:type="dxa"/>
            <w:textDirection w:val="lrTb"/>
            <w:noWrap/>
          </w:tcPr>
          <w:p>
            <w:pPr>
              <w:pStyle w:val="1217"/>
              <w:contextualSpacing/>
              <w:ind w:left="-112" w:right="-113"/>
              <w:jc w:val="center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 xml:space="preserve">163 017</w:t>
            </w:r>
            <w:r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2" w:type="dxa"/>
            <w:textDirection w:val="lrTb"/>
            <w:noWrap/>
          </w:tcPr>
          <w:p>
            <w:pPr>
              <w:pStyle w:val="1544"/>
              <w:jc w:val="left"/>
              <w:rPr>
                <w:highlight w:val="red"/>
              </w:rPr>
            </w:pPr>
            <w:r>
              <w:t xml:space="preserve">Индустриальный район</w:t>
            </w:r>
            <w:r>
              <w:rPr>
                <w:highlight w:val="red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pStyle w:val="1217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 xml:space="preserve">170 105</w:t>
            </w:r>
            <w:r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pStyle w:val="1217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 xml:space="preserve">170 300</w:t>
            </w:r>
            <w:r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pStyle w:val="1217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 xml:space="preserve">169 616</w:t>
            </w:r>
            <w:r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textDirection w:val="lrTb"/>
            <w:noWrap w:val="false"/>
          </w:tcPr>
          <w:p>
            <w:pPr>
              <w:pStyle w:val="1217"/>
              <w:contextualSpacing/>
              <w:ind w:left="-95" w:right="-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168 594/</w:t>
            </w:r>
            <w:r>
              <w:rPr>
                <w:sz w:val="20"/>
                <w:szCs w:val="20"/>
              </w:rPr>
            </w:r>
          </w:p>
          <w:p>
            <w:pPr>
              <w:pStyle w:val="1217"/>
              <w:contextualSpacing/>
              <w:ind w:left="-95" w:right="-125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166 926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7" w:type="dxa"/>
            <w:textDirection w:val="lrTb"/>
            <w:noWrap/>
          </w:tcPr>
          <w:p>
            <w:pPr>
              <w:pStyle w:val="1217"/>
              <w:contextualSpacing/>
              <w:ind w:left="-112" w:right="-113"/>
              <w:jc w:val="center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 xml:space="preserve">166 070</w:t>
            </w:r>
            <w:r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2" w:type="dxa"/>
            <w:textDirection w:val="lrTb"/>
            <w:noWrap/>
          </w:tcPr>
          <w:p>
            <w:pPr>
              <w:pStyle w:val="1544"/>
              <w:jc w:val="left"/>
              <w:rPr>
                <w:highlight w:val="red"/>
              </w:rPr>
            </w:pPr>
            <w:r>
              <w:t xml:space="preserve">Кировский район</w:t>
            </w:r>
            <w:r>
              <w:rPr>
                <w:highlight w:val="red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pStyle w:val="1217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 xml:space="preserve">131 704</w:t>
            </w:r>
            <w:r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pStyle w:val="1217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 xml:space="preserve">131 600</w:t>
            </w:r>
            <w:r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pStyle w:val="1217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 xml:space="preserve">130 812</w:t>
            </w:r>
            <w:r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textDirection w:val="lrTb"/>
            <w:noWrap w:val="false"/>
          </w:tcPr>
          <w:p>
            <w:pPr>
              <w:pStyle w:val="1217"/>
              <w:contextualSpacing/>
              <w:ind w:left="-95" w:right="-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130 095/</w:t>
            </w:r>
            <w:r>
              <w:rPr>
                <w:sz w:val="20"/>
                <w:szCs w:val="20"/>
              </w:rPr>
            </w:r>
          </w:p>
          <w:p>
            <w:pPr>
              <w:pStyle w:val="1217"/>
              <w:contextualSpacing/>
              <w:ind w:left="-95" w:right="-125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128 808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7" w:type="dxa"/>
            <w:textDirection w:val="lrTb"/>
            <w:noWrap/>
          </w:tcPr>
          <w:p>
            <w:pPr>
              <w:pStyle w:val="1217"/>
              <w:contextualSpacing/>
              <w:ind w:left="-112" w:right="-113"/>
              <w:jc w:val="center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 xml:space="preserve">128 147</w:t>
            </w:r>
            <w:r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2" w:type="dxa"/>
            <w:textDirection w:val="lrTb"/>
            <w:noWrap/>
          </w:tcPr>
          <w:p>
            <w:pPr>
              <w:pStyle w:val="1544"/>
              <w:jc w:val="left"/>
              <w:rPr>
                <w:highlight w:val="red"/>
              </w:rPr>
            </w:pPr>
            <w:r>
              <w:t xml:space="preserve">Ленинский район</w:t>
            </w:r>
            <w:r>
              <w:rPr>
                <w:highlight w:val="red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pStyle w:val="1217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 xml:space="preserve">55 302</w:t>
            </w:r>
            <w:r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pStyle w:val="1217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 xml:space="preserve">55 600</w:t>
            </w:r>
            <w:r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pStyle w:val="1217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 xml:space="preserve">54 705</w:t>
            </w:r>
            <w:r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textDirection w:val="lrTb"/>
            <w:noWrap w:val="false"/>
          </w:tcPr>
          <w:p>
            <w:pPr>
              <w:pStyle w:val="1217"/>
              <w:contextualSpacing/>
              <w:ind w:left="-95" w:right="-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54 198/</w:t>
            </w:r>
            <w:r>
              <w:rPr>
                <w:sz w:val="20"/>
                <w:szCs w:val="20"/>
              </w:rPr>
            </w:r>
          </w:p>
          <w:p>
            <w:pPr>
              <w:pStyle w:val="1217"/>
              <w:contextualSpacing/>
              <w:ind w:left="-95" w:right="-125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53 662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7" w:type="dxa"/>
            <w:textDirection w:val="lrTb"/>
            <w:noWrap/>
          </w:tcPr>
          <w:p>
            <w:pPr>
              <w:pStyle w:val="1217"/>
              <w:contextualSpacing/>
              <w:ind w:left="-112" w:right="-113"/>
              <w:jc w:val="center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 xml:space="preserve">53 387</w:t>
            </w:r>
            <w:r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2" w:type="dxa"/>
            <w:textDirection w:val="lrTb"/>
            <w:noWrap/>
          </w:tcPr>
          <w:p>
            <w:pPr>
              <w:pStyle w:val="1544"/>
              <w:jc w:val="left"/>
              <w:rPr>
                <w:highlight w:val="red"/>
              </w:rPr>
            </w:pPr>
            <w:r>
              <w:t xml:space="preserve">Мотовилихинский район</w:t>
            </w:r>
            <w:r>
              <w:rPr>
                <w:highlight w:val="red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pStyle w:val="1217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 xml:space="preserve">193 906</w:t>
            </w:r>
            <w:r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pStyle w:val="1217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 xml:space="preserve">194 499</w:t>
            </w:r>
            <w:r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pStyle w:val="1217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 xml:space="preserve">193 618</w:t>
            </w:r>
            <w:r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textDirection w:val="lrTb"/>
            <w:noWrap w:val="false"/>
          </w:tcPr>
          <w:p>
            <w:pPr>
              <w:pStyle w:val="1217"/>
              <w:contextualSpacing/>
              <w:ind w:left="-95" w:right="-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192 593/</w:t>
            </w:r>
            <w:r>
              <w:rPr>
                <w:sz w:val="20"/>
                <w:szCs w:val="20"/>
              </w:rPr>
            </w:r>
          </w:p>
          <w:p>
            <w:pPr>
              <w:pStyle w:val="1217"/>
              <w:contextualSpacing/>
              <w:ind w:left="-95" w:right="-125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190 687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7" w:type="dxa"/>
            <w:textDirection w:val="lrTb"/>
            <w:noWrap/>
          </w:tcPr>
          <w:p>
            <w:pPr>
              <w:pStyle w:val="1217"/>
              <w:contextualSpacing/>
              <w:ind w:left="-112" w:right="-113"/>
              <w:jc w:val="center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 xml:space="preserve">189 710</w:t>
            </w:r>
            <w:r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2" w:type="dxa"/>
            <w:textDirection w:val="lrTb"/>
            <w:noWrap/>
          </w:tcPr>
          <w:p>
            <w:pPr>
              <w:pStyle w:val="1544"/>
              <w:jc w:val="left"/>
              <w:rPr>
                <w:highlight w:val="red"/>
              </w:rPr>
            </w:pPr>
            <w:r>
              <w:t xml:space="preserve">Орджоникидзевский район</w:t>
            </w:r>
            <w:r>
              <w:rPr>
                <w:highlight w:val="red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pStyle w:val="1217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 xml:space="preserve">116 004</w:t>
            </w:r>
            <w:r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pStyle w:val="1217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 xml:space="preserve">116 200</w:t>
            </w:r>
            <w:r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pStyle w:val="1217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 xml:space="preserve">115 711</w:t>
            </w:r>
            <w:r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textDirection w:val="lrTb"/>
            <w:noWrap w:val="false"/>
          </w:tcPr>
          <w:p>
            <w:pPr>
              <w:pStyle w:val="1217"/>
              <w:contextualSpacing/>
              <w:ind w:left="-95" w:right="-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114 996/</w:t>
            </w:r>
            <w:r>
              <w:rPr>
                <w:sz w:val="20"/>
                <w:szCs w:val="20"/>
              </w:rPr>
            </w:r>
          </w:p>
          <w:p>
            <w:pPr>
              <w:pStyle w:val="1217"/>
              <w:contextualSpacing/>
              <w:ind w:left="-95" w:right="-125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113 858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7" w:type="dxa"/>
            <w:textDirection w:val="lrTb"/>
            <w:noWrap/>
          </w:tcPr>
          <w:p>
            <w:pPr>
              <w:pStyle w:val="1217"/>
              <w:contextualSpacing/>
              <w:ind w:left="-112" w:right="-113"/>
              <w:jc w:val="center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 xml:space="preserve">113 275</w:t>
            </w:r>
            <w:r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2" w:type="dxa"/>
            <w:textDirection w:val="lrTb"/>
            <w:noWrap/>
          </w:tcPr>
          <w:p>
            <w:pPr>
              <w:pStyle w:val="1544"/>
              <w:jc w:val="left"/>
              <w:rPr>
                <w:rFonts w:asciiTheme="minorHAnsi" w:hAnsiTheme="minorHAnsi" w:cstheme="minorHAnsi"/>
                <w:highlight w:val="red"/>
              </w:rPr>
            </w:pPr>
            <w:r>
              <w:t xml:space="preserve">Свердловский район</w:t>
            </w:r>
            <w:r>
              <w:rPr>
                <w:rFonts w:asciiTheme="minorHAnsi" w:hAnsiTheme="minorHAnsi" w:cstheme="minorHAnsi"/>
                <w:highlight w:val="red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pStyle w:val="1217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 xml:space="preserve">219 508</w:t>
            </w:r>
            <w:r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pStyle w:val="1217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 xml:space="preserve">219 598</w:t>
            </w:r>
            <w:r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pStyle w:val="1217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 xml:space="preserve">218 221</w:t>
            </w:r>
            <w:r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textDirection w:val="lrTb"/>
            <w:noWrap w:val="false"/>
          </w:tcPr>
          <w:p>
            <w:pPr>
              <w:pStyle w:val="1217"/>
              <w:contextualSpacing/>
              <w:ind w:left="-95" w:right="-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216 793/</w:t>
            </w:r>
            <w:r>
              <w:rPr>
                <w:sz w:val="20"/>
                <w:szCs w:val="20"/>
              </w:rPr>
            </w:r>
          </w:p>
          <w:p>
            <w:pPr>
              <w:pStyle w:val="1217"/>
              <w:contextualSpacing/>
              <w:ind w:left="-95" w:right="-125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214 648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7" w:type="dxa"/>
            <w:textDirection w:val="lrTb"/>
            <w:noWrap/>
          </w:tcPr>
          <w:p>
            <w:pPr>
              <w:pStyle w:val="1217"/>
              <w:contextualSpacing/>
              <w:ind w:left="-112" w:right="-113"/>
              <w:jc w:val="center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 xml:space="preserve">213 547</w:t>
            </w:r>
            <w:r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2" w:type="dxa"/>
            <w:textDirection w:val="lrTb"/>
            <w:noWrap/>
          </w:tcPr>
          <w:p>
            <w:pPr>
              <w:pStyle w:val="1544"/>
              <w:jc w:val="left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сельское население (Казарма 30й км, </w:t>
            </w:r>
            <w:r>
              <w:rPr>
                <w:rFonts w:asciiTheme="minorHAnsi" w:hAnsiTheme="minorHAnsi" w:cstheme="minorHAnsi"/>
              </w:rPr>
              <w:t xml:space="preserve">Адищево</w:t>
            </w:r>
            <w:r>
              <w:rPr>
                <w:rFonts w:asciiTheme="minorHAnsi" w:hAnsiTheme="minorHAnsi" w:cstheme="minorHAnsi"/>
              </w:rPr>
              <w:t xml:space="preserve">)</w:t>
            </w:r>
            <w:r>
              <w:rPr>
                <w:rFonts w:asciiTheme="minorHAnsi" w:hAnsiTheme="minorHAnsi" w:cstheme="minorHAnsi"/>
                <w:highlight w:val="red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217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pStyle w:val="1217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pStyle w:val="1217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textDirection w:val="lrTb"/>
            <w:noWrap w:val="false"/>
          </w:tcPr>
          <w:p>
            <w:pPr>
              <w:pStyle w:val="1217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7" w:type="dxa"/>
            <w:textDirection w:val="lrTb"/>
            <w:noWrap/>
          </w:tcPr>
          <w:p>
            <w:pPr>
              <w:pStyle w:val="1217"/>
              <w:contextualSpacing/>
              <w:ind w:left="-112" w:right="-113"/>
              <w:jc w:val="center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2" w:type="dxa"/>
            <w:textDirection w:val="lrTb"/>
            <w:noWrap w:val="false"/>
          </w:tcPr>
          <w:p>
            <w:pPr>
              <w:pStyle w:val="1544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Общий прирост (+), снижение (-), всего за год, чел., в </w:t>
            </w:r>
            <w:r>
              <w:rPr>
                <w:rFonts w:asciiTheme="minorHAnsi" w:hAnsiTheme="minorHAnsi" w:cstheme="minorHAnsi"/>
              </w:rPr>
              <w:t xml:space="preserve">т.ч</w:t>
            </w:r>
            <w:r>
              <w:rPr>
                <w:rFonts w:asciiTheme="minorHAnsi" w:hAnsiTheme="minorHAnsi" w:cstheme="minorHAnsi"/>
              </w:rPr>
              <w:t xml:space="preserve">.: 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217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1 465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217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-6 197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217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-6 436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textDirection w:val="lrTb"/>
            <w:noWrap w:val="false"/>
          </w:tcPr>
          <w:p>
            <w:pPr>
              <w:pStyle w:val="1217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-5 295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7" w:type="dxa"/>
            <w:textDirection w:val="lrTb"/>
            <w:noWrap w:val="false"/>
          </w:tcPr>
          <w:p>
            <w:pPr>
              <w:pStyle w:val="1217"/>
              <w:contextualSpacing/>
              <w:ind w:left="-112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-1 843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2" w:type="dxa"/>
            <w:textDirection w:val="lrTb"/>
            <w:noWrap w:val="false"/>
          </w:tcPr>
          <w:p>
            <w:pPr>
              <w:pStyle w:val="1544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городское население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217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1 463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217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-6 198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217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-6 436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textDirection w:val="lrTb"/>
            <w:noWrap w:val="false"/>
          </w:tcPr>
          <w:p>
            <w:pPr>
              <w:pStyle w:val="1217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-5 292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7" w:type="dxa"/>
            <w:textDirection w:val="lrTb"/>
            <w:noWrap w:val="false"/>
          </w:tcPr>
          <w:p>
            <w:pPr>
              <w:pStyle w:val="1217"/>
              <w:contextualSpacing/>
              <w:ind w:left="-112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2" w:type="dxa"/>
            <w:textDirection w:val="lrTb"/>
            <w:noWrap w:val="false"/>
          </w:tcPr>
          <w:p>
            <w:pPr>
              <w:pStyle w:val="1544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сельское население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217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217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217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textDirection w:val="lrTb"/>
            <w:noWrap w:val="false"/>
          </w:tcPr>
          <w:p>
            <w:pPr>
              <w:pStyle w:val="1217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7" w:type="dxa"/>
            <w:textDirection w:val="lrTb"/>
            <w:noWrap w:val="false"/>
          </w:tcPr>
          <w:p>
            <w:pPr>
              <w:pStyle w:val="1217"/>
              <w:contextualSpacing/>
              <w:ind w:left="-112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</w:tbl>
    <w:p>
      <w:pPr>
        <w:pStyle w:val="1570"/>
        <w:ind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</w:r>
      <w:r>
        <w:rPr>
          <w:rFonts w:asciiTheme="minorHAnsi" w:hAnsiTheme="minorHAnsi" w:cstheme="minorHAnsi"/>
          <w:szCs w:val="24"/>
        </w:rPr>
      </w:r>
    </w:p>
    <w:p>
      <w:pPr>
        <w:ind w:firstLine="709"/>
        <w:rPr>
          <w:rFonts w:cs="Arial Unicode MS"/>
          <w:iCs/>
          <w:color w:val="000000"/>
          <w:lang w:eastAsia="en-US"/>
        </w:rPr>
      </w:pPr>
      <w:r>
        <w:rPr>
          <w:rFonts w:cs="Arial Unicode MS"/>
          <w:iCs/>
          <w:color w:val="000000"/>
          <w:lang w:eastAsia="en-US"/>
        </w:rPr>
        <w:t xml:space="preserve">---------------------------</w:t>
      </w:r>
      <w:r>
        <w:rPr>
          <w:rFonts w:cs="Arial Unicode MS"/>
          <w:iCs/>
          <w:color w:val="000000"/>
          <w:lang w:eastAsia="en-US"/>
        </w:rPr>
      </w:r>
    </w:p>
    <w:p>
      <w:pPr>
        <w:pStyle w:val="1570"/>
        <w:rPr>
          <w:rFonts w:asciiTheme="minorHAnsi" w:hAnsiTheme="minorHAnsi" w:cstheme="minorHAnsi"/>
          <w:szCs w:val="24"/>
        </w:rPr>
      </w:pPr>
      <w:r>
        <w:rPr>
          <w:rFonts w:cs="Arial Unicode MS"/>
          <w:color w:val="000000"/>
          <w:szCs w:val="24"/>
        </w:rPr>
        <w:t xml:space="preserve">1.</w:t>
      </w:r>
      <w:r>
        <w:rPr>
          <w:rFonts w:asciiTheme="minorHAnsi" w:hAnsiTheme="minorHAnsi" w:cstheme="minorHAnsi"/>
          <w:szCs w:val="24"/>
        </w:rPr>
        <w:t xml:space="preserve"> С учетом итогов Всероссийской переписи населения 2020 года.</w:t>
      </w:r>
      <w:r>
        <w:rPr>
          <w:rFonts w:asciiTheme="minorHAnsi" w:hAnsiTheme="minorHAnsi" w:cstheme="minorHAnsi"/>
          <w:szCs w:val="24"/>
        </w:rPr>
      </w:r>
    </w:p>
    <w:p>
      <w:pPr>
        <w:pStyle w:val="157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2. </w:t>
      </w:r>
      <w:bookmarkStart w:id="369" w:name="_Hlk156994440"/>
      <w:r>
        <w:rPr>
          <w:rFonts w:asciiTheme="minorHAnsi" w:hAnsiTheme="minorHAnsi" w:cstheme="minorHAnsi"/>
          <w:szCs w:val="24"/>
        </w:rPr>
        <w:t xml:space="preserve">Краткие итоги </w:t>
      </w:r>
      <w:bookmarkStart w:id="370" w:name="_Hlk166593139"/>
      <w:r>
        <w:rPr>
          <w:rFonts w:asciiTheme="minorHAnsi" w:hAnsiTheme="minorHAnsi" w:cstheme="minorHAnsi"/>
          <w:szCs w:val="24"/>
        </w:rPr>
        <w:t xml:space="preserve">социально-экономического положения города Перми</w:t>
      </w:r>
      <w:bookmarkEnd w:id="369"/>
      <w:r>
        <w:rPr>
          <w:rFonts w:asciiTheme="minorHAnsi" w:hAnsiTheme="minorHAnsi" w:cstheme="minorHAnsi"/>
          <w:szCs w:val="24"/>
        </w:rPr>
        <w:t xml:space="preserve"> за январь-октябрь 2023 г</w:t>
      </w:r>
      <w:bookmarkEnd w:id="370"/>
      <w:r>
        <w:rPr>
          <w:rFonts w:asciiTheme="minorHAnsi" w:hAnsiTheme="minorHAnsi" w:cstheme="minorHAnsi"/>
          <w:szCs w:val="24"/>
        </w:rPr>
        <w:t xml:space="preserve">.</w:t>
      </w:r>
      <w:r>
        <w:rPr>
          <w:rFonts w:asciiTheme="minorHAnsi" w:hAnsiTheme="minorHAnsi" w:cstheme="minorHAnsi"/>
          <w:szCs w:val="24"/>
        </w:rPr>
      </w:r>
    </w:p>
    <w:p>
      <w:pPr>
        <w:ind w:firstLine="709"/>
        <w:jc w:val="both"/>
        <w:rPr>
          <w:rFonts w:cs="Arial Unicode MS"/>
          <w:iCs/>
          <w:color w:val="000000"/>
          <w:lang w:eastAsia="en-US"/>
        </w:rPr>
      </w:pPr>
      <w:r>
        <w:rPr>
          <w:rFonts w:cs="Arial Unicode MS"/>
          <w:iCs/>
          <w:color w:val="000000"/>
          <w:lang w:eastAsia="en-US"/>
        </w:rPr>
        <w:t xml:space="preserve">Примечание. Источники информации – </w:t>
      </w:r>
      <w:r>
        <w:rPr>
          <w:rFonts w:asciiTheme="minorHAnsi" w:hAnsiTheme="minorHAnsi" w:cstheme="minorHAnsi"/>
          <w:iCs/>
        </w:rPr>
        <w:t xml:space="preserve">сведения территориального органа Федеральной службы государственной статистики по Пермскому краю.</w:t>
      </w:r>
      <w:bookmarkEnd w:id="363"/>
      <w:r/>
      <w:bookmarkEnd w:id="364"/>
      <w:r/>
      <w:r>
        <w:rPr>
          <w:rFonts w:cs="Arial Unicode MS"/>
          <w:iCs/>
          <w:color w:val="000000"/>
          <w:lang w:eastAsia="en-US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Проведенный анализ демографической ситуации в городе Перми выявил следующие ключевые тенденции: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сложившееся в городе репродуктивное положение не позволяет рассчитывать на расширенное воспроизводство населения города естественным приростом;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численность женщин в наиболее фертильных возрастах будет с каждым годом сокращаться, что приведет к уменьшению суммарного коэффициента рождаемости;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увеличение численности жителей города старших возрастов в общей численности жителей города приведет к росту суммарного коэффициента смертности;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без стабильного миграционного притока не удастся поддерживать в городе рост числа жителей;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при сохранении текущей динамики в городе ожидается сокращение собственных трудовых ресурсов;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снизится численность молодых людей студенческого возраста, постоянно проживающих в городе. Большая численность иногородних студентов будет оказывать возрастающее влияние на социальные и экономические процессы, происходящие в городе.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Определение перспективной численности населения необходимо для расчета объемов жилищного строительства, сети объектов социальной инфраструктуры на первую очередь и на расчетный срок </w:t>
      </w:r>
      <w:r>
        <w:rPr>
          <w:sz w:val="28"/>
          <w:szCs w:val="28"/>
        </w:rPr>
        <w:t xml:space="preserve">настоящей Программы</w:t>
      </w:r>
      <w:r>
        <w:rPr>
          <w:sz w:val="28"/>
          <w:szCs w:val="28"/>
        </w:rPr>
        <w:t xml:space="preserve"> и для формирования перечня предлагаемых мероприятий по обеспечению населения основными объектами обслуживания.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В ходе оценки перспективной численности населения города Перми были проанализированы: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/>
      <w:bookmarkStart w:id="371" w:name="_Hlk166593176"/>
      <w:r>
        <w:rPr>
          <w:sz w:val="28"/>
          <w:szCs w:val="28"/>
        </w:rPr>
        <w:t xml:space="preserve">1. План мероприятий по реализации Стратегии социально-экономического развития муниципального образования город Пермь до 2030 года на период </w:t>
      </w:r>
      <w:r>
        <w:rPr>
          <w:sz w:val="28"/>
          <w:szCs w:val="28"/>
        </w:rPr>
        <w:br/>
        <w:t xml:space="preserve">2022-2026 годов, утвержденный решением Пермской городской Думы от 26.10.2021 № 232</w:t>
      </w:r>
      <w:bookmarkEnd w:id="371"/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/>
      <w:bookmarkStart w:id="372" w:name="_Hlk166593180"/>
      <w:r>
        <w:rPr>
          <w:sz w:val="28"/>
          <w:szCs w:val="28"/>
        </w:rPr>
        <w:t xml:space="preserve">2. Прогноз социально-экономического развития города Перми на долгосрочный период до 2029 года, утвержденный постановлением администрации города Перми от 29.12.2023 № 1526 (далее – Прогноз СЭР</w:t>
      </w:r>
      <w:bookmarkEnd w:id="372"/>
      <w:r>
        <w:rPr>
          <w:sz w:val="28"/>
          <w:szCs w:val="28"/>
        </w:rPr>
        <w:t xml:space="preserve">);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/>
      <w:bookmarkStart w:id="373" w:name="_Hlk166593184"/>
      <w:r>
        <w:rPr>
          <w:sz w:val="28"/>
          <w:szCs w:val="28"/>
        </w:rPr>
        <w:t xml:space="preserve">3. ГП города Перми</w:t>
      </w:r>
      <w:bookmarkEnd w:id="373"/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динамика фактических демографических показателей.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/>
      <w:bookmarkStart w:id="374" w:name="_Hlk156997841"/>
      <w:r>
        <w:rPr>
          <w:sz w:val="28"/>
          <w:szCs w:val="28"/>
        </w:rPr>
        <w:t xml:space="preserve">Имеющиеся прогнозы в полной мере не о</w:t>
      </w:r>
      <w:r>
        <w:rPr>
          <w:sz w:val="28"/>
          <w:szCs w:val="28"/>
        </w:rPr>
        <w:t xml:space="preserve">тражают фактической демографической тенденции и различаются начальными условиями, поэтому для последующего применения был рассчитан собственный прогноз численности населения на основе данных о половозрастной структуре населения методом передвижки возрастов</w:t>
      </w:r>
      <w:bookmarkEnd w:id="374"/>
      <w:r>
        <w:rPr>
          <w:sz w:val="28"/>
          <w:szCs w:val="28"/>
        </w:rPr>
        <w:t xml:space="preserve"> с использованием показателей рождаемости по нескольким возрастным группам женщин в детородном возрасте и показателей смертности по каждой возрастной группе.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Прогнозы методом передвижки возрастов обычно делаются в нескольких вариантах, один из которых – при гипоте</w:t>
      </w:r>
      <w:r>
        <w:rPr>
          <w:sz w:val="28"/>
          <w:szCs w:val="28"/>
        </w:rPr>
        <w:t xml:space="preserve">зе неизменного режима воспроизводства населения, и ряд вариантов – при различных гипотезах о вероятных изменениях уровней рождаемости и смертности. В варианте с гипотезой о постоянстве режима воспроизводства населения на всем протяжении прогнозного периода</w:t>
      </w:r>
      <w:r>
        <w:rPr>
          <w:sz w:val="28"/>
          <w:szCs w:val="28"/>
        </w:rPr>
        <w:t xml:space="preserve"> коэффициенты дожития и рождаемости неизменны для всего прогнозного периода. Такой прогноз не может с высокой долей вероятности претендовать на предсказание будущей численности и структуры населения, поскольку демографические процессы меняются непрерывно. </w:t>
      </w:r>
      <w:r>
        <w:rPr>
          <w:sz w:val="28"/>
          <w:szCs w:val="28"/>
        </w:rPr>
        <w:t xml:space="preserve">Основной его целью в этой связи является оценка возможных последствий длительного сохранения фактической демографической ситуации, на основе которой делается прогноз. Точность прогноза определяется качеством гипотезы о тенденциях демографического развития.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/>
      <w:bookmarkStart w:id="375" w:name="_Hlk156998415"/>
      <w:r>
        <w:rPr>
          <w:sz w:val="28"/>
          <w:szCs w:val="28"/>
        </w:rPr>
        <w:t xml:space="preserve">Демографический прогноз произведен в предположениях: с учетом миграции и без таковой. </w:t>
      </w:r>
      <w:bookmarkEnd w:id="375"/>
      <w:r>
        <w:rPr>
          <w:sz w:val="28"/>
          <w:szCs w:val="28"/>
        </w:rPr>
        <w:t xml:space="preserve">Варианты «без миграции» показывают, как ведет себя коренная популяция при различных вариантах динамики демографических показателей рождаемости и смертности: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инерционного сценария – сохранение неизменного режима воспроизводства населения (без изменения текущих демографических показателей рождаемости и смертности) до 2034 года на уровне базового периода (2022 года);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базового сценария – рассматриваются сценарные условия и параметры прогноза социально-экономического развития города на долгосрочный период до 2029 года с дальнейшим сохранением и продолжением заложенных трендов;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высокого сценария – рассматриваются сценарные условия и параметры прогноза социально-экономического развития города Перми на долгосрочный период до 2029 года с дальнейшим увеличением заложенных трендов.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/>
      <w:bookmarkStart w:id="376" w:name="_Hlk156998586"/>
      <w:r>
        <w:rPr>
          <w:sz w:val="28"/>
          <w:szCs w:val="28"/>
        </w:rPr>
        <w:t xml:space="preserve">В соответствии с Прогнозом и Стратегией социально-экономического развития города Перми в горизонте планирования одним из</w:t>
      </w:r>
      <w:r>
        <w:rPr>
          <w:sz w:val="28"/>
          <w:szCs w:val="28"/>
        </w:rPr>
        <w:t xml:space="preserve"> приоритетов развития является улучшение демографических показателей. Демографический прогноз предполагает развитие в условиях следующих тенденций: увеличение уровня рождаемости, и снижение уровня смертности, и закрепление миграционного прироста населения.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 учетом реализации социально-экономического развития города Перми, муниципальных и государственных программ и национальных проектов из приведенных вариантов развития демографиче</w:t>
      </w:r>
      <w:r>
        <w:rPr>
          <w:sz w:val="28"/>
          <w:szCs w:val="28"/>
        </w:rPr>
        <w:t xml:space="preserve">ской ситуации в городе при расчете методом передвижки возрастов в качестве основного варианта принимается базовый сценарий с учетом миграции и перспективной среднегодовой численностью населения на расчетный срок (2034 год) в 999 тыс. человек (таблица 3.2).</w:t>
      </w:r>
      <w:r>
        <w:rPr>
          <w:sz w:val="28"/>
          <w:szCs w:val="28"/>
        </w:rPr>
      </w:r>
    </w:p>
    <w:p>
      <w:pPr>
        <w:pStyle w:val="1544"/>
        <w:jc w:val="right"/>
        <w:rPr>
          <w:b/>
          <w:bCs/>
          <w:sz w:val="28"/>
          <w:szCs w:val="28"/>
        </w:rPr>
      </w:pPr>
      <w:r/>
      <w:bookmarkStart w:id="377" w:name="_Ref166498511"/>
      <w:r/>
      <w:bookmarkStart w:id="378" w:name="_Toc159420925"/>
      <w:r/>
      <w:bookmarkStart w:id="379" w:name="_Toc175216116"/>
      <w:r>
        <w:rPr>
          <w:b/>
          <w:bCs/>
          <w:sz w:val="28"/>
          <w:szCs w:val="28"/>
        </w:rPr>
        <w:t xml:space="preserve">Таблица </w:t>
      </w:r>
      <w:bookmarkEnd w:id="377"/>
      <w:r>
        <w:rPr>
          <w:b/>
          <w:bCs/>
          <w:sz w:val="28"/>
          <w:szCs w:val="28"/>
        </w:rPr>
        <w:t xml:space="preserve">3.2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Динамика основных демографических показателей</w:t>
      </w:r>
      <w:bookmarkEnd w:id="378"/>
      <w:r>
        <w:rPr>
          <w:b/>
          <w:bCs/>
          <w:sz w:val="28"/>
          <w:szCs w:val="28"/>
        </w:rPr>
        <w:t xml:space="preserve"> базового сценария 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миграцией</w:t>
      </w:r>
      <w:bookmarkEnd w:id="379"/>
      <w:r/>
      <w:r>
        <w:rPr>
          <w:b/>
          <w:bCs/>
          <w:sz w:val="28"/>
          <w:szCs w:val="28"/>
        </w:rPr>
      </w:r>
    </w:p>
    <w:p>
      <w:pPr>
        <w:pStyle w:val="1544"/>
      </w:pPr>
      <w:r/>
      <w:r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026"/>
        <w:gridCol w:w="818"/>
        <w:gridCol w:w="1065"/>
        <w:gridCol w:w="1064"/>
        <w:gridCol w:w="1064"/>
        <w:gridCol w:w="1064"/>
        <w:gridCol w:w="1064"/>
        <w:gridCol w:w="1064"/>
        <w:gridCol w:w="908"/>
      </w:tblGrid>
      <w:tr>
        <w:tblPrEx/>
        <w:trPr>
          <w:trHeight w:val="20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Наименование показателя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3" w:type="pct"/>
            <w:textDirection w:val="lrTb"/>
            <w:noWrap/>
          </w:tcPr>
          <w:p>
            <w:pPr>
              <w:ind w:left="-108" w:right="-1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Ед. изм.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5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5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5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5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5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5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9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2034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Базовый с миграцией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9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Среднегодовая численность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3" w:type="pct"/>
            <w:textDirection w:val="lrTb"/>
            <w:noWrap/>
          </w:tcPr>
          <w:p>
            <w:pPr>
              <w:ind w:left="-171" w:right="-1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чел.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5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1 025 454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5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1 022 148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5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1 019 146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5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1 016 450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5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1 014 007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5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1 011 786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9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998 760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9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Рождаемость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3" w:type="pct"/>
            <w:textDirection w:val="lrTb"/>
            <w:noWrap/>
          </w:tcPr>
          <w:p>
            <w:pPr>
              <w:ind w:left="-171" w:right="-1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чел.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5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9 103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5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9 100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5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9 098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5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9 097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5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9 303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5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9 399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9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10 034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9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Смертность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3" w:type="pct"/>
            <w:textDirection w:val="lrTb"/>
            <w:noWrap/>
          </w:tcPr>
          <w:p>
            <w:pPr>
              <w:ind w:left="-171" w:right="-1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чел.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5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12 208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5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12 206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5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12 196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5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12 193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5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12 093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5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12 003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9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12 298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9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Миграционный прирост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3" w:type="pct"/>
            <w:textDirection w:val="lrTb"/>
            <w:noWrap/>
          </w:tcPr>
          <w:p>
            <w:pPr>
              <w:ind w:left="-171" w:right="-1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чел.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5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-300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5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-100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5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300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5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500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5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500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5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450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9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550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9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Суммарный коэффициент рождаемости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3" w:type="pct"/>
            <w:textDirection w:val="lrTb"/>
            <w:noWrap/>
          </w:tcPr>
          <w:p>
            <w:pPr>
              <w:ind w:left="-171" w:right="-1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ед.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5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1,31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5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1,35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5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1,39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5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1,42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5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1,49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5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1,52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9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1,67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9" w:type="pct"/>
            <w:textDirection w:val="lrTb"/>
            <w:noWrap w:val="false"/>
          </w:tcPr>
          <w:p>
            <w:pPr>
              <w:ind w:right="-19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Общий коэффициент рождаемости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3" w:type="pct"/>
            <w:textDirection w:val="lrTb"/>
            <w:noWrap/>
          </w:tcPr>
          <w:p>
            <w:pPr>
              <w:ind w:left="-171" w:right="-1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‰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5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8,88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5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8,90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5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8,93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5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8,95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5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9,17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5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9,29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9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10,05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9" w:type="pct"/>
            <w:textDirection w:val="lrTb"/>
            <w:noWrap w:val="false"/>
          </w:tcPr>
          <w:p>
            <w:pPr>
              <w:ind w:right="-19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Общий коэффициент смертности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3" w:type="pct"/>
            <w:textDirection w:val="lrTb"/>
            <w:noWrap/>
          </w:tcPr>
          <w:p>
            <w:pPr>
              <w:ind w:left="-171" w:right="-1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‰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5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11,90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5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11,94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5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11,97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5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12,00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5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11,93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5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11,86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9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12,31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</w:tbl>
    <w:p>
      <w:pPr>
        <w:pStyle w:val="1544"/>
        <w:rPr>
          <w:sz w:val="28"/>
          <w:szCs w:val="28"/>
        </w:rPr>
      </w:pPr>
      <w:r/>
      <w:bookmarkStart w:id="380" w:name="_Toc175216034"/>
      <w:r/>
      <w:bookmarkStart w:id="381" w:name="_Toc119947507"/>
      <w:r/>
      <w:bookmarkEnd w:id="376"/>
      <w:r/>
      <w:r>
        <w:rPr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3.1.2 Прогноз развития промышленного сектора</w:t>
      </w:r>
      <w:bookmarkEnd w:id="380"/>
      <w:r/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70"/>
        <w:rPr>
          <w:sz w:val="28"/>
          <w:szCs w:val="28"/>
        </w:rPr>
      </w:pPr>
      <w:r/>
      <w:bookmarkStart w:id="382" w:name="_Hlk166489115"/>
      <w:r>
        <w:rPr>
          <w:sz w:val="28"/>
          <w:szCs w:val="28"/>
        </w:rPr>
        <w:t xml:space="preserve">Экономика Пермского края преимущественно индустриальная. Город Пермь – один из крупнейших промышленных це</w:t>
      </w:r>
      <w:r>
        <w:rPr>
          <w:sz w:val="28"/>
          <w:szCs w:val="28"/>
        </w:rPr>
        <w:t xml:space="preserve">нтров Пермского края и Российской Федерации. Здесь ведут деятельность предприятия, имеющие высокую значимость на федеральном и мировом уровне, – заводы по производству химической продукции, оборудования для авиации, систем передачи информации и навигации, </w:t>
      </w:r>
      <w:r>
        <w:rPr>
          <w:sz w:val="28"/>
          <w:szCs w:val="28"/>
        </w:rPr>
        <w:t xml:space="preserve">нефте</w:t>
      </w:r>
      <w:r>
        <w:rPr>
          <w:sz w:val="28"/>
          <w:szCs w:val="28"/>
        </w:rPr>
        <w:t xml:space="preserve">- и газодобывающих установок.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Промышленность в городе не только </w:t>
      </w:r>
      <w:r>
        <w:rPr>
          <w:sz w:val="28"/>
          <w:szCs w:val="28"/>
        </w:rPr>
        <w:t xml:space="preserve">играет роль производственной базы, крупнейшего работодателя и налогоплательщика, но и является катализатором многих социально-экономических процессов в смежных сферах, заказчиком и потребителем продукции и услуг для всех структур бизнеса и бюджетной сферы.</w:t>
      </w:r>
      <w:bookmarkEnd w:id="382"/>
      <w:r/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Согласно Прогнозу социально-экономического развития города Перми на долгосрочный период до 2029 года развитие промышленного комплекса ожидается за счет федеральной поддержки, запуска новых производств, </w:t>
      </w:r>
      <w:r>
        <w:rPr>
          <w:sz w:val="28"/>
          <w:szCs w:val="28"/>
        </w:rPr>
        <w:t xml:space="preserve">расширения выпуска различных видов товаров, повышения конкурентоспособности отечественной продукции. Выгодное географическое положение, природные ресурсы, системная инвестиционная политика и меры поддержки инвесторов – все это определяет Пермский край как </w:t>
      </w:r>
      <w:r>
        <w:rPr>
          <w:sz w:val="28"/>
          <w:szCs w:val="28"/>
        </w:rPr>
        <w:t xml:space="preserve">инвестиционно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привлекательный регион и дает возможность предположить дальнейшее развитие в заданном на текущий момент ключе.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Сценарии Прогноза социально-экономического развития города Перми на период до 2026 года – базовый и консервативный – предполагают следующее изменение параметров промышленного сектора: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рост объема отгруженной продукции собственного производства в 2029 году по отношению к 2023 году по базовому сценарию составит 125,9 %, по консервативному сценарию – 113,9 %;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рост оборота крупных и средних предприятий в 2029 году по отношению к 2023 году по базовому сценарию составит 124,3 %, по консервативному сценарию – 106,0 %. 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В качестве основного сценария развития в рамках настоящей Программы принимается базовый вариант сценария как наиболее вероятный сценарий развит</w:t>
      </w:r>
      <w:r>
        <w:rPr>
          <w:sz w:val="28"/>
          <w:szCs w:val="28"/>
        </w:rPr>
        <w:t xml:space="preserve">ия российской экономики с учетом относительно оптимистичных изменений внешних условий. Прогнозная динамика развития промышленного сектора представлена в таблице 3.3. Ежегодный рост показателей на протяжении 2030-2034 годов зафиксирован на уровне 2029 года.</w:t>
      </w:r>
      <w:bookmarkStart w:id="383" w:name="_Toc159420929"/>
      <w:r/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44"/>
        <w:jc w:val="right"/>
        <w:rPr>
          <w:b/>
          <w:bCs/>
          <w:sz w:val="28"/>
          <w:szCs w:val="28"/>
        </w:rPr>
      </w:pPr>
      <w:r/>
      <w:bookmarkStart w:id="384" w:name="_Toc175216117"/>
      <w:r/>
      <w:r>
        <w:rPr>
          <w:b/>
          <w:bCs/>
          <w:sz w:val="28"/>
          <w:szCs w:val="28"/>
        </w:rPr>
      </w:r>
    </w:p>
    <w:p>
      <w:pPr>
        <w:pStyle w:val="1544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Таблица 3.3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Прогнозная динамика развития промышленного сектора</w:t>
      </w:r>
      <w:bookmarkEnd w:id="383"/>
      <w:r/>
      <w:bookmarkEnd w:id="384"/>
      <w:r/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Style w:val="987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992"/>
        <w:gridCol w:w="709"/>
        <w:gridCol w:w="709"/>
        <w:gridCol w:w="709"/>
        <w:gridCol w:w="708"/>
        <w:gridCol w:w="709"/>
        <w:gridCol w:w="709"/>
        <w:gridCol w:w="850"/>
        <w:gridCol w:w="851"/>
      </w:tblGrid>
      <w:tr>
        <w:tblPrEx/>
        <w:trPr>
          <w:trHeight w:val="20"/>
        </w:trPr>
        <w:tc>
          <w:tcPr>
            <w:tcW w:w="1980" w:type="dxa"/>
            <w:vAlign w:val="top"/>
            <w:vMerge w:val="restart"/>
            <w:textDirection w:val="lrTb"/>
            <w:noWrap/>
          </w:tcPr>
          <w:p>
            <w:pPr>
              <w:pStyle w:val="1544"/>
              <w:rPr>
                <w:bCs/>
              </w:rPr>
            </w:pPr>
            <w:r>
              <w:rPr>
                <w:b w:val="0"/>
                <w:bCs/>
              </w:rPr>
              <w:t xml:space="preserve">Показатель</w:t>
            </w:r>
            <w:r>
              <w:rPr>
                <w:bCs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left="-59" w:right="-63"/>
              <w:keepLines/>
              <w:keepNext/>
              <w:rPr>
                <w:bCs/>
                <w:szCs w:val="20"/>
              </w:rPr>
            </w:pPr>
            <w:r>
              <w:rPr>
                <w:b w:val="0"/>
                <w:bCs/>
                <w:szCs w:val="20"/>
              </w:rPr>
              <w:t xml:space="preserve">Сценарий</w:t>
            </w:r>
            <w:r>
              <w:rPr>
                <w:bCs/>
                <w:szCs w:val="20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left="-61" w:right="-56"/>
              <w:keepLines/>
              <w:keepNext/>
              <w:rPr>
                <w:bCs/>
                <w:szCs w:val="20"/>
              </w:rPr>
            </w:pPr>
            <w:r>
              <w:rPr>
                <w:b w:val="0"/>
                <w:bCs/>
                <w:szCs w:val="20"/>
              </w:rPr>
              <w:t xml:space="preserve">Ед. изм.</w:t>
            </w:r>
            <w:r>
              <w:rPr>
                <w:bCs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/>
          </w:tcPr>
          <w:p>
            <w:pPr>
              <w:keepLines/>
              <w:keepNext/>
              <w:rPr>
                <w:bCs/>
                <w:szCs w:val="20"/>
              </w:rPr>
            </w:pPr>
            <w:r>
              <w:rPr>
                <w:b w:val="0"/>
                <w:bCs/>
                <w:szCs w:val="20"/>
              </w:rPr>
              <w:t xml:space="preserve">2024</w:t>
            </w:r>
            <w:r>
              <w:rPr>
                <w:bCs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/>
          </w:tcPr>
          <w:p>
            <w:pPr>
              <w:keepLines/>
              <w:keepNext/>
              <w:rPr>
                <w:bCs/>
                <w:szCs w:val="20"/>
              </w:rPr>
            </w:pPr>
            <w:r>
              <w:rPr>
                <w:b w:val="0"/>
                <w:bCs/>
                <w:szCs w:val="20"/>
              </w:rPr>
              <w:t xml:space="preserve">2025</w:t>
            </w:r>
            <w:r>
              <w:rPr>
                <w:bCs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/>
          </w:tcPr>
          <w:p>
            <w:pPr>
              <w:ind w:right="-55"/>
              <w:keepLines/>
              <w:keepNext/>
              <w:rPr>
                <w:bCs/>
                <w:szCs w:val="20"/>
              </w:rPr>
            </w:pPr>
            <w:r>
              <w:rPr>
                <w:b w:val="0"/>
                <w:bCs/>
                <w:szCs w:val="20"/>
              </w:rPr>
              <w:t xml:space="preserve">2026</w:t>
            </w:r>
            <w:r>
              <w:rPr>
                <w:bCs/>
                <w:szCs w:val="20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ind w:left="-48" w:right="-74"/>
              <w:keepLines/>
              <w:keepNext/>
              <w:rPr>
                <w:bCs/>
                <w:szCs w:val="20"/>
              </w:rPr>
            </w:pPr>
            <w:r>
              <w:rPr>
                <w:b w:val="0"/>
                <w:bCs/>
                <w:szCs w:val="20"/>
              </w:rPr>
              <w:t xml:space="preserve">2027</w:t>
            </w:r>
            <w:r>
              <w:rPr>
                <w:bCs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/>
          </w:tcPr>
          <w:p>
            <w:pPr>
              <w:ind w:left="-48" w:right="-74"/>
              <w:keepLines/>
              <w:keepNext/>
              <w:rPr>
                <w:bCs/>
                <w:szCs w:val="20"/>
              </w:rPr>
            </w:pPr>
            <w:r>
              <w:rPr>
                <w:b w:val="0"/>
                <w:bCs/>
                <w:szCs w:val="20"/>
              </w:rPr>
              <w:t xml:space="preserve">2028</w:t>
            </w:r>
            <w:r>
              <w:rPr>
                <w:bCs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ind w:left="-48" w:right="-74"/>
              <w:keepLines/>
              <w:keepNext/>
              <w:rPr>
                <w:bCs/>
                <w:szCs w:val="20"/>
              </w:rPr>
            </w:pPr>
            <w:r>
              <w:rPr>
                <w:b w:val="0"/>
                <w:bCs/>
                <w:szCs w:val="20"/>
              </w:rPr>
              <w:t xml:space="preserve">2029</w:t>
            </w:r>
            <w:r>
              <w:rPr>
                <w:bCs/>
                <w:szCs w:val="2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left="-48" w:right="-74"/>
              <w:keepLines/>
              <w:keepNext/>
              <w:rPr>
                <w:bCs/>
                <w:szCs w:val="20"/>
              </w:rPr>
            </w:pPr>
            <w:r>
              <w:rPr>
                <w:b w:val="0"/>
                <w:bCs/>
                <w:szCs w:val="20"/>
              </w:rPr>
              <w:t xml:space="preserve">2030</w:t>
            </w:r>
            <w:r>
              <w:rPr>
                <w:bCs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ind w:left="-48" w:right="-74"/>
              <w:keepLines/>
              <w:keepNext/>
              <w:rPr>
                <w:bCs/>
                <w:szCs w:val="20"/>
              </w:rPr>
            </w:pPr>
            <w:r>
              <w:rPr>
                <w:b w:val="0"/>
                <w:bCs/>
                <w:szCs w:val="20"/>
              </w:rPr>
              <w:t xml:space="preserve">2034</w:t>
            </w:r>
            <w:r>
              <w:rPr>
                <w:bCs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980" w:type="dxa"/>
            <w:vMerge w:val="continue"/>
            <w:textDirection w:val="lrTb"/>
            <w:noWrap/>
          </w:tcPr>
          <w:p>
            <w:pPr>
              <w:pStyle w:val="1544"/>
            </w:pPr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keepLines/>
              <w:keepNext/>
              <w:rPr>
                <w:bCs/>
                <w:szCs w:val="20"/>
              </w:rPr>
            </w:pPr>
            <w:r>
              <w:rPr>
                <w:bCs/>
                <w:szCs w:val="20"/>
              </w:rPr>
            </w:r>
            <w:r>
              <w:rPr>
                <w:bCs/>
                <w:szCs w:val="20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keepLines/>
              <w:keepNext/>
              <w:rPr>
                <w:bCs/>
                <w:szCs w:val="20"/>
              </w:rPr>
            </w:pPr>
            <w:r>
              <w:rPr>
                <w:bCs/>
                <w:szCs w:val="20"/>
              </w:rPr>
            </w:r>
            <w:r>
              <w:rPr>
                <w:bCs/>
                <w:szCs w:val="20"/>
              </w:rPr>
            </w:r>
          </w:p>
        </w:tc>
        <w:tc>
          <w:tcPr>
            <w:gridSpan w:val="6"/>
            <w:tcW w:w="4253" w:type="dxa"/>
            <w:vAlign w:val="top"/>
            <w:textDirection w:val="lrTb"/>
            <w:noWrap w:val="false"/>
          </w:tcPr>
          <w:p>
            <w:pPr>
              <w:ind w:left="-48"/>
              <w:keepLines/>
              <w:keepNext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Прогноз СЭР на долгосрочный период</w:t>
            </w:r>
            <w:r>
              <w:rPr>
                <w:bCs/>
                <w:szCs w:val="20"/>
              </w:rPr>
            </w:r>
          </w:p>
        </w:tc>
        <w:tc>
          <w:tcPr>
            <w:gridSpan w:val="2"/>
            <w:tcW w:w="1701" w:type="dxa"/>
            <w:vAlign w:val="top"/>
            <w:textDirection w:val="lrTb"/>
            <w:noWrap w:val="false"/>
          </w:tcPr>
          <w:p>
            <w:pPr>
              <w:ind w:left="-48" w:right="-60" w:hanging="27"/>
              <w:keepLines/>
              <w:keepNext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Скорректи-рованный</w:t>
            </w:r>
            <w:r>
              <w:rPr>
                <w:bCs/>
                <w:szCs w:val="20"/>
              </w:rPr>
              <w:t xml:space="preserve"> Прогноз СЭР</w:t>
            </w:r>
            <w:r>
              <w:rPr>
                <w:bCs/>
                <w:szCs w:val="20"/>
              </w:rPr>
            </w:r>
          </w:p>
        </w:tc>
      </w:tr>
    </w:tbl>
    <w:p>
      <w:pPr>
        <w:spacing w:line="48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Style w:val="987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992"/>
        <w:gridCol w:w="709"/>
        <w:gridCol w:w="709"/>
        <w:gridCol w:w="709"/>
        <w:gridCol w:w="708"/>
        <w:gridCol w:w="709"/>
        <w:gridCol w:w="709"/>
        <w:gridCol w:w="850"/>
        <w:gridCol w:w="851"/>
      </w:tblGrid>
      <w:tr>
        <w:tblPrEx/>
        <w:trPr>
          <w:cantSplit/>
          <w:trHeight w:val="20"/>
        </w:trPr>
        <w:tc>
          <w:tcPr>
            <w:tcW w:w="1980" w:type="dxa"/>
            <w:textDirection w:val="lrTb"/>
            <w:noWrap/>
          </w:tcPr>
          <w:p>
            <w:pPr>
              <w:pStyle w:val="1544"/>
              <w:rPr>
                <w:bCs/>
              </w:rPr>
            </w:pPr>
            <w:r>
              <w:rPr>
                <w:b w:val="0"/>
                <w:bCs/>
              </w:rPr>
              <w:t xml:space="preserve">1</w:t>
            </w:r>
            <w:r>
              <w:rPr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581"/>
              <w:ind w:left="-51" w:right="-54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b w:val="0"/>
                <w:bCs/>
                <w:color w:val="auto"/>
                <w:szCs w:val="20"/>
              </w:rPr>
              <w:t xml:space="preserve">2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1581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b w:val="0"/>
                <w:bCs/>
                <w:color w:val="auto"/>
                <w:szCs w:val="20"/>
              </w:rPr>
              <w:t xml:space="preserve">3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pStyle w:val="1581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b w:val="0"/>
                <w:bCs/>
                <w:color w:val="auto"/>
                <w:szCs w:val="20"/>
              </w:rPr>
              <w:t xml:space="preserve">4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581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b w:val="0"/>
                <w:bCs/>
                <w:color w:val="auto"/>
                <w:szCs w:val="20"/>
              </w:rPr>
              <w:t xml:space="preserve">5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pStyle w:val="1581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b w:val="0"/>
                <w:bCs/>
                <w:color w:val="auto"/>
                <w:szCs w:val="20"/>
              </w:rPr>
              <w:t xml:space="preserve">6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1581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b w:val="0"/>
                <w:bCs/>
                <w:color w:val="auto"/>
                <w:szCs w:val="20"/>
              </w:rPr>
              <w:t xml:space="preserve">7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pStyle w:val="1581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b w:val="0"/>
                <w:bCs/>
                <w:color w:val="auto"/>
                <w:szCs w:val="20"/>
              </w:rPr>
              <w:t xml:space="preserve">8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581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b w:val="0"/>
                <w:bCs/>
                <w:color w:val="auto"/>
                <w:szCs w:val="20"/>
              </w:rPr>
              <w:t xml:space="preserve">9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581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b w:val="0"/>
                <w:bCs/>
                <w:color w:val="auto"/>
                <w:szCs w:val="20"/>
              </w:rPr>
              <w:t xml:space="preserve">10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1581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b w:val="0"/>
                <w:bCs/>
                <w:color w:val="auto"/>
                <w:szCs w:val="20"/>
              </w:rPr>
              <w:t xml:space="preserve">11</w:t>
            </w:r>
            <w:r>
              <w:rPr>
                <w:bCs/>
                <w:color w:val="auto"/>
                <w:szCs w:val="20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1980" w:type="dxa"/>
            <w:vAlign w:val="top"/>
            <w:vMerge w:val="restart"/>
            <w:textDirection w:val="lrTb"/>
            <w:noWrap/>
          </w:tcPr>
          <w:p>
            <w:pPr>
              <w:pStyle w:val="1544"/>
              <w:jc w:val="left"/>
            </w:pPr>
            <w:r>
              <w:t xml:space="preserve">Объем отгруженной продукции собственного производства, выполненных работ и услуг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1581"/>
              <w:ind w:left="-51" w:right="-54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bCs/>
                <w:color w:val="auto"/>
                <w:szCs w:val="20"/>
              </w:rPr>
              <w:t xml:space="preserve">Консерва-тивный</w:t>
            </w:r>
            <w:r>
              <w:rPr>
                <w:bCs/>
                <w:color w:val="auto"/>
                <w:szCs w:val="20"/>
              </w:rPr>
              <w:t xml:space="preserve"> вариант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1581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bCs/>
                <w:color w:val="auto"/>
                <w:szCs w:val="20"/>
              </w:rPr>
              <w:t xml:space="preserve">млрд руб.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/>
          </w:tcPr>
          <w:p>
            <w:pPr>
              <w:pStyle w:val="1581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769,8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1581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793,8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/>
          </w:tcPr>
          <w:p>
            <w:pPr>
              <w:pStyle w:val="1581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819,5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1581"/>
              <w:ind w:left="-60" w:right="-80"/>
              <w:keepLines/>
              <w:keepNext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844,1</w:t>
            </w:r>
            <w:r>
              <w:rPr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/>
          </w:tcPr>
          <w:p>
            <w:pPr>
              <w:pStyle w:val="1581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868,9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1581"/>
              <w:ind w:left="-60" w:right="-80"/>
              <w:keepLines/>
              <w:keepNext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875,6</w:t>
            </w:r>
            <w:r>
              <w:rPr>
                <w:color w:val="auto"/>
                <w:szCs w:val="2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1581"/>
              <w:ind w:left="-60" w:right="-80"/>
              <w:keepLines/>
              <w:keepNext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882,6</w:t>
            </w:r>
            <w:r>
              <w:rPr>
                <w:color w:val="auto"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1581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911,2</w:t>
            </w:r>
            <w:r>
              <w:rPr>
                <w:bCs/>
                <w:color w:val="auto"/>
                <w:szCs w:val="20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1980" w:type="dxa"/>
            <w:vMerge w:val="continue"/>
            <w:textDirection w:val="lrTb"/>
            <w:noWrap/>
          </w:tcPr>
          <w:p>
            <w:pPr>
              <w:pStyle w:val="1544"/>
              <w:jc w:val="left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1581"/>
              <w:ind w:left="-51" w:right="-54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bCs/>
                <w:color w:val="auto"/>
                <w:szCs w:val="20"/>
              </w:rPr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1581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bCs/>
                <w:color w:val="auto"/>
                <w:szCs w:val="20"/>
              </w:rPr>
              <w:t xml:space="preserve">%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/>
          </w:tcPr>
          <w:p>
            <w:pPr>
              <w:pStyle w:val="1581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100,1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1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1581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103,1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/>
          </w:tcPr>
          <w:p>
            <w:pPr>
              <w:pStyle w:val="1581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103,2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1581"/>
              <w:ind w:left="-60" w:right="-80"/>
              <w:keepLines/>
              <w:keepNext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103,0</w:t>
            </w:r>
            <w:r>
              <w:rPr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/>
          </w:tcPr>
          <w:p>
            <w:pPr>
              <w:pStyle w:val="1581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102,9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1581"/>
              <w:ind w:left="-60" w:right="-80"/>
              <w:keepLines/>
              <w:keepNext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100,8</w:t>
            </w:r>
            <w:r>
              <w:rPr>
                <w:color w:val="auto"/>
                <w:szCs w:val="2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1581"/>
              <w:ind w:left="-60" w:right="-80"/>
              <w:keepLines/>
              <w:keepNext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100,8</w:t>
            </w:r>
            <w:r>
              <w:rPr>
                <w:color w:val="auto"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1581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100,8</w:t>
            </w:r>
            <w:r>
              <w:rPr>
                <w:bCs/>
                <w:color w:val="auto"/>
                <w:szCs w:val="20"/>
              </w:rPr>
            </w:r>
          </w:p>
        </w:tc>
      </w:tr>
      <w:tr>
        <w:tblPrEx/>
        <w:trPr>
          <w:cantSplit/>
          <w:trHeight w:val="230"/>
        </w:trPr>
        <w:tc>
          <w:tcPr>
            <w:tcW w:w="1980" w:type="dxa"/>
            <w:vMerge w:val="continue"/>
            <w:textDirection w:val="lrTb"/>
            <w:noWrap/>
          </w:tcPr>
          <w:p>
            <w:pPr>
              <w:pStyle w:val="1544"/>
              <w:jc w:val="left"/>
            </w:pPr>
            <w:r/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1581"/>
              <w:ind w:left="-51" w:right="-54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bCs/>
                <w:color w:val="auto"/>
                <w:szCs w:val="20"/>
              </w:rPr>
              <w:t xml:space="preserve">Базовый вариант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1581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bCs/>
                <w:color w:val="auto"/>
                <w:szCs w:val="20"/>
              </w:rPr>
              <w:t xml:space="preserve">млрд руб.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/>
          </w:tcPr>
          <w:p>
            <w:pPr>
              <w:pStyle w:val="1581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805,7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1581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852,5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/>
          </w:tcPr>
          <w:p>
            <w:pPr>
              <w:pStyle w:val="1581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901,9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1581"/>
              <w:ind w:left="-60" w:right="-80"/>
              <w:keepLines/>
              <w:keepNext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932,6</w:t>
            </w:r>
            <w:r>
              <w:rPr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/>
          </w:tcPr>
          <w:p>
            <w:pPr>
              <w:pStyle w:val="1581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950,5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1581"/>
              <w:ind w:left="-60" w:right="-80"/>
              <w:keepLines/>
              <w:keepNext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968,1</w:t>
            </w:r>
            <w:r>
              <w:rPr>
                <w:color w:val="auto"/>
                <w:szCs w:val="2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1581"/>
              <w:ind w:left="-60" w:right="-80"/>
              <w:keepLines/>
              <w:keepNext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986,5</w:t>
            </w:r>
            <w:r>
              <w:rPr>
                <w:color w:val="auto"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1581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1 063,6</w:t>
            </w:r>
            <w:r>
              <w:rPr>
                <w:bCs/>
                <w:color w:val="auto"/>
                <w:szCs w:val="20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1980" w:type="dxa"/>
            <w:vMerge w:val="continue"/>
            <w:textDirection w:val="lrTb"/>
            <w:noWrap/>
          </w:tcPr>
          <w:p>
            <w:pPr>
              <w:pStyle w:val="1544"/>
              <w:jc w:val="left"/>
            </w:pPr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1581"/>
              <w:ind w:left="-51" w:right="-54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bCs/>
                <w:color w:val="auto"/>
                <w:szCs w:val="20"/>
              </w:rPr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1581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bCs/>
                <w:color w:val="auto"/>
                <w:szCs w:val="20"/>
              </w:rPr>
              <w:t xml:space="preserve">%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/>
          </w:tcPr>
          <w:p>
            <w:pPr>
              <w:pStyle w:val="1581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104,8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1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1581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105,8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/>
          </w:tcPr>
          <w:p>
            <w:pPr>
              <w:pStyle w:val="1581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105,8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1581"/>
              <w:ind w:left="-60" w:right="-80"/>
              <w:keepLines/>
              <w:keepNext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103,4</w:t>
            </w:r>
            <w:r>
              <w:rPr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/>
          </w:tcPr>
          <w:p>
            <w:pPr>
              <w:pStyle w:val="1581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101,9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1581"/>
              <w:ind w:left="-60" w:right="-80"/>
              <w:keepLines/>
              <w:keepNext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101,9</w:t>
            </w:r>
            <w:r>
              <w:rPr>
                <w:color w:val="auto"/>
                <w:szCs w:val="2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1581"/>
              <w:ind w:left="-60" w:right="-80"/>
              <w:keepLines/>
              <w:keepNext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101,9</w:t>
            </w:r>
            <w:r>
              <w:rPr>
                <w:color w:val="auto"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1581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101,9</w:t>
            </w:r>
            <w:r>
              <w:rPr>
                <w:bCs/>
                <w:color w:val="auto"/>
                <w:szCs w:val="20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1980" w:type="dxa"/>
            <w:vAlign w:val="top"/>
            <w:vMerge w:val="restart"/>
            <w:textDirection w:val="lrTb"/>
            <w:noWrap/>
          </w:tcPr>
          <w:p>
            <w:pPr>
              <w:pStyle w:val="1544"/>
              <w:jc w:val="left"/>
            </w:pPr>
            <w:r>
              <w:t xml:space="preserve">Оборот крупных и средних предприятий и организаций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1581"/>
              <w:ind w:left="-51" w:right="-54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bCs/>
                <w:color w:val="auto"/>
                <w:szCs w:val="20"/>
              </w:rPr>
              <w:t xml:space="preserve">Консерва-тивный</w:t>
            </w:r>
            <w:r>
              <w:rPr>
                <w:bCs/>
                <w:color w:val="auto"/>
                <w:szCs w:val="20"/>
              </w:rPr>
              <w:t xml:space="preserve"> вариант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1581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bCs/>
                <w:color w:val="auto"/>
                <w:szCs w:val="20"/>
              </w:rPr>
              <w:t xml:space="preserve">млрд руб.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/>
          </w:tcPr>
          <w:p>
            <w:pPr>
              <w:pStyle w:val="1581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1 312,5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1581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1 325,7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/>
          </w:tcPr>
          <w:p>
            <w:pPr>
              <w:pStyle w:val="1581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1 341,6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1581"/>
              <w:ind w:left="-60" w:right="-80"/>
              <w:keepLines/>
              <w:keepNext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1 355,7</w:t>
            </w:r>
            <w:r>
              <w:rPr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/>
          </w:tcPr>
          <w:p>
            <w:pPr>
              <w:pStyle w:val="1581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1 370,3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1581"/>
              <w:ind w:left="-60" w:right="-80"/>
              <w:keepLines/>
              <w:keepNext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1 384,8</w:t>
            </w:r>
            <w:r>
              <w:rPr>
                <w:color w:val="auto"/>
                <w:szCs w:val="2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1581"/>
              <w:ind w:left="-60" w:right="-80"/>
              <w:keepLines/>
              <w:keepNext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1 400,0</w:t>
            </w:r>
            <w:r>
              <w:rPr>
                <w:color w:val="auto"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1581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1 462,6</w:t>
            </w:r>
            <w:r>
              <w:rPr>
                <w:bCs/>
                <w:color w:val="auto"/>
                <w:szCs w:val="20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1980" w:type="dxa"/>
            <w:vMerge w:val="continue"/>
            <w:textDirection w:val="lrTb"/>
            <w:noWrap/>
          </w:tcPr>
          <w:p>
            <w:pPr>
              <w:keepLines/>
              <w:keepNext/>
              <w:rPr>
                <w:bCs/>
                <w:szCs w:val="20"/>
              </w:rPr>
            </w:pPr>
            <w:r>
              <w:rPr>
                <w:bCs/>
                <w:szCs w:val="20"/>
              </w:rPr>
            </w:r>
            <w:r>
              <w:rPr>
                <w:bCs/>
                <w:szCs w:val="20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1581"/>
              <w:ind w:left="-51" w:right="-54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bCs/>
                <w:color w:val="auto"/>
                <w:szCs w:val="20"/>
              </w:rPr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1581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bCs/>
                <w:color w:val="auto"/>
                <w:szCs w:val="20"/>
              </w:rPr>
              <w:t xml:space="preserve">%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/>
          </w:tcPr>
          <w:p>
            <w:pPr>
              <w:pStyle w:val="1581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100,5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1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1581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101,0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/>
          </w:tcPr>
          <w:p>
            <w:pPr>
              <w:pStyle w:val="1581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101,2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1581"/>
              <w:ind w:left="-60" w:right="-80"/>
              <w:keepLines/>
              <w:keepNext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101,1</w:t>
            </w:r>
            <w:r>
              <w:rPr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/>
          </w:tcPr>
          <w:p>
            <w:pPr>
              <w:pStyle w:val="1581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101,1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1581"/>
              <w:ind w:left="-60" w:right="-80"/>
              <w:keepLines/>
              <w:keepNext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101,1</w:t>
            </w:r>
            <w:r>
              <w:rPr>
                <w:color w:val="auto"/>
                <w:szCs w:val="2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1581"/>
              <w:ind w:left="-60" w:right="-80"/>
              <w:keepLines/>
              <w:keepNext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101,1</w:t>
            </w:r>
            <w:r>
              <w:rPr>
                <w:color w:val="auto"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1581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101,1</w:t>
            </w:r>
            <w:r>
              <w:rPr>
                <w:bCs/>
                <w:color w:val="auto"/>
                <w:szCs w:val="20"/>
              </w:rPr>
            </w:r>
          </w:p>
        </w:tc>
      </w:tr>
      <w:tr>
        <w:tblPrEx/>
        <w:trPr>
          <w:cantSplit/>
          <w:trHeight w:val="230"/>
        </w:trPr>
        <w:tc>
          <w:tcPr>
            <w:tcW w:w="1980" w:type="dxa"/>
            <w:vMerge w:val="continue"/>
            <w:textDirection w:val="lrTb"/>
            <w:noWrap/>
          </w:tcPr>
          <w:p>
            <w:pPr>
              <w:keepLines/>
              <w:keepNext/>
              <w:rPr>
                <w:bCs/>
                <w:szCs w:val="20"/>
              </w:rPr>
            </w:pPr>
            <w:r>
              <w:rPr>
                <w:bCs/>
                <w:szCs w:val="20"/>
              </w:rPr>
            </w:r>
            <w:r>
              <w:rPr>
                <w:bCs/>
                <w:szCs w:val="20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1581"/>
              <w:ind w:left="-51" w:right="-54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bCs/>
                <w:color w:val="auto"/>
                <w:szCs w:val="20"/>
              </w:rPr>
              <w:t xml:space="preserve">Базовый вариант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1581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bCs/>
                <w:color w:val="auto"/>
                <w:szCs w:val="20"/>
              </w:rPr>
              <w:t xml:space="preserve">млрд руб.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/>
          </w:tcPr>
          <w:p>
            <w:pPr>
              <w:pStyle w:val="1581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1 358,2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1581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1 419,4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/>
          </w:tcPr>
          <w:p>
            <w:pPr>
              <w:pStyle w:val="1581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1 497,5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1581"/>
              <w:ind w:left="-60" w:right="-80"/>
              <w:keepLines/>
              <w:keepNext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1 528,2</w:t>
            </w:r>
            <w:r>
              <w:rPr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/>
          </w:tcPr>
          <w:p>
            <w:pPr>
              <w:pStyle w:val="1581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1 564,6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1581"/>
              <w:ind w:left="-60" w:right="-80"/>
              <w:keepLines/>
              <w:keepNext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1 624,0</w:t>
            </w:r>
            <w:r>
              <w:rPr>
                <w:color w:val="auto"/>
                <w:szCs w:val="2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1581"/>
              <w:ind w:left="-60" w:right="-80"/>
              <w:keepLines/>
              <w:keepNext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1 685,7</w:t>
            </w:r>
            <w:r>
              <w:rPr>
                <w:color w:val="auto"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1581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1 956,9</w:t>
            </w:r>
            <w:r>
              <w:rPr>
                <w:bCs/>
                <w:color w:val="auto"/>
                <w:szCs w:val="20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1980" w:type="dxa"/>
            <w:vMerge w:val="continue"/>
            <w:textDirection w:val="lrTb"/>
            <w:noWrap/>
          </w:tcPr>
          <w:p>
            <w:pPr>
              <w:keepLines/>
              <w:keepNext/>
              <w:rPr>
                <w:bCs/>
                <w:szCs w:val="20"/>
              </w:rPr>
            </w:pPr>
            <w:r>
              <w:rPr>
                <w:bCs/>
                <w:szCs w:val="20"/>
              </w:rPr>
            </w:r>
            <w:r>
              <w:rPr>
                <w:bCs/>
                <w:szCs w:val="20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1581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bCs/>
                <w:color w:val="auto"/>
                <w:szCs w:val="20"/>
              </w:rPr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1581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bCs/>
                <w:color w:val="auto"/>
                <w:szCs w:val="20"/>
              </w:rPr>
              <w:t xml:space="preserve">%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/>
          </w:tcPr>
          <w:p>
            <w:pPr>
              <w:pStyle w:val="1581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104,0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1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1581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104,5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/>
          </w:tcPr>
          <w:p>
            <w:pPr>
              <w:pStyle w:val="1581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105,5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1581"/>
              <w:ind w:left="-60" w:right="-80"/>
              <w:keepLines/>
              <w:keepNext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102,1</w:t>
            </w:r>
            <w:r>
              <w:rPr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/>
          </w:tcPr>
          <w:p>
            <w:pPr>
              <w:pStyle w:val="1581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102,4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1581"/>
              <w:ind w:left="-60" w:right="-80"/>
              <w:keepLines/>
              <w:keepNext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103,8</w:t>
            </w:r>
            <w:r>
              <w:rPr>
                <w:color w:val="auto"/>
                <w:szCs w:val="2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1581"/>
              <w:ind w:left="-60" w:right="-80"/>
              <w:keepLines/>
              <w:keepNext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103,8</w:t>
            </w:r>
            <w:r>
              <w:rPr>
                <w:color w:val="auto"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1581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103,8</w:t>
            </w:r>
            <w:r>
              <w:rPr>
                <w:bCs/>
                <w:color w:val="auto"/>
                <w:szCs w:val="20"/>
              </w:rPr>
            </w:r>
          </w:p>
        </w:tc>
      </w:tr>
    </w:tbl>
    <w:p>
      <w:pPr>
        <w:pStyle w:val="1570"/>
        <w:ind w:firstLine="0"/>
        <w:rPr>
          <w:rFonts w:asciiTheme="minorHAnsi" w:hAnsiTheme="minorHAnsi" w:cstheme="minorHAnsi"/>
          <w:i/>
          <w:iCs w:val="0"/>
          <w:sz w:val="28"/>
          <w:szCs w:val="28"/>
        </w:rPr>
      </w:pPr>
      <w:r>
        <w:rPr>
          <w:rFonts w:asciiTheme="minorHAnsi" w:hAnsiTheme="minorHAnsi" w:cstheme="minorHAnsi"/>
          <w:i/>
          <w:iCs w:val="0"/>
          <w:sz w:val="28"/>
          <w:szCs w:val="28"/>
        </w:rPr>
      </w:r>
      <w:r>
        <w:rPr>
          <w:rFonts w:asciiTheme="minorHAnsi" w:hAnsiTheme="minorHAnsi" w:cstheme="minorHAnsi"/>
          <w:i/>
          <w:iCs w:val="0"/>
          <w:sz w:val="28"/>
          <w:szCs w:val="28"/>
        </w:rPr>
      </w:r>
    </w:p>
    <w:p>
      <w:pPr>
        <w:ind w:firstLine="709"/>
        <w:rPr>
          <w:rFonts w:cs="Arial Unicode MS"/>
          <w:iCs/>
          <w:color w:val="000000"/>
          <w:lang w:eastAsia="en-US"/>
        </w:rPr>
      </w:pPr>
      <w:r>
        <w:rPr>
          <w:rFonts w:cs="Arial Unicode MS"/>
          <w:iCs/>
          <w:color w:val="000000"/>
          <w:lang w:eastAsia="en-US"/>
        </w:rPr>
        <w:t xml:space="preserve">---------------------------</w:t>
      </w:r>
      <w:r>
        <w:rPr>
          <w:rFonts w:cs="Arial Unicode MS"/>
          <w:iCs/>
          <w:color w:val="000000"/>
          <w:lang w:eastAsia="en-US"/>
        </w:rPr>
      </w:r>
    </w:p>
    <w:p>
      <w:pPr>
        <w:ind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По отношению к фактическому показателю за 2022 г.</w:t>
      </w:r>
      <w:r>
        <w:rPr>
          <w:rFonts w:asciiTheme="minorHAnsi" w:hAnsiTheme="minorHAnsi" w:cstheme="minorHAnsi"/>
        </w:rPr>
      </w:r>
    </w:p>
    <w:p>
      <w:pPr>
        <w:pStyle w:val="1544"/>
      </w:pPr>
      <w:r/>
      <w:bookmarkStart w:id="385" w:name="_Toc175216035"/>
      <w:r/>
      <w:r/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3.1.3 Прогноз застройки территорий</w:t>
      </w:r>
      <w:bookmarkEnd w:id="385"/>
      <w:r/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Строительный комплекс является одним из самых динамичных секторов экономики. Основные показатели строительной деятельности в динамике за последние пять лет согласно ежемесячным итогам социально-экономического развития города Перми, размещенным на </w:t>
      </w:r>
      <w:bookmarkStart w:id="386" w:name="_Hlk166593277"/>
      <w:r>
        <w:rPr>
          <w:sz w:val="28"/>
          <w:szCs w:val="28"/>
        </w:rPr>
        <w:t xml:space="preserve">официальном сайте муниципального образования город Пермь в информационно-телекоммуникационной сети </w:t>
      </w:r>
      <w:r>
        <w:rPr>
          <w:sz w:val="28"/>
          <w:szCs w:val="28"/>
        </w:rPr>
        <w:t xml:space="preserve">Интернет в разделе «Деятельность/Социально-экономическое развитие города»</w:t>
      </w:r>
      <w:bookmarkEnd w:id="386"/>
      <w:r>
        <w:rPr>
          <w:sz w:val="28"/>
          <w:szCs w:val="28"/>
        </w:rPr>
        <w:t xml:space="preserve">, представлены в таблице 3.4.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44"/>
        <w:jc w:val="right"/>
        <w:rPr>
          <w:b/>
          <w:bCs/>
          <w:sz w:val="28"/>
          <w:szCs w:val="28"/>
        </w:rPr>
      </w:pPr>
      <w:r/>
      <w:bookmarkStart w:id="387" w:name="_Toc159418365"/>
      <w:r/>
      <w:bookmarkStart w:id="388" w:name="_Toc159420930"/>
      <w:r/>
      <w:bookmarkStart w:id="389" w:name="_Toc175216118"/>
      <w:r>
        <w:rPr>
          <w:b/>
          <w:bCs/>
          <w:sz w:val="28"/>
          <w:szCs w:val="28"/>
        </w:rPr>
        <w:t xml:space="preserve">Таблица 3.4 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показатели строительной деятельности города Перми</w:t>
      </w:r>
      <w:bookmarkEnd w:id="387"/>
      <w:r/>
      <w:bookmarkEnd w:id="388"/>
      <w:r/>
      <w:bookmarkEnd w:id="389"/>
      <w:r/>
      <w:r>
        <w:rPr>
          <w:b/>
          <w:bCs/>
          <w:sz w:val="28"/>
          <w:szCs w:val="28"/>
        </w:rPr>
      </w:r>
    </w:p>
    <w:p>
      <w:pPr>
        <w:pStyle w:val="154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</w:r>
      <w:r>
        <w:rPr>
          <w:rFonts w:asciiTheme="minorHAnsi" w:hAnsiTheme="minorHAnsi" w:cstheme="minorHAnsi"/>
          <w:b/>
          <w:bCs/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68"/>
        <w:gridCol w:w="972"/>
        <w:gridCol w:w="997"/>
        <w:gridCol w:w="997"/>
        <w:gridCol w:w="997"/>
        <w:gridCol w:w="997"/>
        <w:gridCol w:w="997"/>
        <w:gridCol w:w="1012"/>
      </w:tblGrid>
      <w:tr>
        <w:tblPrEx/>
        <w:trPr>
          <w:trHeight w:val="20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9" w:type="pct"/>
            <w:textDirection w:val="lrTb"/>
            <w:noWrap w:val="false"/>
          </w:tcPr>
          <w:p>
            <w:pPr>
              <w:ind w:left="-174" w:right="-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изм.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2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2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2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9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pct"/>
            <w:textDirection w:val="lrTb"/>
            <w:noWrap w:val="false"/>
          </w:tcPr>
          <w:p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работ, выполненных по виду деятельности «Строительство» по городу Перми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9" w:type="pct"/>
            <w:textDirection w:val="lrTb"/>
            <w:noWrap w:val="false"/>
          </w:tcPr>
          <w:p>
            <w:pPr>
              <w:ind w:left="-115" w:right="-84"/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млн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2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14 624,2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14 886,1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15 603,8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2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17 567,7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2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30 515,4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9" w:type="pct"/>
            <w:textDirection w:val="lrTb"/>
            <w:noWrap w:val="false"/>
          </w:tcPr>
          <w:p>
            <w:pPr>
              <w:ind w:left="-54" w:right="-1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42 072,0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pct"/>
            <w:textDirection w:val="lrTb"/>
            <w:noWrap w:val="false"/>
          </w:tcPr>
          <w:p>
            <w:pPr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 % к соответствующему периоду предыдущего года (в сопоставимых ценах)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2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96,4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101,8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104,8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2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112,6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2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173,7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9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132,4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pct"/>
            <w:textDirection w:val="lrTb"/>
            <w:noWrap w:val="false"/>
          </w:tcPr>
          <w:p>
            <w:pPr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 % к объему по краю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2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16,2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11,2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2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11,6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2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16,2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9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15,9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pct"/>
            <w:textDirection w:val="lrTb"/>
            <w:noWrap w:val="false"/>
          </w:tcPr>
          <w:p>
            <w:pPr>
              <w:ind w:right="-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работ, выполненных по виду деятельности «Строительство» в Пермском крае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9" w:type="pct"/>
            <w:textDirection w:val="lrTb"/>
            <w:noWrap w:val="false"/>
          </w:tcPr>
          <w:p>
            <w:pPr>
              <w:ind w:left="-115" w:right="-84"/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млн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2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90 387,4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132 596,3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146 614,6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2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151 122,4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2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188 460,8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9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263 568,1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pct"/>
            <w:textDirection w:val="lrTb"/>
            <w:noWrap w:val="false"/>
          </w:tcPr>
          <w:p>
            <w:pPr>
              <w:ind w:firstLine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 % к соответствующему периоду предыдущего года (в сопоставимых ценах)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2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107,2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146,7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110,6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2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103,1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2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124,7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9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139,9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</w:tbl>
    <w:p>
      <w:pPr>
        <w:pStyle w:val="15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Жилищное строительство.</w:t>
      </w:r>
      <w:r>
        <w:rPr>
          <w:b/>
          <w:bCs/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Одним из факторов, </w:t>
      </w:r>
      <w:r>
        <w:rPr>
          <w:sz w:val="28"/>
          <w:szCs w:val="28"/>
        </w:rPr>
        <w:t xml:space="preserve">характеризующих уровень качества жизни населения города, являются темпы и объемы жилищного строительства. Динамика объемов работ, выполненных по виду деятельности «Строительство» в сфере жилищной застройки за последние пять лет, представлена в таблице 3.5.</w:t>
      </w:r>
      <w:r>
        <w:rPr>
          <w:sz w:val="28"/>
          <w:szCs w:val="28"/>
        </w:rPr>
      </w:r>
    </w:p>
    <w:p>
      <w:pPr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</w:r>
      <w:r>
        <w:rPr>
          <w:rFonts w:eastAsiaTheme="minorHAnsi"/>
          <w:iCs/>
          <w:sz w:val="28"/>
          <w:szCs w:val="28"/>
          <w:lang w:eastAsia="en-US"/>
        </w:rPr>
      </w:r>
    </w:p>
    <w:p>
      <w:pPr>
        <w:pStyle w:val="1544"/>
        <w:jc w:val="right"/>
        <w:rPr>
          <w:b/>
          <w:bCs/>
          <w:sz w:val="28"/>
          <w:szCs w:val="28"/>
        </w:rPr>
      </w:pPr>
      <w:r/>
      <w:bookmarkStart w:id="390" w:name="_Toc150245419"/>
      <w:r/>
      <w:bookmarkStart w:id="391" w:name="_Toc159418366"/>
      <w:r/>
      <w:bookmarkStart w:id="392" w:name="_Toc159420931"/>
      <w:r/>
      <w:bookmarkStart w:id="393" w:name="_Toc175216119"/>
      <w:r>
        <w:rPr>
          <w:b/>
          <w:bCs/>
          <w:sz w:val="28"/>
          <w:szCs w:val="28"/>
        </w:rPr>
        <w:t xml:space="preserve">Таблица 3.5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rStyle w:val="1545"/>
          <w:b/>
          <w:bCs/>
          <w:sz w:val="28"/>
          <w:szCs w:val="28"/>
        </w:rPr>
        <w:t xml:space="preserve">Динамика объемов работ, выполненных по виду деятельности «Строительство»</w:t>
      </w:r>
      <w:bookmarkEnd w:id="390"/>
      <w:r>
        <w:rPr>
          <w:b/>
          <w:bCs/>
          <w:sz w:val="28"/>
          <w:szCs w:val="28"/>
        </w:rPr>
        <w:t xml:space="preserve"> в сфере жилищной застройки</w:t>
      </w:r>
      <w:bookmarkEnd w:id="391"/>
      <w:r/>
      <w:bookmarkEnd w:id="392"/>
      <w:r/>
      <w:bookmarkEnd w:id="393"/>
      <w:r/>
      <w:r>
        <w:rPr>
          <w:b/>
          <w:bCs/>
          <w:sz w:val="28"/>
          <w:szCs w:val="28"/>
        </w:rPr>
      </w:r>
    </w:p>
    <w:p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161"/>
        <w:gridCol w:w="914"/>
        <w:gridCol w:w="765"/>
        <w:gridCol w:w="763"/>
        <w:gridCol w:w="763"/>
        <w:gridCol w:w="763"/>
        <w:gridCol w:w="751"/>
      </w:tblGrid>
      <w:tr>
        <w:tblPrEx/>
        <w:trPr>
          <w:jc w:val="center"/>
          <w:tblHeader/>
        </w:trPr>
        <w:tc>
          <w:tcPr>
            <w:tcW w:w="207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Показатель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577" w:type="pct"/>
            <w:textDirection w:val="lrTb"/>
            <w:noWrap w:val="false"/>
          </w:tcPr>
          <w:p>
            <w:pPr>
              <w:ind w:left="-66" w:right="-6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Ед. изм.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454" w:type="pct"/>
            <w:textDirection w:val="lrTb"/>
            <w:noWrap w:val="false"/>
          </w:tcPr>
          <w:p>
            <w:pPr>
              <w:ind w:left="-131" w:right="-7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380" w:type="pct"/>
            <w:textDirection w:val="lrTb"/>
            <w:noWrap w:val="false"/>
          </w:tcPr>
          <w:p>
            <w:pPr>
              <w:ind w:left="-131" w:right="-7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2019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379" w:type="pct"/>
            <w:textDirection w:val="lrTb"/>
            <w:noWrap w:val="false"/>
          </w:tcPr>
          <w:p>
            <w:pPr>
              <w:ind w:left="-131" w:right="-73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2020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</w:p>
        </w:tc>
        <w:tc>
          <w:tcPr>
            <w:tcW w:w="379" w:type="pct"/>
            <w:textDirection w:val="lrTb"/>
            <w:noWrap w:val="false"/>
          </w:tcPr>
          <w:p>
            <w:pPr>
              <w:ind w:left="-131" w:right="-7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2021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379" w:type="pct"/>
            <w:textDirection w:val="lrTb"/>
            <w:noWrap w:val="false"/>
          </w:tcPr>
          <w:p>
            <w:pPr>
              <w:ind w:left="-131" w:right="-7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373" w:type="pct"/>
            <w:textDirection w:val="lrTb"/>
            <w:noWrap w:val="false"/>
          </w:tcPr>
          <w:p>
            <w:pPr>
              <w:ind w:left="-131" w:right="-7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161"/>
        <w:gridCol w:w="914"/>
        <w:gridCol w:w="765"/>
        <w:gridCol w:w="763"/>
        <w:gridCol w:w="763"/>
        <w:gridCol w:w="763"/>
        <w:gridCol w:w="751"/>
      </w:tblGrid>
      <w:tr>
        <w:tblPrEx/>
        <w:trPr>
          <w:jc w:val="center"/>
          <w:tblHeader/>
        </w:trPr>
        <w:tc>
          <w:tcPr>
            <w:tcW w:w="207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577" w:type="pct"/>
            <w:textDirection w:val="lrTb"/>
            <w:noWrap w:val="false"/>
          </w:tcPr>
          <w:p>
            <w:pPr>
              <w:ind w:left="-66" w:right="-6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454" w:type="pct"/>
            <w:textDirection w:val="lrTb"/>
            <w:noWrap w:val="false"/>
          </w:tcPr>
          <w:p>
            <w:pPr>
              <w:ind w:left="-131" w:right="-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tcW w:w="380" w:type="pct"/>
            <w:textDirection w:val="lrTb"/>
            <w:noWrap w:val="false"/>
          </w:tcPr>
          <w:p>
            <w:pPr>
              <w:ind w:left="-131" w:right="-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textDirection w:val="lrTb"/>
            <w:noWrap w:val="false"/>
          </w:tcPr>
          <w:p>
            <w:pPr>
              <w:ind w:left="-131" w:right="-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textDirection w:val="lrTb"/>
            <w:noWrap w:val="false"/>
          </w:tcPr>
          <w:p>
            <w:pPr>
              <w:ind w:left="-131" w:right="-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textDirection w:val="lrTb"/>
            <w:noWrap w:val="false"/>
          </w:tcPr>
          <w:p>
            <w:pPr>
              <w:ind w:left="-131" w:right="-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</w:p>
        </w:tc>
        <w:tc>
          <w:tcPr>
            <w:tcW w:w="373" w:type="pct"/>
            <w:textDirection w:val="lrTb"/>
            <w:noWrap w:val="false"/>
          </w:tcPr>
          <w:p>
            <w:pPr>
              <w:ind w:left="-131" w:right="-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2078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Ввод в эксплуатацию жилых домов за счет всех источников финансирования по городу Перми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577" w:type="pct"/>
            <w:textDirection w:val="lrTb"/>
            <w:noWrap w:val="false"/>
          </w:tcPr>
          <w:p>
            <w:pPr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тыс. кв. м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454" w:type="pct"/>
            <w:textDirection w:val="lrTb"/>
            <w:noWrap w:val="false"/>
          </w:tcPr>
          <w:p>
            <w:pPr>
              <w:ind w:left="-131" w:right="-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538,84</w:t>
            </w:r>
            <w:r>
              <w:rPr>
                <w:sz w:val="22"/>
                <w:szCs w:val="22"/>
              </w:rPr>
            </w:r>
          </w:p>
        </w:tc>
        <w:tc>
          <w:tcPr>
            <w:tcW w:w="380" w:type="pct"/>
            <w:textDirection w:val="lrTb"/>
            <w:noWrap w:val="false"/>
          </w:tcPr>
          <w:p>
            <w:pPr>
              <w:ind w:left="-131" w:right="-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516,1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textDirection w:val="lrTb"/>
            <w:noWrap w:val="false"/>
          </w:tcPr>
          <w:p>
            <w:pPr>
              <w:ind w:left="-131" w:right="-7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640,3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379" w:type="pct"/>
            <w:textDirection w:val="lrTb"/>
            <w:noWrap w:val="false"/>
          </w:tcPr>
          <w:p>
            <w:pPr>
              <w:ind w:left="-131" w:right="-7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516,5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379" w:type="pct"/>
            <w:textDirection w:val="lrTb"/>
            <w:noWrap w:val="false"/>
          </w:tcPr>
          <w:p>
            <w:pPr>
              <w:ind w:left="-131" w:right="-7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825,1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373" w:type="pct"/>
            <w:textDirection w:val="lrTb"/>
            <w:noWrap w:val="false"/>
          </w:tcPr>
          <w:p>
            <w:pPr>
              <w:ind w:left="-131" w:right="-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724,9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2078" w:type="pct"/>
            <w:textDirection w:val="lrTb"/>
            <w:noWrap w:val="false"/>
          </w:tcPr>
          <w:p>
            <w:pPr>
              <w:ind w:left="2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 % к соответствующему периоду предыдущего года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577" w:type="pct"/>
            <w:textDirection w:val="lrTb"/>
            <w:noWrap w:val="false"/>
          </w:tcPr>
          <w:p>
            <w:pPr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%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454" w:type="pct"/>
            <w:textDirection w:val="lrTb"/>
            <w:noWrap w:val="false"/>
          </w:tcPr>
          <w:p>
            <w:pPr>
              <w:ind w:left="-131" w:right="-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103,5</w:t>
            </w:r>
            <w:r>
              <w:rPr>
                <w:sz w:val="22"/>
                <w:szCs w:val="22"/>
              </w:rPr>
            </w:r>
          </w:p>
        </w:tc>
        <w:tc>
          <w:tcPr>
            <w:tcW w:w="380" w:type="pct"/>
            <w:textDirection w:val="lrTb"/>
            <w:noWrap w:val="false"/>
          </w:tcPr>
          <w:p>
            <w:pPr>
              <w:ind w:left="-131" w:right="-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95,8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textDirection w:val="lrTb"/>
            <w:noWrap w:val="false"/>
          </w:tcPr>
          <w:p>
            <w:pPr>
              <w:ind w:left="-131" w:right="-7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124,1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379" w:type="pct"/>
            <w:textDirection w:val="lrTb"/>
            <w:noWrap w:val="false"/>
          </w:tcPr>
          <w:p>
            <w:pPr>
              <w:ind w:left="-131" w:right="-7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80,7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379" w:type="pct"/>
            <w:textDirection w:val="lrTb"/>
            <w:noWrap w:val="false"/>
          </w:tcPr>
          <w:p>
            <w:pPr>
              <w:ind w:left="-131" w:right="-7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159,8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373" w:type="pct"/>
            <w:textDirection w:val="lrTb"/>
            <w:noWrap w:val="false"/>
          </w:tcPr>
          <w:p>
            <w:pPr>
              <w:ind w:left="-131" w:right="-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87,9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2078" w:type="pct"/>
            <w:textDirection w:val="lrTb"/>
            <w:noWrap w:val="false"/>
          </w:tcPr>
          <w:p>
            <w:pPr>
              <w:ind w:left="2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 % к объему по краю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577" w:type="pct"/>
            <w:textDirection w:val="lrTb"/>
            <w:noWrap w:val="false"/>
          </w:tcPr>
          <w:p>
            <w:pPr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%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454" w:type="pct"/>
            <w:textDirection w:val="lrTb"/>
            <w:noWrap w:val="false"/>
          </w:tcPr>
          <w:p>
            <w:pPr>
              <w:ind w:left="-131" w:right="-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53,3</w:t>
            </w:r>
            <w:r>
              <w:rPr>
                <w:sz w:val="22"/>
                <w:szCs w:val="22"/>
              </w:rPr>
            </w:r>
          </w:p>
        </w:tc>
        <w:tc>
          <w:tcPr>
            <w:tcW w:w="380" w:type="pct"/>
            <w:textDirection w:val="lrTb"/>
            <w:noWrap w:val="false"/>
          </w:tcPr>
          <w:p>
            <w:pPr>
              <w:ind w:left="-131" w:right="-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46,4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textDirection w:val="lrTb"/>
            <w:noWrap w:val="false"/>
          </w:tcPr>
          <w:p>
            <w:pPr>
              <w:ind w:left="-131" w:right="-7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53,6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379" w:type="pct"/>
            <w:textDirection w:val="lrTb"/>
            <w:noWrap w:val="false"/>
          </w:tcPr>
          <w:p>
            <w:pPr>
              <w:ind w:left="-131" w:right="-7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39,2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379" w:type="pct"/>
            <w:textDirection w:val="lrTb"/>
            <w:noWrap w:val="false"/>
          </w:tcPr>
          <w:p>
            <w:pPr>
              <w:ind w:left="-131" w:right="-7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41,5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373" w:type="pct"/>
            <w:textDirection w:val="lrTb"/>
            <w:noWrap w:val="false"/>
          </w:tcPr>
          <w:p>
            <w:pPr>
              <w:ind w:left="-131" w:right="-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32,9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2078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Ввод в эксплуатацию жилых домов за счет всех источников финансирования в Пермском крае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577" w:type="pct"/>
            <w:textDirection w:val="lrTb"/>
            <w:noWrap w:val="false"/>
          </w:tcPr>
          <w:p>
            <w:pPr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тыс. кв. м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454" w:type="pct"/>
            <w:textDirection w:val="lrTb"/>
            <w:noWrap w:val="false"/>
          </w:tcPr>
          <w:p>
            <w:pPr>
              <w:ind w:left="-131" w:right="-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1 010,6</w:t>
            </w:r>
            <w:r>
              <w:rPr>
                <w:sz w:val="22"/>
                <w:szCs w:val="22"/>
              </w:rPr>
            </w:r>
          </w:p>
        </w:tc>
        <w:tc>
          <w:tcPr>
            <w:tcW w:w="380" w:type="pct"/>
            <w:textDirection w:val="lrTb"/>
            <w:noWrap w:val="false"/>
          </w:tcPr>
          <w:p>
            <w:pPr>
              <w:ind w:left="-131" w:right="-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1 112,9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textDirection w:val="lrTb"/>
            <w:noWrap w:val="false"/>
          </w:tcPr>
          <w:p>
            <w:pPr>
              <w:ind w:left="-131" w:right="-7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1 195,1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379" w:type="pct"/>
            <w:textDirection w:val="lrTb"/>
            <w:noWrap w:val="false"/>
          </w:tcPr>
          <w:p>
            <w:pPr>
              <w:ind w:left="-131" w:right="-7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1 317,0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379" w:type="pct"/>
            <w:textDirection w:val="lrTb"/>
            <w:noWrap w:val="false"/>
          </w:tcPr>
          <w:p>
            <w:pPr>
              <w:ind w:left="-131" w:right="-7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1 986,8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373" w:type="pct"/>
            <w:textDirection w:val="lrTb"/>
            <w:noWrap w:val="false"/>
          </w:tcPr>
          <w:p>
            <w:pPr>
              <w:ind w:left="-131" w:right="-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1 927,6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2078" w:type="pct"/>
            <w:textDirection w:val="lrTb"/>
            <w:noWrap w:val="false"/>
          </w:tcPr>
          <w:p>
            <w:pPr>
              <w:ind w:left="2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 % к соответствующему периоду предыдущего года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577" w:type="pct"/>
            <w:textDirection w:val="lrTb"/>
            <w:noWrap w:val="false"/>
          </w:tcPr>
          <w:p>
            <w:pPr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%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454" w:type="pct"/>
            <w:textDirection w:val="lrTb"/>
            <w:noWrap w:val="false"/>
          </w:tcPr>
          <w:p>
            <w:pPr>
              <w:ind w:left="-131" w:right="-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116,3 %</w:t>
            </w:r>
            <w:r>
              <w:rPr>
                <w:sz w:val="22"/>
                <w:szCs w:val="22"/>
              </w:rPr>
            </w:r>
          </w:p>
        </w:tc>
        <w:tc>
          <w:tcPr>
            <w:tcW w:w="380" w:type="pct"/>
            <w:textDirection w:val="lrTb"/>
            <w:noWrap w:val="false"/>
          </w:tcPr>
          <w:p>
            <w:pPr>
              <w:ind w:left="-131" w:right="-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110,1</w:t>
            </w:r>
            <w:r>
              <w:rPr>
                <w:sz w:val="22"/>
                <w:szCs w:val="22"/>
              </w:rPr>
            </w:r>
          </w:p>
        </w:tc>
        <w:tc>
          <w:tcPr>
            <w:tcW w:w="379" w:type="pct"/>
            <w:textDirection w:val="lrTb"/>
            <w:noWrap w:val="false"/>
          </w:tcPr>
          <w:p>
            <w:pPr>
              <w:ind w:left="-131" w:right="-7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107,4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379" w:type="pct"/>
            <w:textDirection w:val="lrTb"/>
            <w:noWrap w:val="false"/>
          </w:tcPr>
          <w:p>
            <w:pPr>
              <w:ind w:left="-131" w:right="-7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110,2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379" w:type="pct"/>
            <w:textDirection w:val="lrTb"/>
            <w:noWrap w:val="false"/>
          </w:tcPr>
          <w:p>
            <w:pPr>
              <w:ind w:left="-131" w:right="-7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150,9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373" w:type="pct"/>
            <w:textDirection w:val="lrTb"/>
            <w:noWrap w:val="false"/>
          </w:tcPr>
          <w:p>
            <w:pPr>
              <w:ind w:left="-131" w:right="-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97,0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1570"/>
        <w:rPr>
          <w:sz w:val="28"/>
          <w:szCs w:val="28"/>
        </w:rPr>
      </w:pPr>
      <w:r/>
      <w:bookmarkStart w:id="394" w:name="_Hlk156552752"/>
      <w:r/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Величина существующих площадей жилищного фонда</w:t>
      </w:r>
      <w:bookmarkEnd w:id="394"/>
      <w:r>
        <w:rPr>
          <w:sz w:val="28"/>
          <w:szCs w:val="28"/>
        </w:rPr>
        <w:t xml:space="preserve"> принята на основании </w:t>
      </w:r>
      <w:bookmarkStart w:id="395" w:name="_Hlk166593292"/>
      <w:r>
        <w:rPr>
          <w:sz w:val="28"/>
          <w:szCs w:val="28"/>
        </w:rPr>
        <w:t xml:space="preserve">формы статистического наблюдения № 1-жилфонд «Сведения о жилищном фонде»</w:t>
      </w:r>
      <w:bookmarkEnd w:id="395"/>
      <w:r>
        <w:rPr>
          <w:sz w:val="28"/>
          <w:szCs w:val="28"/>
        </w:rPr>
        <w:t xml:space="preserve">. Общая площадь жилищного фонда города Перми на начало 2023 года составила 27,937 млн кв. м (за последние пять лет он увеличился на 10,6 %), в том числе МКД – 25,408 млн кв. м и ИОЗ – 2,243 млн кв. м. </w:t>
      </w:r>
      <w:r>
        <w:rPr>
          <w:sz w:val="28"/>
          <w:szCs w:val="28"/>
        </w:rPr>
        <w:t xml:space="preserve">Жилищная обеспеченность составляет 27,13 кв. м на человека. В структуре жилищного фонда преобладает многоквартирная застройка – 91 %.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На территории города </w:t>
      </w:r>
      <w:r>
        <w:rPr>
          <w:sz w:val="28"/>
          <w:szCs w:val="28"/>
        </w:rPr>
        <w:t xml:space="preserve">Перми предприятиями и организациями всех форм собственности с учетом индивидуального строительства ежегодно вводится более 500 тыс. кв. м жилой площади, из них более 78 % приходится на многоквартирный жилой фонд. Общая площадь введенного жилья в 2022 году </w:t>
      </w:r>
      <w:bookmarkStart w:id="396" w:name="_Hlk144218556"/>
      <w:r>
        <w:rPr>
          <w:sz w:val="28"/>
          <w:szCs w:val="28"/>
        </w:rPr>
        <w:t xml:space="preserve">составила 825,1 тыс. кв. м (это максимальный показатель за всю историю Перми).</w:t>
      </w:r>
      <w:bookmarkEnd w:id="396"/>
      <w:r>
        <w:rPr>
          <w:sz w:val="28"/>
          <w:szCs w:val="28"/>
        </w:rPr>
        <w:t xml:space="preserve"> Рост зафиксирован как в индивидуальном жилищном строительстве – 158,6 % к уровню 2021 года, так и по многоквартирному жилью – 160,0 %.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Жилищный фонд города характери</w:t>
      </w:r>
      <w:r>
        <w:rPr>
          <w:sz w:val="28"/>
          <w:szCs w:val="28"/>
        </w:rPr>
        <w:t xml:space="preserve">зуется довольно высоким уровнем благоустройства. На конец 2022 года оборудовано всеми видами коммунальных удобств 96,6 % городского жилья. Уровень оборудования различными видами коммунальных удобств в городе Перми в настоящее время колеблется от 75 % (газо</w:t>
      </w:r>
      <w:r>
        <w:rPr>
          <w:sz w:val="28"/>
          <w:szCs w:val="28"/>
        </w:rPr>
        <w:t xml:space="preserve">м) до 97 % (водопроводом, канализацией, отоплением и горячим водоснабжением). Напольными электроплитами оборудовано 22 % жилфонда. За рассматриваемый временной интервал с 2019 года показатели претерпели несерьезные изменения в силу изначально высокой базы.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Жилищный фонд (без учета аварийного) с процентом физического износа 66 % и выше составляет 751,3 тыс. кв. м (или 2,69 % от общей площади жилищного фонда). Доля аварийного жилищного фонда в общей площади жилищного фонда в среднем за 5 лет составляет 1,86 %.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Аварийный жилищный фонд города Перми создает потенциальную угрозу безопасности и комфортности проживания граждан, ухудшает качество предоставляемых коммунальных услуг и внешний облик города.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Сводные показатели за последние пять лет представлены в таблице 3.6.</w:t>
      </w:r>
      <w:r>
        <w:rPr>
          <w:sz w:val="28"/>
          <w:szCs w:val="28"/>
        </w:rPr>
      </w:r>
    </w:p>
    <w:p>
      <w:pPr>
        <w:pStyle w:val="1544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44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Таблица 3.6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Сводные показатели по расселению аварийного жилищного фонда 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города Перми 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08"/>
        <w:gridCol w:w="3611"/>
        <w:gridCol w:w="1701"/>
        <w:gridCol w:w="852"/>
        <w:gridCol w:w="849"/>
        <w:gridCol w:w="852"/>
        <w:gridCol w:w="849"/>
        <w:gridCol w:w="815"/>
      </w:tblGrid>
      <w:tr>
        <w:tblPrEx/>
        <w:trPr>
          <w:trHeight w:val="20"/>
          <w:tblHeader/>
        </w:trPr>
        <w:tc>
          <w:tcPr>
            <w:tcW w:w="300" w:type="pct"/>
            <w:textDirection w:val="lrTb"/>
            <w:noWrap w:val="false"/>
          </w:tcPr>
          <w:p>
            <w:pPr>
              <w:pStyle w:val="1544"/>
              <w:ind w:left="-151" w:right="-181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№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1781" w:type="pct"/>
            <w:textDirection w:val="lrTb"/>
            <w:noWrap w:val="false"/>
          </w:tcPr>
          <w:p>
            <w:pPr>
              <w:pStyle w:val="1544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Наименование показателя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839" w:type="pct"/>
            <w:textDirection w:val="lrTb"/>
            <w:noWrap w:val="false"/>
          </w:tcPr>
          <w:p>
            <w:pPr>
              <w:pStyle w:val="1544"/>
              <w:rPr>
                <w:iCs w:val="0"/>
                <w:sz w:val="24"/>
                <w:szCs w:val="24"/>
                <w:lang w:val="en-US"/>
              </w:rPr>
            </w:pPr>
            <w:r>
              <w:rPr>
                <w:iCs w:val="0"/>
                <w:sz w:val="24"/>
                <w:szCs w:val="24"/>
              </w:rPr>
              <w:t xml:space="preserve">Ед. изм.</w:t>
            </w:r>
            <w:r>
              <w:rPr>
                <w:iCs w:val="0"/>
                <w:sz w:val="24"/>
                <w:szCs w:val="24"/>
                <w:lang w:val="en-US"/>
              </w:rPr>
            </w:r>
          </w:p>
        </w:tc>
        <w:tc>
          <w:tcPr>
            <w:tcW w:w="420" w:type="pct"/>
            <w:textDirection w:val="lrTb"/>
            <w:noWrap w:val="false"/>
          </w:tcPr>
          <w:p>
            <w:pPr>
              <w:pStyle w:val="1544"/>
              <w:ind w:left="-64" w:right="-95" w:firstLine="10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2018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9" w:type="pct"/>
            <w:textDirection w:val="lrTb"/>
            <w:noWrap w:val="false"/>
          </w:tcPr>
          <w:p>
            <w:pPr>
              <w:pStyle w:val="1544"/>
              <w:ind w:left="-64" w:right="-95" w:firstLine="10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2019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20" w:type="pct"/>
            <w:textDirection w:val="lrTb"/>
            <w:noWrap w:val="false"/>
          </w:tcPr>
          <w:p>
            <w:pPr>
              <w:pStyle w:val="1544"/>
              <w:ind w:left="-64" w:right="-95" w:firstLine="10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2020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9" w:type="pct"/>
            <w:textDirection w:val="lrTb"/>
            <w:noWrap w:val="false"/>
          </w:tcPr>
          <w:p>
            <w:pPr>
              <w:pStyle w:val="1544"/>
              <w:ind w:left="-64" w:right="-95" w:firstLine="10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2021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402" w:type="pct"/>
            <w:textDirection w:val="lrTb"/>
            <w:noWrap w:val="false"/>
          </w:tcPr>
          <w:p>
            <w:pPr>
              <w:pStyle w:val="1544"/>
              <w:ind w:left="-64" w:right="-95" w:firstLine="10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2022</w:t>
            </w:r>
            <w:r>
              <w:rPr>
                <w:iCs w:val="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0" w:type="pct"/>
            <w:textDirection w:val="lrTb"/>
            <w:noWrap w:val="false"/>
          </w:tcPr>
          <w:p>
            <w:pPr>
              <w:pStyle w:val="1544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1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1781" w:type="pct"/>
            <w:textDirection w:val="lrTb"/>
            <w:noWrap w:val="false"/>
          </w:tcPr>
          <w:p>
            <w:pPr>
              <w:pStyle w:val="1544"/>
              <w:jc w:val="left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Доля аварийного жилищного фонда в общей площади жилищного фонда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839" w:type="pct"/>
            <w:textDirection w:val="lrTb"/>
            <w:noWrap w:val="false"/>
          </w:tcPr>
          <w:p>
            <w:pPr>
              <w:pStyle w:val="1544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%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20" w:type="pct"/>
            <w:textDirection w:val="lrTb"/>
            <w:noWrap w:val="false"/>
          </w:tcPr>
          <w:p>
            <w:pPr>
              <w:pStyle w:val="1544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1,8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9" w:type="pct"/>
            <w:textDirection w:val="lrTb"/>
            <w:noWrap w:val="false"/>
          </w:tcPr>
          <w:p>
            <w:pPr>
              <w:pStyle w:val="1544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1,7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20" w:type="pct"/>
            <w:textDirection w:val="lrTb"/>
            <w:noWrap w:val="false"/>
          </w:tcPr>
          <w:p>
            <w:pPr>
              <w:pStyle w:val="1544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1,9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9" w:type="pct"/>
            <w:textDirection w:val="lrTb"/>
            <w:noWrap w:val="false"/>
          </w:tcPr>
          <w:p>
            <w:pPr>
              <w:pStyle w:val="1544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2,0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402" w:type="pct"/>
            <w:textDirection w:val="lrTb"/>
            <w:noWrap w:val="false"/>
          </w:tcPr>
          <w:p>
            <w:pPr>
              <w:pStyle w:val="1544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1,9</w:t>
            </w:r>
            <w:r>
              <w:rPr>
                <w:iCs w:val="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0" w:type="pct"/>
            <w:vMerge w:val="restart"/>
            <w:textDirection w:val="lrTb"/>
            <w:noWrap w:val="false"/>
          </w:tcPr>
          <w:p>
            <w:pPr>
              <w:pStyle w:val="1544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2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1781" w:type="pct"/>
            <w:vMerge w:val="restart"/>
            <w:textDirection w:val="lrTb"/>
            <w:noWrap w:val="false"/>
          </w:tcPr>
          <w:p>
            <w:pPr>
              <w:pStyle w:val="1544"/>
              <w:ind w:right="-113"/>
              <w:jc w:val="left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Расселенная площадь жилищного фонда, жилые помещения которого признаны непригодными для проживания и многоквартирные дома аварийными и подлежащими сносу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839" w:type="pct"/>
            <w:textDirection w:val="lrTb"/>
            <w:noWrap w:val="false"/>
          </w:tcPr>
          <w:p>
            <w:pPr>
              <w:pStyle w:val="1544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тыс. кв. м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20" w:type="pct"/>
            <w:textDirection w:val="lrTb"/>
            <w:noWrap w:val="false"/>
          </w:tcPr>
          <w:p>
            <w:pPr>
              <w:pStyle w:val="1544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24,28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9" w:type="pct"/>
            <w:textDirection w:val="lrTb"/>
            <w:noWrap w:val="false"/>
          </w:tcPr>
          <w:p>
            <w:pPr>
              <w:pStyle w:val="1544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39,1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20" w:type="pct"/>
            <w:textDirection w:val="lrTb"/>
            <w:noWrap w:val="false"/>
          </w:tcPr>
          <w:p>
            <w:pPr>
              <w:pStyle w:val="1544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38,9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9" w:type="pct"/>
            <w:textDirection w:val="lrTb"/>
            <w:noWrap w:val="false"/>
          </w:tcPr>
          <w:p>
            <w:pPr>
              <w:pStyle w:val="1544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48,8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402" w:type="pct"/>
            <w:textDirection w:val="lrTb"/>
            <w:noWrap w:val="false"/>
          </w:tcPr>
          <w:p>
            <w:pPr>
              <w:pStyle w:val="1544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53,3</w:t>
            </w:r>
            <w:r>
              <w:rPr>
                <w:iCs w:val="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0" w:type="pct"/>
            <w:vMerge w:val="continue"/>
            <w:textDirection w:val="lrTb"/>
            <w:noWrap w:val="false"/>
          </w:tcPr>
          <w:p>
            <w:pPr>
              <w:pStyle w:val="1544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1781" w:type="pct"/>
            <w:vMerge w:val="continue"/>
            <w:textDirection w:val="lrTb"/>
            <w:noWrap w:val="false"/>
          </w:tcPr>
          <w:p>
            <w:pPr>
              <w:pStyle w:val="1544"/>
              <w:ind w:right="-113"/>
              <w:jc w:val="left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839" w:type="pct"/>
            <w:textDirection w:val="lrTb"/>
            <w:noWrap w:val="false"/>
          </w:tcPr>
          <w:p>
            <w:pPr>
              <w:pStyle w:val="1544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% достижения планового значения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20" w:type="pct"/>
            <w:textDirection w:val="lrTb"/>
            <w:noWrap w:val="false"/>
          </w:tcPr>
          <w:p>
            <w:pPr>
              <w:pStyle w:val="1544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114,5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9" w:type="pct"/>
            <w:textDirection w:val="lrTb"/>
            <w:noWrap w:val="false"/>
          </w:tcPr>
          <w:p>
            <w:pPr>
              <w:pStyle w:val="1544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97,5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20" w:type="pct"/>
            <w:textDirection w:val="lrTb"/>
            <w:noWrap w:val="false"/>
          </w:tcPr>
          <w:p>
            <w:pPr>
              <w:pStyle w:val="1544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103,2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9" w:type="pct"/>
            <w:textDirection w:val="lrTb"/>
            <w:noWrap w:val="false"/>
          </w:tcPr>
          <w:p>
            <w:pPr>
              <w:pStyle w:val="1544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79,1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402" w:type="pct"/>
            <w:textDirection w:val="lrTb"/>
            <w:noWrap w:val="false"/>
          </w:tcPr>
          <w:p>
            <w:pPr>
              <w:pStyle w:val="1544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140,6</w:t>
            </w:r>
            <w:r>
              <w:rPr>
                <w:iCs w:val="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0" w:type="pct"/>
            <w:vMerge w:val="restart"/>
            <w:textDirection w:val="lrTb"/>
            <w:noWrap w:val="false"/>
          </w:tcPr>
          <w:p>
            <w:pPr>
              <w:pStyle w:val="1544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3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1781" w:type="pct"/>
            <w:vMerge w:val="restart"/>
            <w:textDirection w:val="lrTb"/>
            <w:noWrap w:val="false"/>
          </w:tcPr>
          <w:p>
            <w:pPr>
              <w:pStyle w:val="1544"/>
              <w:ind w:right="-113"/>
              <w:jc w:val="left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Общая площадь расселенного аварийного жилищного фонда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839" w:type="pct"/>
            <w:textDirection w:val="lrTb"/>
            <w:noWrap w:val="false"/>
          </w:tcPr>
          <w:p>
            <w:pPr>
              <w:pStyle w:val="1544"/>
              <w:ind w:left="-62" w:right="-133" w:hanging="142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тыс. кв. м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20" w:type="pct"/>
            <w:textDirection w:val="lrTb"/>
            <w:noWrap w:val="false"/>
          </w:tcPr>
          <w:p>
            <w:pPr>
              <w:pStyle w:val="1544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14,63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9" w:type="pct"/>
            <w:textDirection w:val="lrTb"/>
            <w:noWrap w:val="false"/>
          </w:tcPr>
          <w:p>
            <w:pPr>
              <w:pStyle w:val="1544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37,8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20" w:type="pct"/>
            <w:textDirection w:val="lrTb"/>
            <w:noWrap w:val="false"/>
          </w:tcPr>
          <w:p>
            <w:pPr>
              <w:pStyle w:val="1544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36,0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9" w:type="pct"/>
            <w:textDirection w:val="lrTb"/>
            <w:noWrap w:val="false"/>
          </w:tcPr>
          <w:p>
            <w:pPr>
              <w:pStyle w:val="1544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46,3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402" w:type="pct"/>
            <w:textDirection w:val="lrTb"/>
            <w:noWrap w:val="false"/>
          </w:tcPr>
          <w:p>
            <w:pPr>
              <w:pStyle w:val="1544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50,0</w:t>
            </w:r>
            <w:r>
              <w:rPr>
                <w:iCs w:val="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0" w:type="pct"/>
            <w:vMerge w:val="continue"/>
            <w:textDirection w:val="lrTb"/>
            <w:noWrap w:val="false"/>
          </w:tcPr>
          <w:p>
            <w:pPr>
              <w:pStyle w:val="1544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1781" w:type="pct"/>
            <w:vMerge w:val="continue"/>
            <w:textDirection w:val="lrTb"/>
            <w:noWrap w:val="false"/>
          </w:tcPr>
          <w:p>
            <w:pPr>
              <w:pStyle w:val="1544"/>
              <w:ind w:right="-113"/>
              <w:jc w:val="left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839" w:type="pct"/>
            <w:textDirection w:val="lrTb"/>
            <w:noWrap w:val="false"/>
          </w:tcPr>
          <w:p>
            <w:pPr>
              <w:pStyle w:val="1544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% достижения планового значения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20" w:type="pct"/>
            <w:textDirection w:val="lrTb"/>
            <w:noWrap w:val="false"/>
          </w:tcPr>
          <w:p>
            <w:pPr>
              <w:pStyle w:val="1544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114,3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9" w:type="pct"/>
            <w:textDirection w:val="lrTb"/>
            <w:noWrap w:val="false"/>
          </w:tcPr>
          <w:p>
            <w:pPr>
              <w:pStyle w:val="1544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97,4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20" w:type="pct"/>
            <w:textDirection w:val="lrTb"/>
            <w:noWrap w:val="false"/>
          </w:tcPr>
          <w:p>
            <w:pPr>
              <w:pStyle w:val="1544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103,4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9" w:type="pct"/>
            <w:textDirection w:val="lrTb"/>
            <w:noWrap w:val="false"/>
          </w:tcPr>
          <w:p>
            <w:pPr>
              <w:pStyle w:val="1544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77,8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402" w:type="pct"/>
            <w:textDirection w:val="lrTb"/>
            <w:noWrap w:val="false"/>
          </w:tcPr>
          <w:p>
            <w:pPr>
              <w:pStyle w:val="1544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144,5</w:t>
            </w:r>
            <w:r>
              <w:rPr>
                <w:iCs w:val="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0" w:type="pct"/>
            <w:vMerge w:val="restart"/>
            <w:textDirection w:val="lrTb"/>
            <w:noWrap w:val="false"/>
          </w:tcPr>
          <w:p>
            <w:pPr>
              <w:pStyle w:val="1544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4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1781" w:type="pct"/>
            <w:vMerge w:val="restart"/>
            <w:textDirection w:val="lrTb"/>
            <w:noWrap w:val="false"/>
          </w:tcPr>
          <w:p>
            <w:pPr>
              <w:pStyle w:val="1544"/>
              <w:ind w:right="-113"/>
              <w:jc w:val="left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Количество граждан, расселенных из аварийного </w:t>
            </w:r>
            <w:r>
              <w:rPr>
                <w:iCs w:val="0"/>
                <w:sz w:val="24"/>
                <w:szCs w:val="24"/>
              </w:rPr>
              <w:t xml:space="preserve">жилищного фонда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839" w:type="pct"/>
            <w:textDirection w:val="lrTb"/>
            <w:noWrap w:val="false"/>
          </w:tcPr>
          <w:p>
            <w:pPr>
              <w:pStyle w:val="1544"/>
              <w:ind w:left="-62" w:right="-133" w:hanging="142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чел.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20" w:type="pct"/>
            <w:textDirection w:val="lrTb"/>
            <w:noWrap w:val="false"/>
          </w:tcPr>
          <w:p>
            <w:pPr>
              <w:pStyle w:val="1544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1171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9" w:type="pct"/>
            <w:textDirection w:val="lrTb"/>
            <w:noWrap w:val="false"/>
          </w:tcPr>
          <w:p>
            <w:pPr>
              <w:pStyle w:val="1544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2444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20" w:type="pct"/>
            <w:textDirection w:val="lrTb"/>
            <w:noWrap w:val="false"/>
          </w:tcPr>
          <w:p>
            <w:pPr>
              <w:pStyle w:val="1544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2640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9" w:type="pct"/>
            <w:textDirection w:val="lrTb"/>
            <w:noWrap w:val="false"/>
          </w:tcPr>
          <w:p>
            <w:pPr>
              <w:pStyle w:val="1544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3 154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402" w:type="pct"/>
            <w:textDirection w:val="lrTb"/>
            <w:noWrap w:val="false"/>
          </w:tcPr>
          <w:p>
            <w:pPr>
              <w:pStyle w:val="1544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3 978</w:t>
            </w:r>
            <w:r>
              <w:rPr>
                <w:iCs w:val="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0" w:type="pct"/>
            <w:vMerge w:val="continue"/>
            <w:textDirection w:val="lrTb"/>
            <w:noWrap w:val="false"/>
          </w:tcPr>
          <w:p>
            <w:pPr>
              <w:pStyle w:val="1544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1781" w:type="pct"/>
            <w:vMerge w:val="continue"/>
            <w:textDirection w:val="lrTb"/>
            <w:noWrap w:val="false"/>
          </w:tcPr>
          <w:p>
            <w:pPr>
              <w:pStyle w:val="1544"/>
              <w:ind w:right="-113"/>
              <w:jc w:val="left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839" w:type="pct"/>
            <w:textDirection w:val="lrTb"/>
            <w:noWrap w:val="false"/>
          </w:tcPr>
          <w:p>
            <w:pPr>
              <w:pStyle w:val="1544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% достижения </w:t>
            </w:r>
            <w:r>
              <w:rPr>
                <w:iCs w:val="0"/>
                <w:sz w:val="24"/>
                <w:szCs w:val="24"/>
              </w:rPr>
              <w:t xml:space="preserve">планового значения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20" w:type="pct"/>
            <w:textDirection w:val="lrTb"/>
            <w:noWrap w:val="false"/>
          </w:tcPr>
          <w:p>
            <w:pPr>
              <w:pStyle w:val="1544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110,9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9" w:type="pct"/>
            <w:textDirection w:val="lrTb"/>
            <w:noWrap w:val="false"/>
          </w:tcPr>
          <w:p>
            <w:pPr>
              <w:pStyle w:val="1544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110,3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20" w:type="pct"/>
            <w:textDirection w:val="lrTb"/>
            <w:noWrap w:val="false"/>
          </w:tcPr>
          <w:p>
            <w:pPr>
              <w:pStyle w:val="1544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104,6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9" w:type="pct"/>
            <w:textDirection w:val="lrTb"/>
            <w:noWrap w:val="false"/>
          </w:tcPr>
          <w:p>
            <w:pPr>
              <w:pStyle w:val="1544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87,3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402" w:type="pct"/>
            <w:textDirection w:val="lrTb"/>
            <w:noWrap w:val="false"/>
          </w:tcPr>
          <w:p>
            <w:pPr>
              <w:pStyle w:val="1544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174,1</w:t>
            </w:r>
            <w:r>
              <w:rPr>
                <w:iCs w:val="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300" w:type="pct"/>
            <w:textDirection w:val="lrTb"/>
            <w:noWrap w:val="false"/>
          </w:tcPr>
          <w:p>
            <w:pPr>
              <w:pStyle w:val="1544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5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1781" w:type="pct"/>
            <w:textDirection w:val="lrTb"/>
            <w:noWrap w:val="false"/>
          </w:tcPr>
          <w:p>
            <w:pPr>
              <w:pStyle w:val="1544"/>
              <w:ind w:right="-113"/>
              <w:jc w:val="left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Доля расселенного аварийного жилищного фонда от общего объема аварийного жилищного фонда, числящегося на начало отчетного года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839" w:type="pct"/>
            <w:textDirection w:val="lrTb"/>
            <w:noWrap w:val="false"/>
          </w:tcPr>
          <w:p>
            <w:pPr>
              <w:pStyle w:val="1544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%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20" w:type="pct"/>
            <w:textDirection w:val="lrTb"/>
            <w:noWrap w:val="false"/>
          </w:tcPr>
          <w:p>
            <w:pPr>
              <w:pStyle w:val="1544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4,1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9" w:type="pct"/>
            <w:textDirection w:val="lrTb"/>
            <w:noWrap w:val="false"/>
          </w:tcPr>
          <w:p>
            <w:pPr>
              <w:pStyle w:val="1544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9,0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20" w:type="pct"/>
            <w:textDirection w:val="lrTb"/>
            <w:noWrap w:val="false"/>
          </w:tcPr>
          <w:p>
            <w:pPr>
              <w:pStyle w:val="1544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7,9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9" w:type="pct"/>
            <w:textDirection w:val="lrTb"/>
            <w:noWrap w:val="false"/>
          </w:tcPr>
          <w:p>
            <w:pPr>
              <w:pStyle w:val="1544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9,5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402" w:type="pct"/>
            <w:textDirection w:val="lrTb"/>
            <w:noWrap w:val="false"/>
          </w:tcPr>
          <w:p>
            <w:pPr>
              <w:pStyle w:val="1544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9,7</w:t>
            </w:r>
            <w:r>
              <w:rPr>
                <w:iCs w:val="0"/>
                <w:sz w:val="24"/>
                <w:szCs w:val="24"/>
              </w:rPr>
            </w:r>
          </w:p>
        </w:tc>
      </w:tr>
    </w:tbl>
    <w:p>
      <w:pPr>
        <w:pStyle w:val="15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Несмотря на возросшие темпы расселения и сноса аварийного жилищного фонда, прирост площади аварийного жилья не позволяет сокращать долю аварийного жилищного фонда и населения, живущего в аварийном жилье.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Убыль жилищного фонда происходит постепенно по мере реализации следующих </w:t>
      </w:r>
      <w:bookmarkStart w:id="397" w:name="_Hlk156553250"/>
      <w:r>
        <w:rPr>
          <w:sz w:val="28"/>
          <w:szCs w:val="28"/>
        </w:rPr>
        <w:t xml:space="preserve">муниципальных и региональных адресных программ по переселению жителей из аварийного жилья</w:t>
      </w:r>
      <w:bookmarkEnd w:id="397"/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/>
      <w:bookmarkStart w:id="398" w:name="_Hlk166593345"/>
      <w:r>
        <w:rPr>
          <w:sz w:val="28"/>
          <w:szCs w:val="28"/>
        </w:rPr>
        <w:t xml:space="preserve">1. Муниципальная программа «Обеспечение жильем жителей города Перми», утвержденная постановлением администрации города Перми от 20.10.2021 № 918</w:t>
      </w:r>
      <w:bookmarkEnd w:id="398"/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/>
      <w:bookmarkStart w:id="399" w:name="_Hlk166593350"/>
      <w:r>
        <w:rPr>
          <w:sz w:val="28"/>
          <w:szCs w:val="28"/>
        </w:rPr>
        <w:t xml:space="preserve">2. Муниципальная адресная программа по переселению граждан города Перми из аварийного жилищного фонда на 2019-2025 годы, утвержденная постановлением администрации города Перми от 31.05.2019 № 238</w:t>
      </w:r>
      <w:bookmarkEnd w:id="399"/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/>
      <w:bookmarkStart w:id="400" w:name="_Hlk166593355"/>
      <w:r>
        <w:rPr>
          <w:sz w:val="28"/>
          <w:szCs w:val="28"/>
        </w:rPr>
        <w:t xml:space="preserve">3. Региональная адресная программа по переселению граждан из аварийного жилищного фонда на территории Пермского края на 2019-2025 годы, утвержденная постановлением Правительства Пермского края от 29.03.2019 № 227</w:t>
      </w:r>
      <w:bookmarkEnd w:id="400"/>
      <w:r>
        <w:rPr>
          <w:sz w:val="28"/>
          <w:szCs w:val="28"/>
        </w:rPr>
        <w:t xml:space="preserve">-п.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01.01.2024 на территории города Перми признан аварийным и подлежащим сносу 781 многоквартирный жилой дом общей жилой площадью 476,581 тыс. кв. м. На Кировс</w:t>
      </w:r>
      <w:r>
        <w:rPr>
          <w:sz w:val="28"/>
          <w:szCs w:val="28"/>
        </w:rPr>
        <w:t xml:space="preserve">кий район приходится 26,5 % от общей площади аварийного жилфонда, далее идут Орджоникидзевский, Свердловский и Дзержинский районы (18,7 %, 17,8 % и 17,6 % соответственно). На Ленинский район приходится менее 2 % от общей площади аварийного жилфонда города.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Прогнозная динамика выбытия жилого фонда по районам города Перми приведена в таблице 3.7. </w:t>
      </w:r>
      <w:bookmarkStart w:id="401" w:name="_Ref163828317"/>
      <w:r/>
      <w:bookmarkStart w:id="402" w:name="_Toc175216121"/>
      <w:r/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44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Таблица </w:t>
      </w:r>
      <w:bookmarkEnd w:id="401"/>
      <w:r>
        <w:rPr>
          <w:b/>
          <w:bCs/>
          <w:sz w:val="28"/>
          <w:szCs w:val="28"/>
        </w:rPr>
        <w:t xml:space="preserve">3.7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Прогнозная динамика выбытия жилой площади</w:t>
      </w:r>
      <w:r>
        <w:rPr>
          <w:b/>
          <w:bCs/>
          <w:sz w:val="28"/>
          <w:szCs w:val="28"/>
        </w:rPr>
        <w:t xml:space="preserve">, признанной аварийной </w:t>
      </w:r>
      <w:r>
        <w:rPr>
          <w:b/>
          <w:bCs/>
          <w:sz w:val="28"/>
          <w:szCs w:val="28"/>
        </w:rPr>
      </w:r>
    </w:p>
    <w:p>
      <w:pPr>
        <w:pStyle w:val="154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подлежащей сносу,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по районам города Перми</w:t>
      </w:r>
      <w:bookmarkEnd w:id="402"/>
      <w:r/>
      <w:r>
        <w:rPr>
          <w:rFonts w:asciiTheme="minorHAnsi" w:hAnsiTheme="minorHAnsi" w:cstheme="minorHAnsi"/>
          <w:b/>
          <w:bCs/>
          <w:sz w:val="28"/>
          <w:szCs w:val="28"/>
        </w:rPr>
      </w:r>
    </w:p>
    <w:p>
      <w:pPr>
        <w:pStyle w:val="154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</w:r>
      <w:r>
        <w:rPr>
          <w:rFonts w:asciiTheme="minorHAnsi" w:hAnsiTheme="minorHAnsi" w:cstheme="minorHAnsi"/>
          <w:b/>
          <w:bCs/>
          <w:sz w:val="28"/>
          <w:szCs w:val="28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44"/>
        <w:gridCol w:w="993"/>
        <w:gridCol w:w="1557"/>
        <w:gridCol w:w="1701"/>
        <w:gridCol w:w="1701"/>
        <w:gridCol w:w="1241"/>
      </w:tblGrid>
      <w:tr>
        <w:tblPrEx/>
        <w:trPr>
          <w:trHeight w:val="2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Административный район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Ед. изм.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 01.07.2025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01.07.2025 до 31.12.2031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9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С 01.01.2032 до 31.12.2034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1</w:t>
            </w:r>
            <w:r>
              <w:rPr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2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Выбытие жилого фонда, в </w:t>
            </w:r>
            <w:r>
              <w:rPr>
                <w:color w:val="000000"/>
                <w:sz w:val="20"/>
                <w:szCs w:val="20"/>
              </w:rPr>
              <w:t xml:space="preserve">т.ч</w:t>
            </w:r>
            <w:r>
              <w:rPr>
                <w:color w:val="000000"/>
                <w:sz w:val="20"/>
                <w:szCs w:val="20"/>
              </w:rPr>
              <w:t xml:space="preserve">.: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кв. м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1287 07,3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257 743,7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9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90 129,7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476 580,7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2" w:type="pct"/>
            <w:textDirection w:val="lrTb"/>
            <w:noWrap/>
          </w:tcPr>
          <w:p>
            <w:pPr>
              <w:ind w:lef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Дзержинский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кв. м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18 022,4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54 411,9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9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11 499,8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83 934,1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2" w:type="pct"/>
            <w:textDirection w:val="lrTb"/>
            <w:noWrap/>
          </w:tcPr>
          <w:p>
            <w:pPr>
              <w:ind w:lef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Индустриальный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кв. м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7 981,0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20 631,4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9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5 490,2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34 102,6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2" w:type="pct"/>
            <w:textDirection w:val="lrTb"/>
            <w:noWrap/>
          </w:tcPr>
          <w:p>
            <w:pPr>
              <w:ind w:lef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Кировский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кв. м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32 455,0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71 542,6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9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22 372,3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126 369,9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2" w:type="pct"/>
            <w:textDirection w:val="lrTb"/>
            <w:noWrap/>
          </w:tcPr>
          <w:p>
            <w:pPr>
              <w:ind w:lef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Ленинский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кв. м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4 393,3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3 003,3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9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271,6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7 668,2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2" w:type="pct"/>
            <w:textDirection w:val="lrTb"/>
            <w:noWrap/>
          </w:tcPr>
          <w:p>
            <w:pPr>
              <w:ind w:lef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Мотовилихинский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кв. м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26 369,5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16 725,6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9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7 353,2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50 448,3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2" w:type="pct"/>
            <w:textDirection w:val="lrTb"/>
            <w:noWrap/>
          </w:tcPr>
          <w:p>
            <w:pPr>
              <w:ind w:lef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Орджоникидзевский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кв. м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13 573,2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56 613,7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9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19 141,7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89 328,6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2" w:type="pct"/>
            <w:textDirection w:val="lrTb"/>
            <w:noWrap/>
          </w:tcPr>
          <w:p>
            <w:pPr>
              <w:ind w:lef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Свердловский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кв. м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25 912,9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34 815,2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9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24 000,9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84 729,0</w:t>
            </w: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1570"/>
        <w:ind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</w:r>
      <w:r>
        <w:rPr>
          <w:rFonts w:asciiTheme="minorHAnsi" w:hAnsiTheme="minorHAnsi" w:cstheme="minorHAnsi"/>
          <w:szCs w:val="24"/>
        </w:rPr>
      </w:r>
    </w:p>
    <w:p>
      <w:pPr>
        <w:ind w:firstLine="709"/>
        <w:rPr>
          <w:rFonts w:cs="Arial Unicode MS"/>
          <w:iCs/>
          <w:color w:val="000000"/>
          <w:lang w:eastAsia="en-US"/>
        </w:rPr>
      </w:pPr>
      <w:r/>
      <w:bookmarkStart w:id="403" w:name="_Hlk176277049"/>
      <w:r>
        <w:rPr>
          <w:rFonts w:cs="Arial Unicode MS"/>
          <w:iCs/>
          <w:color w:val="000000"/>
          <w:lang w:eastAsia="en-US"/>
        </w:rPr>
        <w:t xml:space="preserve">---------------------------</w:t>
      </w:r>
      <w:r>
        <w:rPr>
          <w:rFonts w:cs="Arial Unicode MS"/>
          <w:iCs/>
          <w:color w:val="000000"/>
          <w:lang w:eastAsia="en-US"/>
        </w:rPr>
      </w:r>
    </w:p>
    <w:p>
      <w:pPr>
        <w:ind w:firstLine="709"/>
      </w:pPr>
      <w:r>
        <w:rPr>
          <w:rFonts w:asciiTheme="minorHAnsi" w:hAnsiTheme="minorHAnsi" w:cstheme="minorHAnsi"/>
        </w:rPr>
        <w:t xml:space="preserve">1. С</w:t>
      </w:r>
      <w:r>
        <w:t xml:space="preserve">уммарное значение за период.</w:t>
      </w:r>
      <w:bookmarkEnd w:id="403"/>
      <w:r/>
      <w:r/>
    </w:p>
    <w:p>
      <w:pPr>
        <w:pStyle w:val="1570"/>
        <w:rPr>
          <w:i/>
          <w:iCs w:val="0"/>
          <w:sz w:val="28"/>
          <w:szCs w:val="28"/>
        </w:rPr>
      </w:pPr>
      <w:r>
        <w:rPr>
          <w:i/>
          <w:iCs w:val="0"/>
          <w:sz w:val="28"/>
          <w:szCs w:val="28"/>
        </w:rPr>
      </w:r>
      <w:r>
        <w:rPr>
          <w:i/>
          <w:iCs w:val="0"/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Снос аварийных домов способствует улучшению внешнего облика и благоустройства города, развитию инженерной и социальной инфраструктуры, повышает инвестиционную привлекательность города. Согласно </w:t>
      </w:r>
      <w:bookmarkStart w:id="404" w:name="_Hlk166593384"/>
      <w:r>
        <w:rPr>
          <w:sz w:val="28"/>
          <w:szCs w:val="28"/>
        </w:rPr>
        <w:t xml:space="preserve">постановлению Правительства Российской Федерации от 12.09.2023 № 1484</w:t>
      </w:r>
      <w:bookmarkEnd w:id="404"/>
      <w:r>
        <w:rPr>
          <w:sz w:val="28"/>
          <w:szCs w:val="28"/>
        </w:rPr>
        <w:t xml:space="preserve"> в рамках проектов комплексного развития территорий с 01.01.2024 регионы вместе с программой расселения жилья, признанного аварийным до 01.01.2017, могут параллельно начать реал</w:t>
      </w:r>
      <w:r>
        <w:rPr>
          <w:sz w:val="28"/>
          <w:szCs w:val="28"/>
        </w:rPr>
        <w:t xml:space="preserve">изацию новой программы, касающейся зданий, признанных аварийными после этой даты. Это позволит ускорить темпы расселения непригодного жилья и даст возможность людям быстрее переехать в новые квартиры, отмечается на сайте Правительства Российской Федерации.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Проведение капитально</w:t>
      </w:r>
      <w:r>
        <w:rPr>
          <w:sz w:val="28"/>
          <w:szCs w:val="28"/>
        </w:rPr>
        <w:t xml:space="preserve">го ремонта общего имущества в многоквартирных домах города Перми обеспечивает специализированная некоммерческая организация «Фонд капитального ремонта общего имущества в многоквартирных домах в Пермском крае», созданная в соответствии со статьями 167, 178 </w:t>
      </w:r>
      <w:bookmarkStart w:id="405" w:name="_Hlk166593393"/>
      <w:r>
        <w:rPr>
          <w:sz w:val="28"/>
          <w:szCs w:val="28"/>
        </w:rPr>
        <w:t xml:space="preserve">Жилищного кодекса </w:t>
      </w:r>
      <w:bookmarkEnd w:id="405"/>
      <w:r>
        <w:rPr>
          <w:sz w:val="28"/>
          <w:szCs w:val="28"/>
        </w:rPr>
        <w:t xml:space="preserve">Российской Федерации, </w:t>
      </w:r>
      <w:bookmarkStart w:id="406" w:name="_Hlk166593403"/>
      <w:r>
        <w:rPr>
          <w:sz w:val="28"/>
          <w:szCs w:val="28"/>
        </w:rPr>
        <w:t xml:space="preserve">Федеральным законом от 12.01.1996 № 7-ФЗ «О некоммерческих организациях»</w:t>
      </w:r>
      <w:bookmarkEnd w:id="406"/>
      <w:r>
        <w:rPr>
          <w:sz w:val="28"/>
          <w:szCs w:val="28"/>
        </w:rPr>
        <w:t xml:space="preserve">, </w:t>
      </w:r>
      <w:bookmarkStart w:id="407" w:name="_Hlk166593412"/>
      <w:r>
        <w:rPr>
          <w:sz w:val="28"/>
          <w:szCs w:val="28"/>
        </w:rPr>
        <w:t xml:space="preserve">Законом Пермского края от 11.03.2014 № 304-ПК «О системе капитального ремонта общего имущества в многоквартирных домах, расположенных на территории Пермского края», </w:t>
      </w:r>
      <w:bookmarkStart w:id="408" w:name="_Hlk166593417"/>
      <w:r/>
      <w:bookmarkEnd w:id="407"/>
      <w:r>
        <w:rPr>
          <w:sz w:val="28"/>
          <w:szCs w:val="28"/>
        </w:rPr>
        <w:t xml:space="preserve">постановлением Правительства Пермского края от 22.07.2013 № 939-п</w:t>
      </w:r>
      <w:bookmarkEnd w:id="408"/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Капитальный ремонт жилого фонда города Перми осуществляется в рамках: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/>
      <w:bookmarkStart w:id="409" w:name="_Hlk166593457"/>
      <w:r>
        <w:rPr>
          <w:rStyle w:val="1460"/>
          <w:b w:val="0"/>
          <w:bCs w:val="0"/>
          <w:sz w:val="28"/>
          <w:szCs w:val="28"/>
        </w:rPr>
        <w:t xml:space="preserve">Региональной программы капитального ремонта общего имущества в многоквартирных домах, расположенных на территории Пермского края, на 2024-2074 годы, утвержденной постановлением Правительства Пермского края от 28.04.2023 № 328-п</w:t>
      </w:r>
      <w:bookmarkEnd w:id="409"/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/>
      <w:hyperlink r:id="rId13" w:tooltip="https://www.gorodperm.ru/upload/pages/458/2023/Prikaz__24-04-01-04-388_ot_28.12.2023.pdf" w:history="1">
        <w:bookmarkStart w:id="410" w:name="_Hlk166593462"/>
        <w:r>
          <w:rPr>
            <w:sz w:val="28"/>
            <w:szCs w:val="28"/>
          </w:rPr>
          <w:t xml:space="preserve">Краткосрочного плана реализации Региональной программы капитального</w:t>
        </w:r>
        <w:r>
          <w:rPr>
            <w:rStyle w:val="984"/>
            <w:color w:val="auto"/>
            <w:sz w:val="28"/>
            <w:szCs w:val="28"/>
            <w:u w:val="none"/>
          </w:rPr>
          <w:t xml:space="preserve"> ремонта общего имущества в многоквартирных домах, расположенных на территории Пермского края, на 2024-2026 годы, утвержденного приказом Министерства жилищно-коммунального хозяйства и благоустройства Пермского края от 15.06.2023 № 24-04-01-04-194</w:t>
        </w:r>
        <w:bookmarkEnd w:id="410"/>
        <w:r>
          <w:rPr>
            <w:rStyle w:val="984"/>
            <w:color w:val="auto"/>
            <w:sz w:val="28"/>
            <w:szCs w:val="28"/>
            <w:u w:val="none"/>
          </w:rPr>
          <w:t xml:space="preserve">. </w:t>
        </w:r>
      </w:hyperlink>
      <w:r/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rStyle w:val="1460"/>
          <w:b w:val="0"/>
          <w:bCs w:val="0"/>
          <w:sz w:val="28"/>
          <w:szCs w:val="28"/>
        </w:rPr>
        <w:t xml:space="preserve">егиональной программой капитального ремонта общего имущества в многоквартирных домах, расположенных на территории Пермского края, на 2024-2074 годы</w:t>
      </w:r>
      <w:r>
        <w:rPr>
          <w:sz w:val="28"/>
          <w:szCs w:val="28"/>
        </w:rPr>
        <w:t xml:space="preserve"> предусматривается капитальный ремонт 4 910 многоквартирных домов, расположенных на территории города Перми.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В период с 2024 по 2026 годы капитальный ремонт запланирован для 351 многоквартирного дома, более 35 % из которых приходится на жилой фонд 1958-1965 годов постройки.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Оценить развитие строительной сферы в городе Перми позволяют следующие источники информации: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/>
      <w:bookmarkStart w:id="411" w:name="_Hlk166593478"/>
      <w:r>
        <w:rPr>
          <w:sz w:val="28"/>
          <w:szCs w:val="28"/>
        </w:rPr>
        <w:t xml:space="preserve">1. ГП города Перми</w:t>
      </w:r>
      <w:bookmarkEnd w:id="411"/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территории комплексного развития;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tabs>
          <w:tab w:val="clear" w:pos="10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документация по планировке территории (проекты планировки территории и проекты межевания территории);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выданные разрешения на строительство, сопоставленные с выданными разрешениями на ввод объектов в эксплуатацию;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заключенные договоры на подключение абонентов к системам холодного водоснабжения и водоотведения на прогнозный период (2023-2027 годы), полученные от ООО «НОВОГОР-</w:t>
      </w:r>
      <w:r>
        <w:rPr>
          <w:sz w:val="28"/>
          <w:szCs w:val="28"/>
        </w:rPr>
        <w:t xml:space="preserve">Прикамье</w:t>
      </w:r>
      <w:r>
        <w:rPr>
          <w:sz w:val="28"/>
          <w:szCs w:val="28"/>
        </w:rPr>
        <w:t xml:space="preserve">» и МП «</w:t>
      </w:r>
      <w:r>
        <w:rPr>
          <w:sz w:val="28"/>
          <w:szCs w:val="28"/>
        </w:rPr>
        <w:t xml:space="preserve">Пермводоканал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перечень земельных участков, предоставленных многодетным семьям и военнослужащим;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реестр аварийного жилищного фонда города Перми по состоянию на 01.01.2024.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Прогнозные характеристики жилищного фонда, принятые в Программе, представлены в таблице 3.8.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b/>
          <w:bCs/>
          <w:sz w:val="28"/>
          <w:szCs w:val="28"/>
        </w:rPr>
      </w:pPr>
      <w:r/>
      <w:bookmarkStart w:id="412" w:name="_Ref164770067"/>
      <w:r/>
      <w:bookmarkStart w:id="413" w:name="_Toc175216122"/>
      <w:r>
        <w:rPr>
          <w:b/>
          <w:bCs/>
          <w:sz w:val="28"/>
          <w:szCs w:val="28"/>
        </w:rPr>
        <w:t xml:space="preserve">Таблица </w:t>
      </w:r>
      <w:bookmarkEnd w:id="412"/>
      <w:r>
        <w:rPr>
          <w:b/>
          <w:bCs/>
          <w:sz w:val="28"/>
          <w:szCs w:val="28"/>
        </w:rPr>
        <w:t xml:space="preserve">3.8</w:t>
      </w:r>
      <w:r>
        <w:rPr>
          <w:b/>
          <w:bCs/>
          <w:sz w:val="28"/>
          <w:szCs w:val="28"/>
        </w:rPr>
      </w:r>
    </w:p>
    <w:p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Прогнозные характеристики жилищного фонда, принятые в Программе</w:t>
      </w:r>
      <w:bookmarkEnd w:id="413"/>
      <w:r/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992"/>
        <w:gridCol w:w="850"/>
        <w:gridCol w:w="851"/>
        <w:gridCol w:w="850"/>
        <w:gridCol w:w="851"/>
        <w:gridCol w:w="850"/>
        <w:gridCol w:w="851"/>
      </w:tblGrid>
      <w:tr>
        <w:tblPrEx/>
        <w:trPr>
          <w:trHeight w:val="20"/>
        </w:trPr>
        <w:tc>
          <w:tcPr>
            <w:shd w:val="clear" w:color="auto" w:fill="auto"/>
            <w:tcW w:w="3823" w:type="dxa"/>
            <w:vAlign w:val="center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Показатели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ind w:left="-195" w:right="-10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Ед. изм.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2024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2025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2026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2027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2028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2034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</w:tr>
    </w:tbl>
    <w:p>
      <w:pPr>
        <w:spacing w:line="48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3823"/>
        <w:gridCol w:w="992"/>
        <w:gridCol w:w="850"/>
        <w:gridCol w:w="851"/>
        <w:gridCol w:w="850"/>
        <w:gridCol w:w="851"/>
        <w:gridCol w:w="850"/>
        <w:gridCol w:w="851"/>
      </w:tblGrid>
      <w:tr>
        <w:tblPrEx/>
        <w:trPr>
          <w:trHeight w:val="20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3" w:type="dxa"/>
            <w:vAlign w:val="center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-107" w:right="-10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2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3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4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5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6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7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8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3" w:type="dxa"/>
            <w:textDirection w:val="lrTb"/>
            <w:noWrap/>
          </w:tcPr>
          <w:p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Жилая площадь, всего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1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7" w:right="-10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тыс. кв. м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29 299,89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30 046,59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30 824,69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31 610,79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32 404,89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37 503,79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3" w:type="dxa"/>
            <w:textDirection w:val="lrTb"/>
            <w:noWrap/>
          </w:tcPr>
          <w:p>
            <w:pPr>
              <w:ind w:right="-11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Средняя жилищная обеспеченность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1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7" w:right="-10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кв. м/чел.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28,7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29,5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30,3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31,2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32,0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37,6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3" w:type="dxa"/>
            <w:vMerge w:val="restart"/>
            <w:textDirection w:val="lrTb"/>
            <w:noWrap/>
          </w:tcPr>
          <w:p>
            <w:pPr>
              <w:ind w:firstLine="24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Прибыло жилой площади всего, в том числе: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7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тыс. кв. м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725-825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732-833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739-841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746-849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753-857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801-911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3" w:type="dxa"/>
            <w:vAlign w:val="center"/>
            <w:vMerge w:val="continue"/>
            <w:textDirection w:val="lrTb"/>
            <w:noWrap/>
          </w:tcPr>
          <w:p>
            <w:pPr>
              <w:ind w:firstLine="24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7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%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101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101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101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101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101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3" w:type="dxa"/>
            <w:vAlign w:val="center"/>
            <w:textDirection w:val="lrTb"/>
            <w:noWrap/>
          </w:tcPr>
          <w:p>
            <w:pPr>
              <w:ind w:firstLine="40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МКД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7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тыс. кв. м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650-715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658-723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666-731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674-739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682-747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736-801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3" w:type="dxa"/>
            <w:vAlign w:val="center"/>
            <w:textDirection w:val="lrTb"/>
            <w:noWrap/>
          </w:tcPr>
          <w:p>
            <w:pPr>
              <w:ind w:firstLine="40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ИОЗ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7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тыс. кв. м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110-175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110-175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110-175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110-175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110-175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110-175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3" w:type="dxa"/>
            <w:vAlign w:val="center"/>
            <w:textDirection w:val="lrTb"/>
            <w:noWrap/>
          </w:tcPr>
          <w:p>
            <w:pPr>
              <w:ind w:right="-113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Выбытие аварийного жилищного фонда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7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тыс. кв. м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85,8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62,7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39, 6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39, 6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39, 6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30,0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3" w:type="dxa"/>
            <w:vAlign w:val="center"/>
            <w:textDirection w:val="lrTb"/>
            <w:noWrap/>
          </w:tcPr>
          <w:p>
            <w:pPr>
              <w:ind w:right="-113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Выбытие жилого фонда, потенциально соответствующего критериям, подлежащим расселению и сносу при реализации КРТ, в том числе: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7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тыс. кв. м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23,6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23,3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23,3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23,3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3" w:type="dxa"/>
            <w:vAlign w:val="center"/>
            <w:textDirection w:val="lrTb"/>
            <w:noWrap/>
          </w:tcPr>
          <w:p>
            <w:pPr>
              <w:ind w:right="-113" w:firstLine="45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МКД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7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тыс. кв. м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23,3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23,3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23,3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23,3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3" w:type="dxa"/>
            <w:vAlign w:val="center"/>
            <w:textDirection w:val="lrTb"/>
            <w:noWrap/>
          </w:tcPr>
          <w:p>
            <w:pPr>
              <w:ind w:right="-113" w:firstLine="45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ИОЗ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7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тыс. кв. м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ind w:left="-169" w:right="-135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0,3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ind w:left="-169" w:right="-135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ind w:left="-169" w:right="-135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ind w:left="-169" w:right="-135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</w:tr>
    </w:tbl>
    <w:p>
      <w:pPr>
        <w:pStyle w:val="1570"/>
        <w:ind w:firstLine="0"/>
        <w:rPr>
          <w:rFonts w:asciiTheme="minorHAnsi" w:hAnsiTheme="minorHAnsi" w:cstheme="minorHAnsi"/>
          <w:i/>
          <w:iCs w:val="0"/>
          <w:sz w:val="28"/>
          <w:szCs w:val="28"/>
        </w:rPr>
      </w:pPr>
      <w:r>
        <w:rPr>
          <w:rFonts w:asciiTheme="minorHAnsi" w:hAnsiTheme="minorHAnsi" w:cstheme="minorHAnsi"/>
          <w:i/>
          <w:iCs w:val="0"/>
          <w:sz w:val="28"/>
          <w:szCs w:val="28"/>
        </w:rPr>
      </w:r>
      <w:r>
        <w:rPr>
          <w:rFonts w:asciiTheme="minorHAnsi" w:hAnsiTheme="minorHAnsi" w:cstheme="minorHAnsi"/>
          <w:i/>
          <w:iCs w:val="0"/>
          <w:sz w:val="28"/>
          <w:szCs w:val="28"/>
        </w:rPr>
      </w:r>
    </w:p>
    <w:p>
      <w:pPr>
        <w:ind w:firstLine="709"/>
        <w:rPr>
          <w:rFonts w:cs="Arial Unicode MS"/>
          <w:iCs/>
          <w:color w:val="000000"/>
          <w:lang w:eastAsia="en-US"/>
        </w:rPr>
      </w:pPr>
      <w:r>
        <w:rPr>
          <w:rFonts w:cs="Arial Unicode MS"/>
          <w:iCs/>
          <w:color w:val="000000"/>
          <w:lang w:eastAsia="en-US"/>
        </w:rPr>
        <w:t xml:space="preserve">---------------------------</w:t>
      </w:r>
      <w:r>
        <w:rPr>
          <w:rFonts w:cs="Arial Unicode MS"/>
          <w:iCs/>
          <w:color w:val="000000"/>
          <w:lang w:eastAsia="en-US"/>
        </w:rPr>
      </w:r>
    </w:p>
    <w:p>
      <w:pPr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Из расчета максимальных значений ежегодного прибытия жилых площадей.</w:t>
      </w:r>
      <w:r>
        <w:rPr>
          <w:rFonts w:asciiTheme="minorHAnsi" w:hAnsiTheme="minorHAnsi" w:cstheme="minorHAnsi"/>
        </w:rPr>
      </w:r>
    </w:p>
    <w:p>
      <w:pPr>
        <w:pStyle w:val="1570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1544"/>
        <w:ind w:firstLine="709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Общественно-деловая застройка (гражданское строительство).</w:t>
      </w:r>
      <w:r>
        <w:rPr>
          <w:b/>
          <w:bCs/>
          <w:sz w:val="28"/>
          <w:szCs w:val="28"/>
        </w:rPr>
      </w:r>
    </w:p>
    <w:p>
      <w:pPr>
        <w:pStyle w:val="154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общественно-деловой застройке в основном относятся следующие категории объектов: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left="-142" w:firstLine="851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образовательные учреждения;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left="-142" w:firstLine="851"/>
        <w:rPr>
          <w:sz w:val="28"/>
          <w:szCs w:val="28"/>
        </w:rPr>
      </w:pPr>
      <w:r>
        <w:rPr>
          <w:sz w:val="28"/>
          <w:szCs w:val="28"/>
        </w:rPr>
        <w:t xml:space="preserve">объекты медицинского обслуживания населения;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left="-142" w:firstLine="851"/>
        <w:rPr>
          <w:sz w:val="28"/>
          <w:szCs w:val="28"/>
        </w:rPr>
      </w:pPr>
      <w:r>
        <w:rPr>
          <w:sz w:val="28"/>
          <w:szCs w:val="28"/>
        </w:rPr>
        <w:t xml:space="preserve">учреждения культуры и искусства;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left="-142" w:firstLine="851"/>
        <w:rPr>
          <w:sz w:val="28"/>
          <w:szCs w:val="28"/>
        </w:rPr>
      </w:pPr>
      <w:r>
        <w:rPr>
          <w:sz w:val="28"/>
          <w:szCs w:val="28"/>
        </w:rPr>
        <w:t xml:space="preserve">учреждения социального обеспечения;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left="-142" w:firstLine="851"/>
        <w:rPr>
          <w:sz w:val="28"/>
          <w:szCs w:val="28"/>
        </w:rPr>
      </w:pPr>
      <w:r>
        <w:rPr>
          <w:sz w:val="28"/>
          <w:szCs w:val="28"/>
        </w:rPr>
        <w:t xml:space="preserve">объекты физкультуры и спорта, отдыха и туризма;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left="-142" w:firstLine="851"/>
        <w:rPr>
          <w:sz w:val="28"/>
          <w:szCs w:val="28"/>
        </w:rPr>
      </w:pPr>
      <w:r>
        <w:rPr>
          <w:sz w:val="28"/>
          <w:szCs w:val="28"/>
        </w:rPr>
        <w:t xml:space="preserve">объекты розничной торговли;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left="-142" w:firstLine="851"/>
        <w:rPr>
          <w:sz w:val="28"/>
          <w:szCs w:val="28"/>
        </w:rPr>
      </w:pPr>
      <w:r>
        <w:rPr>
          <w:sz w:val="28"/>
          <w:szCs w:val="28"/>
        </w:rPr>
        <w:t xml:space="preserve">объекты общественного питания;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left="-142" w:firstLine="851"/>
        <w:rPr>
          <w:sz w:val="28"/>
          <w:szCs w:val="28"/>
        </w:rPr>
      </w:pPr>
      <w:r>
        <w:rPr>
          <w:sz w:val="28"/>
          <w:szCs w:val="28"/>
        </w:rPr>
        <w:t xml:space="preserve">объекты бытового и социального обслуживания населения, включающие широкий спектр видов оказываемых населению услуг.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Для оценки реальных объемов ввода объектов общественно-деловой сферы на перспективу проанализированы следующие источники информации: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ГП города Перми;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/>
      <w:bookmarkStart w:id="414" w:name="_Hlk166593546"/>
      <w:r>
        <w:rPr>
          <w:sz w:val="28"/>
          <w:szCs w:val="28"/>
        </w:rPr>
        <w:t xml:space="preserve">2. Программа комплексного развития социальной инфраструктуры города Перми на 2023-2034 годы, утвержденная решением Пермской городской Думы от 27.06.2023</w:t>
      </w:r>
      <w:bookmarkEnd w:id="414"/>
      <w:r>
        <w:rPr>
          <w:sz w:val="28"/>
          <w:szCs w:val="28"/>
        </w:rPr>
        <w:t xml:space="preserve"> № 111;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/>
      <w:bookmarkStart w:id="415" w:name="_Hlk166593552"/>
      <w:r>
        <w:rPr>
          <w:sz w:val="28"/>
          <w:szCs w:val="28"/>
        </w:rPr>
        <w:t xml:space="preserve">3. Адресная инвестиционная программа Пермского края, утвержденная постановлением Правительства Пермского края от 29.09.2023 № 745-п</w:t>
      </w:r>
      <w:bookmarkEnd w:id="415"/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муниципальные программы;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выданные разрешения на строительство и срок их действия;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выданные разрешения на ввод объектов в эксплуатацию;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Технические условия и договоры на подключение инженерных коммуникаций.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По причине отсутствия в подавляющем большинстве случаев прогнозных показателей общественно-деловой застройки прогнозные значения до 2034 года были сделаны косвенным образом.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Как правило, площадь общественно-деловых зданий составляет 20-25 % от общей площади жилого фонда муниципального образования. В</w:t>
      </w:r>
      <w:r>
        <w:rPr>
          <w:sz w:val="28"/>
          <w:szCs w:val="28"/>
        </w:rPr>
        <w:t xml:space="preserve">виду того, что более высокие значения данного показателя из интервала соответствуют крупным городам, к которым можно отнести Пермь, то была принята предпосылка о соотношении перспективного ввода площадей жилых и общественно-деловых зданий в пропорции 4:1.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Перспективная площадь объектов общественно-делового назначения формировала</w:t>
      </w:r>
      <w:r>
        <w:rPr>
          <w:sz w:val="28"/>
          <w:szCs w:val="28"/>
        </w:rPr>
        <w:t xml:space="preserve">сь с учетом оцененных базовых значений, имеющихся планов по вводу объектов до 2034 года. Снос объектов общественно-делового назначения на период действия настоящей Программы не планируется. Основное строительство общественно-деловых зданий предполагается в</w:t>
      </w:r>
      <w:r>
        <w:rPr>
          <w:sz w:val="28"/>
          <w:szCs w:val="28"/>
        </w:rPr>
        <w:t xml:space="preserve"> районах перспективной жилищной застройки для удовлетворения социально-бытовых и культурно-досуговых потребностей жителей. В районах существующей застройки предполагается точечное строительство на месте сносимых зданий либо при реконструкции существующих. </w:t>
      </w:r>
      <w:r>
        <w:rPr>
          <w:sz w:val="28"/>
          <w:szCs w:val="28"/>
        </w:rPr>
      </w:r>
    </w:p>
    <w:p>
      <w:pPr>
        <w:pStyle w:val="15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Производственная застройка.</w:t>
      </w:r>
      <w:bookmarkEnd w:id="381"/>
      <w:r/>
      <w:r>
        <w:rPr>
          <w:b/>
          <w:bCs/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Город Пермь, как и большинство уральских городов, формировался как «город-завод». Заводы располагаются практически вдоль всего городского б</w:t>
      </w:r>
      <w:r>
        <w:rPr>
          <w:sz w:val="28"/>
          <w:szCs w:val="28"/>
        </w:rPr>
        <w:t xml:space="preserve">ерега реки Камы: территория от Коммунального моста до завода им. Дзержинского и дальше до железнодорожного моста, территория «Мотовилихинских заводов». Экономическая оценка пермских промышленных зон говорит о разной степени эффективности их использования.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Таким образом, тенденция перепрофилирования (</w:t>
      </w:r>
      <w:r>
        <w:rPr>
          <w:sz w:val="28"/>
          <w:szCs w:val="28"/>
        </w:rPr>
        <w:t xml:space="preserve">редевелопмента</w:t>
      </w:r>
      <w:r>
        <w:rPr>
          <w:sz w:val="28"/>
          <w:szCs w:val="28"/>
        </w:rPr>
        <w:t xml:space="preserve">) промышленных территорий под использование их в новой сфере или направлении – культурные центры, офисные здания, жилая застройка – становится вполне актуальной и для города Перми, особенно для центральной его части.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В Перми уже есть успешные примеры </w:t>
      </w:r>
      <w:r>
        <w:rPr>
          <w:sz w:val="28"/>
          <w:szCs w:val="28"/>
        </w:rPr>
        <w:t xml:space="preserve">редевелопмента</w:t>
      </w:r>
      <w:r>
        <w:rPr>
          <w:sz w:val="28"/>
          <w:szCs w:val="28"/>
        </w:rPr>
        <w:t xml:space="preserve"> территорий. Так, на площадке бывшей табачной фабрики </w:t>
      </w:r>
      <w:bookmarkStart w:id="416" w:name="_Hlk164869278"/>
      <w:r>
        <w:rPr>
          <w:sz w:val="28"/>
          <w:szCs w:val="28"/>
        </w:rPr>
        <w:t xml:space="preserve">ГК «КОРТРОС» </w:t>
      </w:r>
      <w:bookmarkEnd w:id="416"/>
      <w:r>
        <w:rPr>
          <w:sz w:val="28"/>
          <w:szCs w:val="28"/>
        </w:rPr>
        <w:t xml:space="preserve">построен элитный жилой </w:t>
      </w:r>
      <w:r>
        <w:rPr>
          <w:sz w:val="28"/>
          <w:szCs w:val="28"/>
        </w:rPr>
        <w:t xml:space="preserve">комплекс «Астра», </w:t>
      </w:r>
      <w:bookmarkStart w:id="417" w:name="_Hlk164869286"/>
      <w:r>
        <w:rPr>
          <w:sz w:val="28"/>
          <w:szCs w:val="28"/>
        </w:rPr>
        <w:t xml:space="preserve">ГК «ПМД» </w:t>
      </w:r>
      <w:bookmarkEnd w:id="417"/>
      <w:r>
        <w:rPr>
          <w:sz w:val="28"/>
          <w:szCs w:val="28"/>
        </w:rPr>
        <w:t xml:space="preserve">возведен на части территории Пермской научно-производственной приборостроительной компании ЖК «Солнечный город». На момент разработки Программы в долине реки </w:t>
      </w:r>
      <w:r>
        <w:rPr>
          <w:sz w:val="28"/>
          <w:szCs w:val="28"/>
        </w:rPr>
        <w:t xml:space="preserve">Егошихи</w:t>
      </w:r>
      <w:r>
        <w:rPr>
          <w:sz w:val="28"/>
          <w:szCs w:val="28"/>
        </w:rPr>
        <w:t xml:space="preserve">, на территории АО Пермский МРЗ «</w:t>
      </w:r>
      <w:r>
        <w:rPr>
          <w:sz w:val="28"/>
          <w:szCs w:val="28"/>
        </w:rPr>
        <w:t xml:space="preserve">Ремпутьмаш</w:t>
      </w:r>
      <w:r>
        <w:rPr>
          <w:sz w:val="28"/>
          <w:szCs w:val="28"/>
        </w:rPr>
        <w:t xml:space="preserve">» реализуется проект «Культурно-рекреационное пространство, г. Пермь (Ленинский район, завод им. А.А. Шпагина)», утвержденный </w:t>
      </w:r>
      <w:bookmarkStart w:id="418" w:name="_Hlk166593621"/>
      <w:r>
        <w:rPr>
          <w:sz w:val="28"/>
          <w:szCs w:val="28"/>
        </w:rPr>
        <w:t xml:space="preserve">распоряжением Правительства Пермского края от 19.01.2022 </w:t>
      </w:r>
      <w:r>
        <w:rPr>
          <w:sz w:val="28"/>
          <w:szCs w:val="28"/>
        </w:rPr>
        <w:br/>
        <w:t xml:space="preserve">№ 9-рп «О принятии решения о комплексном развитии территории нежилой застройки в микрорайоне «Разгуляй» Ленинского района города Перми»</w:t>
      </w:r>
      <w:bookmarkEnd w:id="418"/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/>
      <w:bookmarkStart w:id="419" w:name="_Toc119947508"/>
      <w:r/>
      <w:bookmarkStart w:id="420" w:name="_Toc175216036"/>
      <w:r>
        <w:rPr>
          <w:b/>
          <w:bCs/>
          <w:sz w:val="28"/>
          <w:szCs w:val="28"/>
        </w:rPr>
        <w:t xml:space="preserve">3.2. Прогноз спроса на коммунальные ресурсы</w:t>
      </w:r>
      <w:bookmarkEnd w:id="419"/>
      <w:r/>
      <w:bookmarkEnd w:id="420"/>
      <w:r/>
      <w:r>
        <w:rPr>
          <w:b/>
          <w:bCs/>
          <w:sz w:val="28"/>
          <w:szCs w:val="28"/>
        </w:rPr>
      </w:r>
    </w:p>
    <w:p>
      <w:pPr>
        <w:pStyle w:val="154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Подробное обоснование прогнозируемого спроса на коммунальные ресурсы приведено в обосновывающих материалах Программы.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/>
      <w:bookmarkStart w:id="421" w:name="_Toc26235651"/>
      <w:r/>
      <w:bookmarkStart w:id="422" w:name="_Toc31386857"/>
      <w:r/>
      <w:bookmarkStart w:id="423" w:name="_Toc119947509"/>
      <w:r/>
      <w:bookmarkStart w:id="424" w:name="_Toc175216037"/>
      <w:r>
        <w:rPr>
          <w:b/>
          <w:bCs/>
          <w:sz w:val="28"/>
          <w:szCs w:val="28"/>
        </w:rPr>
        <w:t xml:space="preserve">3.2.1 Прогноз спроса на услуги теплоснабжения</w:t>
      </w:r>
      <w:bookmarkEnd w:id="421"/>
      <w:r/>
      <w:bookmarkEnd w:id="422"/>
      <w:r/>
      <w:bookmarkEnd w:id="423"/>
      <w:r/>
      <w:bookmarkEnd w:id="424"/>
      <w:r/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Объем потребления тепловой энергии не является постоянной величиной и варьируется в зависимости от численности населения, времени года, площадей объектов потребителей и ряда других показателей.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Оценка перспективных объемов потребления тепловой энергии населением и общественно-деловыми зданиями была принята в соответствии с прогнозами Схемы теплоснабжения.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r>
        <w:rPr>
          <w:sz w:val="28"/>
          <w:szCs w:val="28"/>
        </w:rPr>
        <w:t xml:space="preserve">объемов потребления тепловой энергии прочими потребителями, принимая во внимание существенный разброс значений в рассматриваемый период, была рассчитана с помощью средней скользящей. Перспективный полезный отпуск тепловой энергии представлен в таблице 3.9.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44"/>
        <w:jc w:val="right"/>
        <w:rPr>
          <w:b/>
          <w:bCs/>
          <w:sz w:val="28"/>
          <w:szCs w:val="28"/>
        </w:rPr>
      </w:pPr>
      <w:r/>
      <w:bookmarkStart w:id="425" w:name="_Toc175216123"/>
      <w:r>
        <w:rPr>
          <w:b/>
          <w:bCs/>
          <w:sz w:val="28"/>
          <w:szCs w:val="28"/>
        </w:rPr>
        <w:t xml:space="preserve">Таблица 3.9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Перспективный баланс тепловой энергии</w:t>
      </w:r>
      <w:bookmarkEnd w:id="425"/>
      <w:r/>
      <w:r>
        <w:rPr>
          <w:b/>
          <w:bCs/>
          <w:color w:val="000000" w:themeColor="text1"/>
          <w:sz w:val="28"/>
          <w:szCs w:val="28"/>
        </w:rPr>
      </w:r>
    </w:p>
    <w:p>
      <w:pPr>
        <w:pStyle w:val="157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pStyle w:val="1544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тыс. Гкал</w:t>
      </w:r>
      <w:r>
        <w:rPr>
          <w:color w:val="000000" w:themeColor="text1"/>
          <w:sz w:val="28"/>
          <w:szCs w:val="28"/>
        </w:rPr>
      </w:r>
    </w:p>
    <w:tbl>
      <w:tblPr>
        <w:tblStyle w:val="988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992"/>
        <w:gridCol w:w="993"/>
        <w:gridCol w:w="992"/>
        <w:gridCol w:w="992"/>
        <w:gridCol w:w="992"/>
        <w:gridCol w:w="957"/>
      </w:tblGrid>
      <w:tr>
        <w:tblPrEx/>
        <w:trPr>
          <w:trHeight w:val="20"/>
          <w:tblHeader/>
        </w:trPr>
        <w:tc>
          <w:tcPr>
            <w:tcBorders>
              <w:bottom w:val="single" w:color="auto" w:sz="4" w:space="0"/>
            </w:tcBorders>
            <w:tcW w:w="42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Показатели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2034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4219" w:type="dxa"/>
            <w:vAlign w:val="center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Полезный отпуск, в </w:t>
            </w:r>
            <w:r>
              <w:rPr>
                <w:bCs/>
                <w:sz w:val="20"/>
                <w:szCs w:val="20"/>
              </w:rPr>
              <w:t xml:space="preserve">т.ч</w:t>
            </w:r>
            <w:r>
              <w:rPr>
                <w:bCs/>
                <w:sz w:val="20"/>
                <w:szCs w:val="20"/>
              </w:rPr>
              <w:t xml:space="preserve">.: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-113" w:right="-10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11 630,5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ind w:left="-113" w:right="-10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11 917,3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-113" w:right="-10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11 916,0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-113" w:right="-10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12 064,6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-113" w:right="-10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12 249,9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57" w:type="dxa"/>
            <w:vAlign w:val="center"/>
            <w:textDirection w:val="lrTb"/>
            <w:noWrap w:val="false"/>
          </w:tcPr>
          <w:p>
            <w:pPr>
              <w:ind w:left="-113" w:right="-10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13 006,0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7"/>
            <w:tcW w:w="10137" w:type="dxa"/>
            <w:vAlign w:val="center"/>
            <w:textDirection w:val="lrTb"/>
            <w:noWrap w:val="false"/>
          </w:tcPr>
          <w:p>
            <w:pPr>
              <w:ind w:firstLine="16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назначению, в </w:t>
            </w:r>
            <w:r>
              <w:rPr>
                <w:bCs/>
                <w:sz w:val="20"/>
                <w:szCs w:val="20"/>
              </w:rPr>
              <w:t xml:space="preserve">т.ч</w:t>
            </w:r>
            <w:r>
              <w:rPr>
                <w:bCs/>
                <w:sz w:val="20"/>
                <w:szCs w:val="20"/>
              </w:rPr>
              <w:t xml:space="preserve">.: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4219" w:type="dxa"/>
            <w:vAlign w:val="center"/>
            <w:textDirection w:val="lrTb"/>
            <w:noWrap w:val="false"/>
          </w:tcPr>
          <w:p>
            <w:pPr>
              <w:ind w:left="31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отопление и вентиляция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4 970,6</w:t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5 082,2</w:t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5 196,9</w:t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5 311,2</w:t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5 430,1</w:t>
            </w:r>
            <w:r>
              <w:rPr>
                <w:sz w:val="20"/>
                <w:szCs w:val="20"/>
              </w:rPr>
            </w:r>
          </w:p>
        </w:tc>
        <w:tc>
          <w:tcPr>
            <w:tcW w:w="95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5 920,8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4219" w:type="dxa"/>
            <w:vAlign w:val="center"/>
            <w:textDirection w:val="lrTb"/>
            <w:noWrap w:val="false"/>
          </w:tcPr>
          <w:p>
            <w:pPr>
              <w:ind w:left="31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горячая вода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564,8</w:t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530,7</w:t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528,4</w:t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526,3</w:t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524,3</w:t>
            </w:r>
            <w:r>
              <w:rPr>
                <w:sz w:val="20"/>
                <w:szCs w:val="20"/>
              </w:rPr>
            </w:r>
          </w:p>
        </w:tc>
        <w:tc>
          <w:tcPr>
            <w:tcW w:w="95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513,2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4219" w:type="dxa"/>
            <w:vAlign w:val="center"/>
            <w:textDirection w:val="lrTb"/>
            <w:noWrap w:val="false"/>
          </w:tcPr>
          <w:p>
            <w:pPr>
              <w:ind w:left="31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производственные нужды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6 095,1</w:t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6 304,4</w:t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6 190,7</w:t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6 227,1</w:t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6 295,5</w:t>
            </w:r>
            <w:r>
              <w:rPr>
                <w:sz w:val="20"/>
                <w:szCs w:val="20"/>
              </w:rPr>
            </w:r>
          </w:p>
        </w:tc>
        <w:tc>
          <w:tcPr>
            <w:tcW w:w="95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6 572,0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7"/>
            <w:tcW w:w="10137" w:type="dxa"/>
            <w:vAlign w:val="center"/>
            <w:textDirection w:val="lrTb"/>
            <w:noWrap w:val="false"/>
          </w:tcPr>
          <w:p>
            <w:pPr>
              <w:ind w:firstLine="16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группам потребителей, в </w:t>
            </w:r>
            <w:r>
              <w:rPr>
                <w:bCs/>
                <w:sz w:val="20"/>
                <w:szCs w:val="20"/>
              </w:rPr>
              <w:t xml:space="preserve">т.ч</w:t>
            </w:r>
            <w:r>
              <w:rPr>
                <w:bCs/>
                <w:sz w:val="20"/>
                <w:szCs w:val="20"/>
              </w:rPr>
              <w:t xml:space="preserve">.: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4219" w:type="dxa"/>
            <w:vAlign w:val="center"/>
            <w:textDirection w:val="lrTb"/>
            <w:noWrap w:val="false"/>
          </w:tcPr>
          <w:p>
            <w:pPr>
              <w:ind w:left="17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население, в </w:t>
            </w:r>
            <w:r>
              <w:rPr>
                <w:bCs/>
                <w:sz w:val="20"/>
                <w:szCs w:val="20"/>
              </w:rPr>
              <w:t xml:space="preserve">т.ч</w:t>
            </w:r>
            <w:r>
              <w:rPr>
                <w:bCs/>
                <w:sz w:val="20"/>
                <w:szCs w:val="20"/>
              </w:rPr>
              <w:t xml:space="preserve">.: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4 489,9</w:t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4 581,0</w:t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4 705,5</w:t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4 831,9</w:t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4 964,3</w:t>
            </w:r>
            <w:r>
              <w:rPr>
                <w:sz w:val="20"/>
                <w:szCs w:val="20"/>
              </w:rPr>
            </w:r>
          </w:p>
        </w:tc>
        <w:tc>
          <w:tcPr>
            <w:tcW w:w="95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5 615,1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bottom w:val="single" w:color="auto" w:sz="4" w:space="0"/>
            </w:tcBorders>
            <w:tcW w:w="4219" w:type="dxa"/>
            <w:vAlign w:val="center"/>
            <w:textDirection w:val="lrTb"/>
            <w:noWrap w:val="false"/>
          </w:tcPr>
          <w:p>
            <w:pPr>
              <w:ind w:left="31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отопление и вентиляция, из них: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3 976,5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4 098,5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4 225,1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4 353,4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4 487,6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5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5 148,6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bottom w:val="single" w:color="auto" w:sz="4" w:space="0"/>
            </w:tcBorders>
            <w:tcW w:w="4219" w:type="dxa"/>
            <w:vAlign w:val="center"/>
            <w:textDirection w:val="lrTb"/>
            <w:noWrap w:val="false"/>
          </w:tcPr>
          <w:p>
            <w:pPr>
              <w:ind w:left="45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МКД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3 457,5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3 584,2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3 709,0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3 833,5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3 973,2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5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4 633,5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bottom w:val="single" w:color="auto" w:sz="4" w:space="0"/>
            </w:tcBorders>
            <w:tcW w:w="4219" w:type="dxa"/>
            <w:vAlign w:val="center"/>
            <w:textDirection w:val="lrTb"/>
            <w:noWrap w:val="false"/>
          </w:tcPr>
          <w:p>
            <w:pPr>
              <w:ind w:left="45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ИОЗ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519,0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514,3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516,1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519,9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514,4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5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515,1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bottom w:val="single" w:color="auto" w:sz="4" w:space="0"/>
            </w:tcBorders>
            <w:tcW w:w="4219" w:type="dxa"/>
            <w:vAlign w:val="center"/>
            <w:textDirection w:val="lrTb"/>
            <w:noWrap w:val="false"/>
          </w:tcPr>
          <w:p>
            <w:pPr>
              <w:ind w:left="31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горячая вода, из нее: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513,4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482,5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480,4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478,5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476,7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5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466,5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bottom w:val="single" w:color="auto" w:sz="4" w:space="0"/>
            </w:tcBorders>
            <w:tcW w:w="4219" w:type="dxa"/>
            <w:vAlign w:val="center"/>
            <w:textDirection w:val="lrTb"/>
            <w:noWrap w:val="false"/>
          </w:tcPr>
          <w:p>
            <w:pPr>
              <w:ind w:left="45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МКД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481,5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450,9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448,7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446,6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445,1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5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434,8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bottom w:val="single" w:color="auto" w:sz="4" w:space="0"/>
            </w:tcBorders>
            <w:tcW w:w="4219" w:type="dxa"/>
            <w:vAlign w:val="center"/>
            <w:textDirection w:val="lrTb"/>
            <w:noWrap w:val="false"/>
          </w:tcPr>
          <w:p>
            <w:pPr>
              <w:ind w:left="45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ИОЗ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31,9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31,6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31,7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31,9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31,6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5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31,7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bottom w:val="single" w:color="auto" w:sz="4" w:space="0"/>
            </w:tcBorders>
            <w:tcW w:w="4219" w:type="dxa"/>
            <w:vAlign w:val="center"/>
            <w:textDirection w:val="lrTb"/>
            <w:noWrap w:val="false"/>
          </w:tcPr>
          <w:p>
            <w:pPr>
              <w:ind w:left="17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бюджетные организации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758,3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769,7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785,3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801,1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817,7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5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899,0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19" w:type="dxa"/>
            <w:vAlign w:val="center"/>
            <w:textDirection w:val="lrTb"/>
            <w:noWrap w:val="false"/>
          </w:tcPr>
          <w:p>
            <w:pPr>
              <w:ind w:left="17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прочие потребители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6 382,3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6 566,6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6 425,2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6 431,6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6 467,9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6 491,9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1570"/>
        <w:ind w:firstLine="0"/>
        <w:rPr>
          <w:i/>
          <w:iCs w:val="0"/>
          <w:sz w:val="28"/>
          <w:szCs w:val="28"/>
        </w:rPr>
      </w:pPr>
      <w:r>
        <w:rPr>
          <w:i/>
          <w:iCs w:val="0"/>
          <w:sz w:val="28"/>
          <w:szCs w:val="28"/>
        </w:rPr>
      </w:r>
      <w:r>
        <w:rPr>
          <w:i/>
          <w:iCs w:val="0"/>
          <w:sz w:val="28"/>
          <w:szCs w:val="28"/>
        </w:rPr>
      </w:r>
    </w:p>
    <w:p>
      <w:pPr>
        <w:ind w:firstLine="709"/>
        <w:rPr>
          <w:i/>
          <w:iCs/>
          <w:sz w:val="28"/>
          <w:szCs w:val="28"/>
        </w:rPr>
      </w:pPr>
      <w:r/>
      <w:bookmarkStart w:id="426" w:name="_Hlk176275950"/>
      <w:r/>
      <w:bookmarkStart w:id="427" w:name="_Hlk176275191"/>
      <w:r>
        <w:rPr>
          <w:i/>
          <w:iCs/>
          <w:sz w:val="28"/>
          <w:szCs w:val="28"/>
        </w:rPr>
        <w:t xml:space="preserve">---------------------------</w:t>
      </w:r>
      <w:r>
        <w:rPr>
          <w:i/>
          <w:iCs/>
          <w:sz w:val="28"/>
          <w:szCs w:val="28"/>
        </w:rPr>
      </w:r>
    </w:p>
    <w:p>
      <w:pPr>
        <w:ind w:firstLine="709"/>
        <w:jc w:val="both"/>
      </w:pPr>
      <w:r>
        <w:t xml:space="preserve">Примечание. Источники информации – Схема теплоснабжения и оценки разработчика настоящей Программы. </w:t>
      </w:r>
      <w:r/>
    </w:p>
    <w:p>
      <w:pPr>
        <w:ind w:firstLine="709"/>
      </w:pPr>
      <w:r/>
      <w:r/>
    </w:p>
    <w:p>
      <w:pPr>
        <w:pStyle w:val="1544"/>
        <w:rPr>
          <w:b/>
          <w:bCs/>
          <w:sz w:val="28"/>
          <w:szCs w:val="28"/>
        </w:rPr>
      </w:pPr>
      <w:r/>
      <w:bookmarkStart w:id="428" w:name="_Toc119578598"/>
      <w:r/>
      <w:bookmarkStart w:id="429" w:name="_Toc119947510"/>
      <w:r/>
      <w:bookmarkStart w:id="430" w:name="_Toc175216038"/>
      <w:r/>
      <w:bookmarkEnd w:id="426"/>
      <w:r/>
      <w:bookmarkEnd w:id="427"/>
      <w:r>
        <w:rPr>
          <w:b/>
          <w:bCs/>
          <w:sz w:val="28"/>
          <w:szCs w:val="28"/>
        </w:rPr>
        <w:t xml:space="preserve">3.2.2 Прогноз спроса на услуги водоснабжения</w:t>
      </w:r>
      <w:bookmarkEnd w:id="428"/>
      <w:r/>
      <w:bookmarkEnd w:id="429"/>
      <w:r/>
      <w:bookmarkEnd w:id="430"/>
      <w:r/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Объем потребления воды не является постоянной величиной и варьируется в зависимости от численности населения, времени года и ряда других показателей.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Оценка объемов потребления холодной воды населением на период реализации настоящей Программы учитывала следующие факторы: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прогнозная численность населения;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доля населения, охваченного услугой водоснабжения </w:t>
      </w:r>
      <w:bookmarkStart w:id="431" w:name="_Hlk174967288"/>
      <w:r>
        <w:rPr>
          <w:sz w:val="28"/>
          <w:szCs w:val="28"/>
        </w:rPr>
        <w:t xml:space="preserve">(по данным </w:t>
      </w:r>
      <w:r>
        <w:rPr>
          <w:sz w:val="28"/>
          <w:szCs w:val="28"/>
        </w:rPr>
        <w:t xml:space="preserve">ресурсоснабжающей</w:t>
      </w:r>
      <w:r>
        <w:rPr>
          <w:sz w:val="28"/>
          <w:szCs w:val="28"/>
        </w:rPr>
        <w:t xml:space="preserve"> организации (далее – РСО);</w:t>
      </w:r>
      <w:bookmarkEnd w:id="431"/>
      <w:r/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доля потребителей, оснащенных приборами учета холодной воды;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нормативы удельного расхода воды;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сведения о подключаемых объектах;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удельное годовое водопотребление;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количество дней в году.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Общая площадь жилищного фонда, оборудованная водопроводом, составила в 2022 году 97,4 %, в том числе централизованным – 95,2 %, согласно данным </w:t>
      </w:r>
      <w:r>
        <w:rPr>
          <w:sz w:val="28"/>
          <w:szCs w:val="28"/>
        </w:rPr>
        <w:t xml:space="preserve">Пермьстата</w:t>
      </w:r>
      <w:r>
        <w:rPr>
          <w:sz w:val="28"/>
          <w:szCs w:val="28"/>
        </w:rPr>
        <w:t xml:space="preserve"> (форма федерального </w:t>
      </w:r>
      <w:r>
        <w:rPr>
          <w:sz w:val="28"/>
          <w:szCs w:val="28"/>
        </w:rPr>
        <w:t xml:space="preserve">статистичского</w:t>
      </w:r>
      <w:r>
        <w:rPr>
          <w:sz w:val="28"/>
          <w:szCs w:val="28"/>
        </w:rPr>
        <w:t xml:space="preserve"> наблюдения </w:t>
      </w:r>
      <w:r>
        <w:rPr>
          <w:sz w:val="28"/>
          <w:szCs w:val="28"/>
        </w:rPr>
        <w:br/>
        <w:t xml:space="preserve">№ 1-жилфонд «Сведения о жилищном фонде» за 2022 год).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Нормативы потребления холодной воды установлены </w:t>
      </w:r>
      <w:bookmarkStart w:id="432" w:name="_Hlk166593661"/>
      <w:r>
        <w:rPr>
          <w:sz w:val="28"/>
          <w:szCs w:val="28"/>
        </w:rPr>
        <w:t xml:space="preserve">постановлением Правительства Пермского края от 17.09.2015 № 647-п «Об утверждении нормативов потребления коммунальных услуг по холодному водоснабжению, горячему водоснабжению в жилых помещениях для I группы муниципальных образований Пермского края»</w:t>
      </w:r>
      <w:bookmarkEnd w:id="432"/>
      <w:r>
        <w:rPr>
          <w:sz w:val="28"/>
          <w:szCs w:val="28"/>
        </w:rPr>
        <w:t xml:space="preserve">. Норматив расхода холодной воды приводится в кубических метрах в зависимости от степени благоустройства, наличия/отсутствия </w:t>
      </w:r>
      <w:r>
        <w:rPr>
          <w:sz w:val="28"/>
          <w:szCs w:val="28"/>
        </w:rPr>
        <w:t xml:space="preserve">централизванного</w:t>
      </w:r>
      <w:r>
        <w:rPr>
          <w:sz w:val="28"/>
          <w:szCs w:val="28"/>
        </w:rPr>
        <w:t xml:space="preserve"> горячего водоснабжения и водонагревателей.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Изменение потребления воды населением на всем прогнозном периоде связано с комплексным влиянием снижения численности населения, увеличения обеспеченности услугой водоснабжения, увеличения степени оснащенности индивидуальными приборами учета до 80 %.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Оценка об</w:t>
      </w:r>
      <w:r>
        <w:rPr>
          <w:sz w:val="28"/>
          <w:szCs w:val="28"/>
        </w:rPr>
        <w:t xml:space="preserve">ъемов потребления воды бюджетными организациями на период реализации настоящей Программы была «привязана» к численности населения. Увеличение реализации категорией «бюджетные организации» обусловлено развитием новых территорий с соответствующей застройкой.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Круг прочих потребителей в основном охватывает промышленные организации, которые используют воду на хозяйственно-бытовые и технологические нуж</w:t>
      </w:r>
      <w:r>
        <w:rPr>
          <w:sz w:val="28"/>
          <w:szCs w:val="28"/>
        </w:rPr>
        <w:t xml:space="preserve">ды, и котельные, которые подогревают воду на нужды горячего водоснабжения. Увеличение объемов реализации категорией «прочие потребители» обусловлено следующими факторами: незначительным снижением потребления воды существующих предприятий за счет внедрения </w:t>
      </w:r>
      <w:r>
        <w:rPr>
          <w:sz w:val="28"/>
          <w:szCs w:val="28"/>
        </w:rPr>
        <w:t xml:space="preserve">водосберегающих</w:t>
      </w:r>
      <w:r>
        <w:rPr>
          <w:sz w:val="28"/>
          <w:szCs w:val="28"/>
        </w:rPr>
        <w:t xml:space="preserve"> технологий, что в свою очередь компенсирует прирост новых промышленных потребителей, и увеличением потребления воды, учитывающим перспективу ввода новых объектов.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Результаты оценки объемов потребления и годового прироста потребления холодной воды на перспективу приведены в таблице 3.10.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44"/>
        <w:jc w:val="right"/>
        <w:rPr>
          <w:b/>
          <w:bCs/>
          <w:sz w:val="28"/>
          <w:szCs w:val="28"/>
        </w:rPr>
      </w:pPr>
      <w:r/>
      <w:bookmarkStart w:id="433" w:name="_Hlk163813244"/>
      <w:r/>
      <w:bookmarkStart w:id="434" w:name="_Toc175216124"/>
      <w:r>
        <w:rPr>
          <w:b/>
          <w:bCs/>
          <w:sz w:val="28"/>
          <w:szCs w:val="28"/>
        </w:rPr>
        <w:t xml:space="preserve">Таблица 3.10</w:t>
      </w:r>
      <w:r>
        <w:rPr>
          <w:b/>
          <w:bCs/>
          <w:sz w:val="28"/>
          <w:szCs w:val="28"/>
        </w:rPr>
      </w:r>
    </w:p>
    <w:p>
      <w:pPr>
        <w:pStyle w:val="154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Прогноз </w:t>
      </w:r>
      <w:bookmarkEnd w:id="433"/>
      <w:r>
        <w:rPr>
          <w:rFonts w:asciiTheme="minorHAnsi" w:hAnsiTheme="minorHAnsi" w:cstheme="minorHAnsi"/>
          <w:b/>
          <w:bCs/>
          <w:sz w:val="28"/>
          <w:szCs w:val="28"/>
        </w:rPr>
        <w:t xml:space="preserve">потребления холодной воды</w:t>
      </w:r>
      <w:bookmarkEnd w:id="434"/>
      <w:r/>
      <w:r>
        <w:rPr>
          <w:rFonts w:asciiTheme="minorHAnsi" w:hAnsiTheme="minorHAnsi" w:cstheme="minorHAnsi"/>
          <w:b/>
          <w:bCs/>
          <w:sz w:val="28"/>
          <w:szCs w:val="28"/>
        </w:rPr>
      </w:r>
    </w:p>
    <w:p>
      <w:pPr>
        <w:pStyle w:val="154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</w:r>
      <w:r>
        <w:rPr>
          <w:rFonts w:asciiTheme="minorHAnsi" w:hAnsiTheme="minorHAnsi" w:cstheme="minorHAnsi"/>
          <w:b/>
          <w:bCs/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553"/>
        <w:gridCol w:w="1134"/>
        <w:gridCol w:w="992"/>
        <w:gridCol w:w="993"/>
        <w:gridCol w:w="992"/>
        <w:gridCol w:w="992"/>
        <w:gridCol w:w="992"/>
        <w:gridCol w:w="957"/>
      </w:tblGrid>
      <w:tr>
        <w:tblPrEx/>
        <w:trPr>
          <w:trHeight w:val="20"/>
        </w:trPr>
        <w:tc>
          <w:tcPr>
            <w:shd w:val="clear" w:color="auto" w:fill="auto"/>
            <w:tcW w:w="532" w:type="dxa"/>
            <w:vAlign w:val="center"/>
            <w:textDirection w:val="lrTb"/>
            <w:noWrap w:val="false"/>
          </w:tcPr>
          <w:p>
            <w:pPr>
              <w:ind w:left="-117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Показатели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ind w:left="-111"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Ед. изм.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57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2034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>
          <w:tblBorders>
            <w:bottom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53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553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Потребление холодной воды, всего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1"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тыс. куб. м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74 164,82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74 062,27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73 962,83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74 667,42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74 755,13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57" w:type="dxa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74 945,26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>
          <w:tblBorders>
            <w:bottom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53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553" w:type="dxa"/>
            <w:textDirection w:val="lrTb"/>
            <w:noWrap w:val="false"/>
          </w:tcPr>
          <w:p>
            <w:pPr>
              <w:ind w:left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Население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1"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куб. м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49 689,67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49 408,37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49 277,66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49 159,25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49 185,95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57" w:type="dxa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48 420,05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>
          <w:tblBorders>
            <w:bottom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53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553" w:type="dxa"/>
            <w:textDirection w:val="lrTb"/>
            <w:noWrap w:val="false"/>
          </w:tcPr>
          <w:p>
            <w:pPr>
              <w:ind w:left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1"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куб. м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3 049,83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3 183,92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3 215,19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4 038,19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4 040,38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57" w:type="dxa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3 977,47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>
          <w:tblBorders>
            <w:bottom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53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553" w:type="dxa"/>
            <w:textDirection w:val="lrTb"/>
            <w:noWrap w:val="false"/>
          </w:tcPr>
          <w:p>
            <w:pPr>
              <w:ind w:left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1"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куб. м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21 425,32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21 469,98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21 469,98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21 469,98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21 528,80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57" w:type="dxa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22 547,74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>
          <w:tblBorders>
            <w:bottom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53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553" w:type="dxa"/>
            <w:textDirection w:val="lrTb"/>
            <w:noWrap w:val="false"/>
          </w:tcPr>
          <w:p>
            <w:pPr>
              <w:ind w:right="-1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Изменение потребления холодной воды, всего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1"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куб. м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32,50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-102,55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-99,45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704,59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87,71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57" w:type="dxa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-91,56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>
          <w:tblBorders>
            <w:bottom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53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553" w:type="dxa"/>
            <w:textDirection w:val="lrTb"/>
            <w:noWrap w:val="false"/>
          </w:tcPr>
          <w:p>
            <w:pPr>
              <w:ind w:left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Население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1"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куб. м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-24,53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-281,29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-130,71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-118,41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26,70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57" w:type="dxa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-84,61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>
          <w:tblBorders>
            <w:bottom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53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553" w:type="dxa"/>
            <w:textDirection w:val="lrTb"/>
            <w:noWrap w:val="false"/>
          </w:tcPr>
          <w:p>
            <w:pPr>
              <w:ind w:left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1"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куб. м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-1,51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134,09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31,27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823,00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2,19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57" w:type="dxa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-6,95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>
          <w:tblBorders>
            <w:bottom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53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553" w:type="dxa"/>
            <w:textDirection w:val="lrTb"/>
            <w:noWrap w:val="false"/>
          </w:tcPr>
          <w:p>
            <w:pPr>
              <w:ind w:left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1"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куб. м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58,54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44,65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58,82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57" w:type="dxa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</w:tbl>
    <w:p>
      <w:pPr>
        <w:pStyle w:val="15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Результаты оценки объемов потребления и годового прироста потребления горячей воды на перспективу приведены в таблице 3.11.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44"/>
        <w:jc w:val="right"/>
        <w:rPr>
          <w:b/>
          <w:bCs/>
          <w:sz w:val="28"/>
          <w:szCs w:val="28"/>
        </w:rPr>
      </w:pPr>
      <w:r/>
      <w:bookmarkStart w:id="435" w:name="_Toc175216125"/>
      <w:r>
        <w:rPr>
          <w:b/>
          <w:bCs/>
          <w:sz w:val="28"/>
          <w:szCs w:val="28"/>
        </w:rPr>
        <w:t xml:space="preserve">Таблица 3.11</w:t>
      </w:r>
      <w:r>
        <w:rPr>
          <w:b/>
          <w:bCs/>
          <w:sz w:val="28"/>
          <w:szCs w:val="28"/>
        </w:rPr>
      </w:r>
    </w:p>
    <w:p>
      <w:pPr>
        <w:pStyle w:val="154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Прогноз потребления горячей воды</w:t>
      </w:r>
      <w:bookmarkEnd w:id="435"/>
      <w:r/>
      <w:r>
        <w:rPr>
          <w:rFonts w:asciiTheme="minorHAnsi" w:hAnsiTheme="minorHAnsi" w:cstheme="minorHAnsi"/>
          <w:b/>
          <w:bCs/>
          <w:sz w:val="28"/>
          <w:szCs w:val="28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4103"/>
        <w:gridCol w:w="1298"/>
        <w:gridCol w:w="564"/>
        <w:gridCol w:w="724"/>
        <w:gridCol w:w="724"/>
        <w:gridCol w:w="724"/>
        <w:gridCol w:w="724"/>
        <w:gridCol w:w="722"/>
      </w:tblGrid>
      <w:tr>
        <w:tblPrEx/>
        <w:trPr>
          <w:trHeight w:val="20"/>
        </w:trPr>
        <w:tc>
          <w:tcPr>
            <w:shd w:val="clear" w:color="auto" w:fill="auto"/>
            <w:tcW w:w="554" w:type="dxa"/>
            <w:textDirection w:val="lrTb"/>
            <w:noWrap w:val="false"/>
          </w:tcPr>
          <w:p>
            <w:pPr>
              <w:ind w:left="-117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10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Показатели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98" w:type="dxa"/>
            <w:vAlign w:val="center"/>
            <w:textDirection w:val="lrTb"/>
            <w:noWrap w:val="false"/>
          </w:tcPr>
          <w:p>
            <w:pPr>
              <w:ind w:left="-111"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Ед. изм.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4" w:type="dxa"/>
            <w:vAlign w:val="center"/>
            <w:textDirection w:val="lrTb"/>
            <w:noWrap w:val="false"/>
          </w:tcPr>
          <w:p>
            <w:pPr>
              <w:ind w:left="-103" w:right="-1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724" w:type="dxa"/>
            <w:vAlign w:val="center"/>
            <w:textDirection w:val="lrTb"/>
            <w:noWrap/>
          </w:tcPr>
          <w:p>
            <w:pPr>
              <w:ind w:left="-103" w:right="-1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724" w:type="dxa"/>
            <w:vAlign w:val="center"/>
            <w:textDirection w:val="lrTb"/>
            <w:noWrap/>
          </w:tcPr>
          <w:p>
            <w:pPr>
              <w:ind w:left="-103" w:right="-1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724" w:type="dxa"/>
            <w:vAlign w:val="center"/>
            <w:textDirection w:val="lrTb"/>
            <w:noWrap/>
          </w:tcPr>
          <w:p>
            <w:pPr>
              <w:ind w:left="-103" w:right="-1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724" w:type="dxa"/>
            <w:vAlign w:val="center"/>
            <w:textDirection w:val="lrTb"/>
            <w:noWrap/>
          </w:tcPr>
          <w:p>
            <w:pPr>
              <w:ind w:left="-103" w:right="-1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722" w:type="dxa"/>
            <w:vAlign w:val="center"/>
            <w:textDirection w:val="lrTb"/>
            <w:noWrap/>
          </w:tcPr>
          <w:p>
            <w:pPr>
              <w:ind w:left="-103" w:right="-1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2034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4" w:type="dxa"/>
            <w:textDirection w:val="lrTb"/>
            <w:noWrap w:val="false"/>
          </w:tcPr>
          <w:p>
            <w:pPr>
              <w:ind w:left="-120" w:right="-10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10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Потребление горячей воды, всего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98" w:type="dxa"/>
            <w:textDirection w:val="lrTb"/>
            <w:noWrap w:val="false"/>
          </w:tcPr>
          <w:p>
            <w:pPr>
              <w:ind w:left="-111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куб. 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" w:type="dxa"/>
            <w:textDirection w:val="lrTb"/>
            <w:noWrap w:val="false"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8 998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4" w:type="dxa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8 971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4" w:type="dxa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8 948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4" w:type="dxa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8 926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4" w:type="dxa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8 907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2" w:type="dxa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8 792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4" w:type="dxa"/>
            <w:textDirection w:val="lrTb"/>
            <w:noWrap w:val="false"/>
          </w:tcPr>
          <w:p>
            <w:pPr>
              <w:ind w:left="-120" w:right="-10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103" w:type="dxa"/>
            <w:vAlign w:val="center"/>
            <w:textDirection w:val="lrTb"/>
            <w:noWrap w:val="false"/>
          </w:tcPr>
          <w:p>
            <w:pPr>
              <w:ind w:right="-1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Изменение потребления горячей воды, всего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98" w:type="dxa"/>
            <w:textDirection w:val="lrTb"/>
            <w:noWrap w:val="false"/>
          </w:tcPr>
          <w:p>
            <w:pPr>
              <w:ind w:left="-111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куб. 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" w:type="dxa"/>
            <w:textDirection w:val="lrTb"/>
            <w:noWrap w:val="false"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-29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4" w:type="dxa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-26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4" w:type="dxa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-24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4" w:type="dxa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-22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4" w:type="dxa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-20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2" w:type="dxa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-15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</w:tbl>
    <w:p>
      <w:pPr>
        <w:pStyle w:val="1544"/>
      </w:pPr>
      <w:r/>
      <w:bookmarkStart w:id="436" w:name="_Toc119578599"/>
      <w:r/>
      <w:bookmarkStart w:id="437" w:name="_Toc119947511"/>
      <w:r/>
      <w:bookmarkStart w:id="438" w:name="_Toc175216039"/>
      <w:r/>
      <w:r/>
    </w:p>
    <w:p>
      <w:pPr>
        <w:pStyle w:val="1544"/>
      </w:pPr>
      <w:r/>
      <w:r/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3.2.3 Прогноз спроса на услуги водоотведения</w:t>
      </w:r>
      <w:bookmarkEnd w:id="436"/>
      <w:r/>
      <w:bookmarkEnd w:id="437"/>
      <w:r/>
      <w:bookmarkEnd w:id="438"/>
      <w:r/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70"/>
        <w:rPr>
          <w:sz w:val="28"/>
          <w:szCs w:val="28"/>
        </w:rPr>
      </w:pPr>
      <w:r/>
      <w:bookmarkStart w:id="439" w:name="_Hlk27337060"/>
      <w:r>
        <w:rPr>
          <w:sz w:val="28"/>
          <w:szCs w:val="28"/>
        </w:rPr>
        <w:t xml:space="preserve">Объем водоотведения не является постоянной величиной и варьируется в зависимости от численности населения, времени года и ряда других показателей.</w:t>
      </w:r>
      <w:bookmarkEnd w:id="439"/>
      <w:r/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Общая площадь жилищного фонда, оборудованного канализацией, составила в 2022 году 97 %, в том числе централизованной канализацией – 93,5 %, согласно данным </w:t>
      </w:r>
      <w:r>
        <w:rPr>
          <w:sz w:val="28"/>
          <w:szCs w:val="28"/>
        </w:rPr>
        <w:t xml:space="preserve">Пермьстата</w:t>
      </w:r>
      <w:r>
        <w:rPr>
          <w:sz w:val="28"/>
          <w:szCs w:val="28"/>
        </w:rPr>
        <w:t xml:space="preserve"> (форма федерального </w:t>
      </w:r>
      <w:r>
        <w:rPr>
          <w:sz w:val="28"/>
          <w:szCs w:val="28"/>
        </w:rPr>
        <w:t xml:space="preserve">статистичского</w:t>
      </w:r>
      <w:r>
        <w:rPr>
          <w:sz w:val="28"/>
          <w:szCs w:val="28"/>
        </w:rPr>
        <w:t xml:space="preserve"> наблюдения № 1-жилфонд «Сведения о жилищном фонде» за 2022 год).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Нормативы потребления коммунальных услуг по водоотведению в жилых помещениях определяются исходя из суммы нормативов потребления коммунальных услуг по холодному и горячему водоснабжению в жилых помещениях с учетом степени благоустройства жилищного фонда.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бъемы отведения стоков на период реализации настоящей Программы были «привязаны» к объемам водопотребления и изменялись по категориям потребителей с учетом факторов, указанных в подразделе 3.2.2 «Прогноз спроса на услуги водоснабжения» настоящей Программы.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Результаты оценки объемов потребления и годового прироста потребления коммунальных услуг по водоотведению на перспективу приведены в таблице 3.12.</w:t>
      </w:r>
      <w:r>
        <w:rPr>
          <w:sz w:val="28"/>
          <w:szCs w:val="28"/>
        </w:rPr>
      </w:r>
    </w:p>
    <w:p>
      <w:pPr>
        <w:pStyle w:val="1570"/>
        <w:rPr>
          <w:caps/>
          <w:sz w:val="28"/>
          <w:szCs w:val="28"/>
        </w:rPr>
      </w:pPr>
      <w:r>
        <w:rPr>
          <w:caps/>
          <w:sz w:val="28"/>
          <w:szCs w:val="28"/>
        </w:rPr>
      </w:r>
      <w:r>
        <w:rPr>
          <w:caps/>
          <w:sz w:val="28"/>
          <w:szCs w:val="28"/>
        </w:rPr>
      </w:r>
    </w:p>
    <w:p>
      <w:pPr>
        <w:pStyle w:val="1544"/>
        <w:jc w:val="right"/>
        <w:rPr>
          <w:b/>
          <w:bCs/>
          <w:sz w:val="28"/>
          <w:szCs w:val="28"/>
        </w:rPr>
      </w:pPr>
      <w:r/>
      <w:bookmarkStart w:id="440" w:name="_Toc175216126"/>
      <w:r>
        <w:rPr>
          <w:b/>
          <w:bCs/>
          <w:sz w:val="28"/>
          <w:szCs w:val="28"/>
        </w:rPr>
        <w:t xml:space="preserve">Таблица 3.12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Прогноз потребления коммунальных услуг по водоотведению</w:t>
      </w:r>
      <w:bookmarkEnd w:id="440"/>
      <w:r/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527"/>
        <w:gridCol w:w="1134"/>
        <w:gridCol w:w="992"/>
        <w:gridCol w:w="993"/>
        <w:gridCol w:w="992"/>
        <w:gridCol w:w="992"/>
        <w:gridCol w:w="992"/>
        <w:gridCol w:w="957"/>
      </w:tblGrid>
      <w:tr>
        <w:tblPrEx/>
        <w:trPr>
          <w:trHeight w:val="20"/>
          <w:tblHeader/>
        </w:trPr>
        <w:tc>
          <w:tcPr>
            <w:shd w:val="clear" w:color="auto" w:fill="auto"/>
            <w:tcW w:w="558" w:type="dxa"/>
            <w:vAlign w:val="center"/>
            <w:textDirection w:val="lrTb"/>
            <w:noWrap w:val="false"/>
          </w:tcPr>
          <w:p>
            <w:pPr>
              <w:ind w:left="-117" w:right="-10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№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25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Показатели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ind w:left="-94" w:right="-11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Ед. изм.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2024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2025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2026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2027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2028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57" w:type="dxa"/>
            <w:vAlign w:val="center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2034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2527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Водоотведение, всего: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0" w:right="-10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тыс.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куб. м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45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82 912,00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82 642,61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82 541,55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83 188,69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83 298,92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57" w:type="dxa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83 470,91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8" w:type="dxa"/>
            <w:textDirection w:val="lrTb"/>
            <w:noWrap w:val="false"/>
          </w:tcPr>
          <w:p>
            <w:pPr>
              <w:ind w:firstLine="2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1.1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2527" w:type="dxa"/>
            <w:textDirection w:val="lrTb"/>
            <w:noWrap w:val="false"/>
          </w:tcPr>
          <w:p>
            <w:pPr>
              <w:ind w:left="19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Население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0" w:right="-10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тыс. куб. м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45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48 849,34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48 572,79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48 444,30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48 327,87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48 354,13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57" w:type="dxa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47 601,19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8" w:type="dxa"/>
            <w:textDirection w:val="lrTb"/>
            <w:noWrap w:val="false"/>
          </w:tcPr>
          <w:p>
            <w:pPr>
              <w:ind w:firstLine="2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1.2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2527" w:type="dxa"/>
            <w:textDirection w:val="lrTb"/>
            <w:noWrap w:val="false"/>
          </w:tcPr>
          <w:p>
            <w:pPr>
              <w:ind w:left="19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Бюджет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0" w:right="-10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тыс. куб. м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45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3 423,68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3 420,69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3 448,13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4 211,71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4 211,71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57" w:type="dxa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4 146,12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8" w:type="dxa"/>
            <w:textDirection w:val="lrTb"/>
            <w:noWrap w:val="false"/>
          </w:tcPr>
          <w:p>
            <w:pPr>
              <w:ind w:firstLine="2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1.3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2527" w:type="dxa"/>
            <w:textDirection w:val="lrTb"/>
            <w:noWrap w:val="false"/>
          </w:tcPr>
          <w:p>
            <w:pPr>
              <w:ind w:left="19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Прочие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0" w:right="-10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куб. м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45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30 638,99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30 649,12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30 649,12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30 649,12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30 733,09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57" w:type="dxa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31 723,60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2527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Изменение объемов водоотведения, всего: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0" w:right="-10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куб. м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45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57,93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-269,40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-101,05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647,14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110,23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-90,41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2.1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2527" w:type="dxa"/>
            <w:textDirection w:val="lrTb"/>
            <w:noWrap w:val="false"/>
          </w:tcPr>
          <w:p>
            <w:pPr>
              <w:ind w:left="19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Население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0" w:right="-10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куб. м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45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-24,10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-276,54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-128,49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-116,43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26,26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-83,17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2.2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2527" w:type="dxa"/>
            <w:textDirection w:val="lrTb"/>
            <w:noWrap w:val="false"/>
          </w:tcPr>
          <w:p>
            <w:pPr>
              <w:ind w:left="19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Бюджет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0" w:right="-10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куб. м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45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-1,69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-2,99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27,44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763,57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-7,24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2.3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2527" w:type="dxa"/>
            <w:textDirection w:val="lrTb"/>
            <w:noWrap w:val="false"/>
          </w:tcPr>
          <w:p>
            <w:pPr>
              <w:ind w:left="19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Прочие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10" w:right="-10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куб. м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45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83,71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10,13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83,97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</w:tbl>
    <w:p>
      <w:pPr>
        <w:pStyle w:val="1544"/>
        <w:rPr>
          <w:sz w:val="28"/>
          <w:szCs w:val="28"/>
        </w:rPr>
      </w:pPr>
      <w:r/>
      <w:bookmarkStart w:id="441" w:name="_Toc119600473"/>
      <w:r/>
      <w:bookmarkStart w:id="442" w:name="_Toc119947512"/>
      <w:r/>
      <w:bookmarkStart w:id="443" w:name="_Toc175216040"/>
      <w:r/>
      <w:r>
        <w:rPr>
          <w:sz w:val="28"/>
          <w:szCs w:val="28"/>
        </w:rPr>
      </w:r>
    </w:p>
    <w:p>
      <w:pPr>
        <w:pStyle w:val="1544"/>
        <w:keepLines/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3.2.4 Прогноз спроса на услуги электроснабжения</w:t>
      </w:r>
      <w:bookmarkEnd w:id="441"/>
      <w:r/>
      <w:bookmarkEnd w:id="442"/>
      <w:r/>
      <w:bookmarkEnd w:id="443"/>
      <w:r/>
      <w:r>
        <w:rPr>
          <w:b/>
          <w:bCs/>
          <w:sz w:val="28"/>
          <w:szCs w:val="28"/>
        </w:rPr>
      </w:r>
    </w:p>
    <w:p>
      <w:pPr>
        <w:pStyle w:val="1544"/>
        <w:keepLines/>
        <w:keepNext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В процессе работы над оценкой перспективы спроса на электрическую энергию со стороны населения были оценены на предмет возможности использования: 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действующие местные нормативы потребления, утвержденные </w:t>
      </w:r>
      <w:bookmarkStart w:id="444" w:name="_Hlk166593682"/>
      <w:r>
        <w:rPr>
          <w:sz w:val="28"/>
          <w:szCs w:val="28"/>
        </w:rPr>
        <w:t xml:space="preserve">постановлением Правительства Пермского края от 22.08.2012</w:t>
      </w:r>
      <w:bookmarkEnd w:id="444"/>
      <w:r>
        <w:rPr>
          <w:sz w:val="28"/>
          <w:szCs w:val="28"/>
        </w:rPr>
        <w:t xml:space="preserve"> № 699-п;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региональные нормативы градостроительного проектирования, утвержденные </w:t>
      </w:r>
      <w:bookmarkStart w:id="445" w:name="_Hlk166593690"/>
      <w:r>
        <w:rPr>
          <w:sz w:val="28"/>
          <w:szCs w:val="28"/>
        </w:rPr>
        <w:t xml:space="preserve">приказом Министерства по управлению имуществом и градостроительной деятельности Пермского края от 18.03.2021 № 31-02-1-4-357</w:t>
      </w:r>
      <w:bookmarkEnd w:id="445"/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В обоих случаях анализ показал, что предложенные в документах значения заметно выше фактических показателей и для определения достоверного перспективного спроса непригодны.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Объем потребления электрической энергии не является постоянной величиной и варьируется в зависимости от численности населения, времени года, площади подключенных объектов, обеспеченности электробытовыми приборами, </w:t>
      </w:r>
      <w:r>
        <w:rPr>
          <w:sz w:val="28"/>
          <w:szCs w:val="28"/>
        </w:rPr>
        <w:t xml:space="preserve">электровооруженности</w:t>
      </w:r>
      <w:r>
        <w:rPr>
          <w:sz w:val="28"/>
          <w:szCs w:val="28"/>
        </w:rPr>
        <w:t xml:space="preserve"> труда и ряда других показателей.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Оценка объемов потребления электрической энергии котельными учитывала фактор энергосбережения и прирост производства тепловой энергии.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Оценка объемов потребления электрической энергии населением зависит от большого количества факторов: площадь объектов; доля нас</w:t>
      </w:r>
      <w:r>
        <w:rPr>
          <w:sz w:val="28"/>
          <w:szCs w:val="28"/>
        </w:rPr>
        <w:t xml:space="preserve">еления, охваченного услугой электроснабжения; доля домохозяйств с приборами учета; автономное энергосбережение; эластичность спроса по доходу, цене и ряда других. Совокупное влияние этих факторов находит отражение в показателе «удельный расход электрическо</w:t>
      </w:r>
      <w:r>
        <w:rPr>
          <w:sz w:val="28"/>
          <w:szCs w:val="28"/>
        </w:rPr>
        <w:t xml:space="preserve">й энергии на 1 кв. м». Его значение имеет устойчивую тенденцию к снижению, что характерно не только для городского округа, но для Пермского края в частности и России в целом. За рассматриваемый период времени значение показателя сократилось с 55,1 до 53,4 </w:t>
      </w:r>
      <w:r>
        <w:rPr>
          <w:sz w:val="28"/>
          <w:szCs w:val="28"/>
        </w:rPr>
        <w:t xml:space="preserve">кВт·ч</w:t>
      </w:r>
      <w:r>
        <w:rPr>
          <w:sz w:val="28"/>
          <w:szCs w:val="28"/>
        </w:rPr>
        <w:t xml:space="preserve">/куб. м в год. В дальнейшем при определении перспективного спроса предполагается </w:t>
      </w:r>
      <w:r>
        <w:rPr>
          <w:sz w:val="28"/>
          <w:szCs w:val="28"/>
        </w:rPr>
        <w:t xml:space="preserve">сокращение показателя на 1 % в год. Аналогичное предположение сделано в отношении общественно-деловой застройки.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Значение объемов потребления электрической энергии на перспективу прочими потребителями определялось с помощью индекса по виду экономич</w:t>
      </w:r>
      <w:r>
        <w:rPr>
          <w:sz w:val="28"/>
          <w:szCs w:val="28"/>
        </w:rPr>
        <w:t xml:space="preserve">еской деятельности «обеспечение электрической энергией, газом и паром, кондиционирование воздуха» долгосрочного прогноза социально-экономического развития Министерства экономического развития Российской Федерации с коррекцией на автономное энергосбережение</w:t>
      </w:r>
      <w:r>
        <w:rPr>
          <w:sz w:val="28"/>
          <w:szCs w:val="28"/>
          <w:vertAlign w:val="superscript"/>
        </w:rPr>
        <w:footnoteReference w:id="6"/>
      </w:r>
      <w:r>
        <w:rPr>
          <w:sz w:val="28"/>
          <w:szCs w:val="28"/>
        </w:rPr>
        <w:t xml:space="preserve">. По сути, данный показатель определяет загруженность существующих производственных мощностей.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Перспективный спрос на электрическую энергию представлен в таблице 3.13.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44"/>
        <w:jc w:val="right"/>
        <w:rPr>
          <w:b/>
          <w:bCs/>
          <w:sz w:val="28"/>
          <w:szCs w:val="28"/>
        </w:rPr>
      </w:pPr>
      <w:r/>
      <w:bookmarkStart w:id="446" w:name="_Toc175216127"/>
      <w:r>
        <w:rPr>
          <w:b/>
          <w:bCs/>
          <w:sz w:val="28"/>
          <w:szCs w:val="28"/>
        </w:rPr>
        <w:t xml:space="preserve">Таблица 3.13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Перспективный спрос на электроэнергию</w:t>
      </w:r>
      <w:bookmarkEnd w:id="446"/>
      <w:r/>
      <w:r>
        <w:rPr>
          <w:b/>
          <w:bCs/>
          <w:sz w:val="28"/>
          <w:szCs w:val="28"/>
        </w:rPr>
      </w:r>
    </w:p>
    <w:p>
      <w:pPr>
        <w:pStyle w:val="15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4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млн </w:t>
      </w:r>
      <w:r>
        <w:rPr>
          <w:sz w:val="28"/>
          <w:szCs w:val="28"/>
        </w:rPr>
        <w:t xml:space="preserve">кВт‧ч</w:t>
      </w:r>
      <w:r>
        <w:rPr>
          <w:sz w:val="28"/>
          <w:szCs w:val="28"/>
        </w:rPr>
      </w:r>
    </w:p>
    <w:tbl>
      <w:tblPr>
        <w:tblStyle w:val="988"/>
        <w:tblW w:w="0" w:type="auto"/>
        <w:tblLayout w:type="fixed"/>
        <w:tblLook w:val="04A0" w:firstRow="1" w:lastRow="0" w:firstColumn="1" w:lastColumn="0" w:noHBand="0" w:noVBand="1"/>
      </w:tblPr>
      <w:tblGrid>
        <w:gridCol w:w="4056"/>
        <w:gridCol w:w="1015"/>
        <w:gridCol w:w="1016"/>
        <w:gridCol w:w="1014"/>
        <w:gridCol w:w="1014"/>
        <w:gridCol w:w="1014"/>
        <w:gridCol w:w="1008"/>
      </w:tblGrid>
      <w:tr>
        <w:tblPrEx/>
        <w:trPr>
          <w:trHeight w:val="20"/>
          <w:tblHeader/>
        </w:trPr>
        <w:tc>
          <w:tcPr>
            <w:shd w:val="clear" w:color="auto" w:fill="auto"/>
            <w:tcW w:w="40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/>
            <w:bookmarkStart w:id="447" w:name="_Hlk63959282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Показатели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2024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0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2025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2026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2027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2028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0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2034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988"/>
        <w:tblW w:w="0" w:type="auto"/>
        <w:tblLayout w:type="fixed"/>
        <w:tblLook w:val="04A0" w:firstRow="1" w:lastRow="0" w:firstColumn="1" w:lastColumn="0" w:noHBand="0" w:noVBand="1"/>
      </w:tblPr>
      <w:tblGrid>
        <w:gridCol w:w="4056"/>
        <w:gridCol w:w="1015"/>
        <w:gridCol w:w="1016"/>
        <w:gridCol w:w="1014"/>
        <w:gridCol w:w="1014"/>
        <w:gridCol w:w="1014"/>
        <w:gridCol w:w="1008"/>
      </w:tblGrid>
      <w:tr>
        <w:tblPrEx/>
        <w:trPr>
          <w:trHeight w:val="20"/>
          <w:tblHeader/>
        </w:trPr>
        <w:tc>
          <w:tcPr>
            <w:shd w:val="clear" w:color="auto" w:fill="auto"/>
            <w:tcW w:w="40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0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0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7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056" w:type="dxa"/>
            <w:vAlign w:val="center"/>
            <w:textDirection w:val="lrTb"/>
            <w:noWrap w:val="false"/>
          </w:tcPr>
          <w:p>
            <w:pPr>
              <w:ind w:firstLine="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Отпуск в сеть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1015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9 348,5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1016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9 487,4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1014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9 693,6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1014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9 878,9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1014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10 055,3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1008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11 045,0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056" w:type="dxa"/>
            <w:vAlign w:val="center"/>
            <w:textDirection w:val="lrTb"/>
            <w:noWrap w:val="false"/>
          </w:tcPr>
          <w:p>
            <w:pPr>
              <w:ind w:firstLine="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Потери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1015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-1 125,8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1016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-1 138,4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1014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-1 157,2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1014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-1 173,0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1014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-1 187,5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1008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-1 260,7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056" w:type="dxa"/>
            <w:vAlign w:val="center"/>
            <w:textDirection w:val="lrTb"/>
            <w:noWrap w:val="false"/>
          </w:tcPr>
          <w:p>
            <w:pPr>
              <w:ind w:left="31" w:firstLine="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Преобразование топлива, в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т.ч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.: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1015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-410,9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1016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-394,6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1014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-393,3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1014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-392,8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1014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-392,4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1008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-383,6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056" w:type="dxa"/>
            <w:vAlign w:val="center"/>
            <w:textDirection w:val="lrTb"/>
            <w:noWrap w:val="false"/>
          </w:tcPr>
          <w:p>
            <w:pPr>
              <w:ind w:left="17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котельные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1015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-410,9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1016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-394,6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1014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-393,3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1014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-392,8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1014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-392,4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1008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-383,6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056" w:type="dxa"/>
            <w:vAlign w:val="center"/>
            <w:textDirection w:val="lrTb"/>
            <w:noWrap w:val="false"/>
          </w:tcPr>
          <w:p>
            <w:pPr>
              <w:ind w:left="34" w:hanging="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Полезный отпуск, в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т.ч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.: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1015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7 811,9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1016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7 954,4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1014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8 143,1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1014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8 313,1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1014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8 475,4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1008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9 400,6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056" w:type="dxa"/>
            <w:vAlign w:val="center"/>
            <w:textDirection w:val="lrTb"/>
            <w:noWrap w:val="false"/>
          </w:tcPr>
          <w:p>
            <w:pPr>
              <w:ind w:left="17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население, из него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1015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1 512,1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1016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1 551,2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1014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1 581,8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1014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1 603,5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1014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1 620,4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1008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1 665,2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056" w:type="dxa"/>
            <w:vAlign w:val="center"/>
            <w:textDirection w:val="lrTb"/>
            <w:noWrap w:val="false"/>
          </w:tcPr>
          <w:p>
            <w:pPr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МКД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1015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1 255,7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1016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1 296,7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1014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1 329,0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1014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1 352,7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1014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1 370,4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1008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1 417,1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056" w:type="dxa"/>
            <w:vAlign w:val="center"/>
            <w:textDirection w:val="lrTb"/>
            <w:noWrap w:val="false"/>
          </w:tcPr>
          <w:p>
            <w:pPr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ИОЗ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1015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256,4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1016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254,5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1014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252,8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1014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250,8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1014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250,0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1008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248,1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056" w:type="dxa"/>
            <w:vAlign w:val="center"/>
            <w:textDirection w:val="lrTb"/>
            <w:noWrap w:val="false"/>
          </w:tcPr>
          <w:p>
            <w:pPr>
              <w:ind w:left="17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бюджетные организации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1015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259,2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016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266,0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014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271,2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014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274,9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014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277,8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008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285,5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056" w:type="dxa"/>
            <w:vAlign w:val="center"/>
            <w:textDirection w:val="lrTb"/>
            <w:noWrap w:val="false"/>
          </w:tcPr>
          <w:p>
            <w:pPr>
              <w:ind w:left="17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прочие потребители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1015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6 040,6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016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6 137,2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014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6 290,0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014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6 434,7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014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6 577,2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1008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7 449,9</w:t>
            </w:r>
            <w:bookmarkEnd w:id="447"/>
            <w:r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</w:p>
        </w:tc>
      </w:tr>
    </w:tbl>
    <w:p>
      <w:pPr>
        <w:pStyle w:val="1570"/>
        <w:ind w:firstLine="0"/>
        <w:rPr>
          <w:i/>
          <w:iCs w:val="0"/>
          <w:sz w:val="28"/>
          <w:szCs w:val="28"/>
        </w:rPr>
      </w:pPr>
      <w:r>
        <w:rPr>
          <w:i/>
          <w:iCs w:val="0"/>
          <w:sz w:val="28"/>
          <w:szCs w:val="28"/>
        </w:rPr>
      </w:r>
      <w:r>
        <w:rPr>
          <w:i/>
          <w:iCs w:val="0"/>
          <w:sz w:val="28"/>
          <w:szCs w:val="28"/>
        </w:rPr>
      </w:r>
    </w:p>
    <w:p>
      <w:pPr>
        <w:ind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---------------------------</w:t>
      </w:r>
      <w:r>
        <w:rPr>
          <w:i/>
          <w:iCs/>
          <w:sz w:val="28"/>
          <w:szCs w:val="28"/>
        </w:rPr>
      </w:r>
    </w:p>
    <w:p>
      <w:pPr>
        <w:ind w:firstLine="709"/>
        <w:jc w:val="both"/>
      </w:pPr>
      <w:r>
        <w:t xml:space="preserve">Примечание. Источники информации – оценки разработчика настоящей Программы.</w:t>
      </w:r>
      <w:r/>
    </w:p>
    <w:p>
      <w:pPr>
        <w:pStyle w:val="1544"/>
        <w:rPr>
          <w:sz w:val="28"/>
          <w:szCs w:val="28"/>
        </w:rPr>
      </w:pPr>
      <w:r/>
      <w:bookmarkStart w:id="448" w:name="_Toc119600474"/>
      <w:r/>
      <w:bookmarkStart w:id="449" w:name="_Toc119947513"/>
      <w:r/>
      <w:bookmarkStart w:id="450" w:name="_Toc175216041"/>
      <w:r/>
      <w:r>
        <w:rPr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3.2.5 Прогноз спроса на услуги газоснабжения</w:t>
      </w:r>
      <w:bookmarkEnd w:id="448"/>
      <w:r/>
      <w:bookmarkEnd w:id="449"/>
      <w:r/>
      <w:bookmarkEnd w:id="450"/>
      <w:r/>
      <w:r>
        <w:rPr>
          <w:b/>
          <w:bCs/>
          <w:sz w:val="28"/>
          <w:szCs w:val="28"/>
        </w:rPr>
      </w:r>
    </w:p>
    <w:p>
      <w:pPr>
        <w:pStyle w:val="154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В процессе работы над оценкой перспективы спроса на природный газ со стороны населения были оценены на предмет возможности использования действующие нормативы потребления, утвержденные </w:t>
      </w:r>
      <w:bookmarkStart w:id="451" w:name="_Hlk166593708"/>
      <w:r>
        <w:rPr>
          <w:sz w:val="28"/>
          <w:szCs w:val="28"/>
        </w:rPr>
        <w:t xml:space="preserve">постановлением Правительства Пермского края от 22.09.2006 № 42</w:t>
      </w:r>
      <w:bookmarkEnd w:id="451"/>
      <w:r>
        <w:rPr>
          <w:sz w:val="28"/>
          <w:szCs w:val="28"/>
        </w:rPr>
        <w:t xml:space="preserve">-п, и региональные нормативы градостроительного проектирования, утвержденные </w:t>
      </w:r>
      <w:bookmarkStart w:id="452" w:name="_Hlk166593716"/>
      <w:r>
        <w:rPr>
          <w:sz w:val="28"/>
          <w:szCs w:val="28"/>
        </w:rPr>
        <w:t xml:space="preserve">приказом Министерства по управлению имуществом и градостроительной деятельности Пермского края от 18.03.2021 № 31-02-1-4-357</w:t>
      </w:r>
      <w:bookmarkEnd w:id="452"/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В обоих случаях анализ показал, что предложенные в документах значения заметно выше объективных и для определения достоверного перспективного спроса непригодны.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/>
      <w:bookmarkStart w:id="453" w:name="_Hlk167288381"/>
      <w:r>
        <w:rPr>
          <w:sz w:val="28"/>
          <w:szCs w:val="28"/>
        </w:rPr>
        <w:t xml:space="preserve">Прогноз потребления природного газа был сделан на основе следующих предположений: 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для котельных и теплоэлектроцентралей были приняты оценки Схемы теплоснабжения; 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для населения были приняты оценки исходя из предположений о перспективной численности, вводимой жилой площади жилых домов, обеспеченности природным газом, оснащенности газовым оборудованием, установленных нормативов и требований к теплозащите зданий;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для бюджетных зданий были приняты оценки исходя из предположений о вводимой площади, обеспеченности природным газом, установленных требований к теплозащите зданий;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для транспорта были приняты оценки с учетом перспективы дальнейшего развития сектора в обозримом будущем (перевод транспортных средств на использование газообразного топлива); 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для прочих потребителей (в основном промышленные организации) и компаний, использующих природный газ на неэнергетические нужды, исходя из предполагаемого изменения индекса производства и запускаемых инвестиционных проектов в муниципальном образовании. </w:t>
      </w:r>
      <w:bookmarkEnd w:id="453"/>
      <w:r/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Перспективный баланс природного газа представлен в таблице 3.14.</w:t>
      </w:r>
      <w:r>
        <w:rPr>
          <w:sz w:val="28"/>
          <w:szCs w:val="28"/>
        </w:rPr>
      </w:r>
    </w:p>
    <w:p>
      <w:pPr>
        <w:pStyle w:val="1570"/>
      </w:pPr>
      <w:r/>
      <w:r/>
    </w:p>
    <w:p>
      <w:pPr>
        <w:pStyle w:val="1570"/>
      </w:pPr>
      <w:r/>
      <w:r/>
    </w:p>
    <w:p>
      <w:pPr>
        <w:pStyle w:val="1570"/>
      </w:pPr>
      <w:r/>
      <w:r/>
    </w:p>
    <w:p>
      <w:pPr>
        <w:pStyle w:val="1570"/>
      </w:pPr>
      <w:r/>
      <w:r/>
    </w:p>
    <w:p>
      <w:pPr>
        <w:pStyle w:val="1544"/>
        <w:jc w:val="right"/>
        <w:rPr>
          <w:b/>
          <w:bCs/>
          <w:sz w:val="28"/>
          <w:szCs w:val="28"/>
        </w:rPr>
      </w:pPr>
      <w:r/>
      <w:bookmarkStart w:id="454" w:name="_Toc175216128"/>
      <w:r>
        <w:rPr>
          <w:b/>
          <w:bCs/>
          <w:sz w:val="28"/>
          <w:szCs w:val="28"/>
        </w:rPr>
        <w:t xml:space="preserve">Таблица </w:t>
      </w:r>
      <w:bookmarkStart w:id="455" w:name="_Hlk163810701"/>
      <w:r>
        <w:rPr>
          <w:b/>
          <w:bCs/>
          <w:sz w:val="28"/>
          <w:szCs w:val="28"/>
        </w:rPr>
        <w:t xml:space="preserve">3.14 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Перспективный баланс природного газа</w:t>
      </w:r>
      <w:bookmarkEnd w:id="454"/>
      <w:r/>
      <w:bookmarkEnd w:id="455"/>
      <w:r/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4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млн куб. м</w:t>
      </w:r>
      <w:r>
        <w:rPr>
          <w:sz w:val="28"/>
          <w:szCs w:val="28"/>
        </w:rPr>
      </w:r>
    </w:p>
    <w:tbl>
      <w:tblPr>
        <w:tblStyle w:val="988"/>
        <w:tblW w:w="5000" w:type="pct"/>
        <w:tblLook w:val="04A0" w:firstRow="1" w:lastRow="0" w:firstColumn="1" w:lastColumn="0" w:noHBand="0" w:noVBand="1"/>
      </w:tblPr>
      <w:tblGrid>
        <w:gridCol w:w="3371"/>
        <w:gridCol w:w="1135"/>
        <w:gridCol w:w="1133"/>
        <w:gridCol w:w="1135"/>
        <w:gridCol w:w="1133"/>
        <w:gridCol w:w="1133"/>
        <w:gridCol w:w="1097"/>
      </w:tblGrid>
      <w:tr>
        <w:tblPrEx/>
        <w:trPr>
          <w:trHeight w:val="20"/>
          <w:tblHeader/>
        </w:trPr>
        <w:tc>
          <w:tcPr>
            <w:shd w:val="clear" w:color="auto" w:fill="auto"/>
            <w:tcW w:w="166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Показатели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4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2034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662" w:type="pct"/>
            <w:vAlign w:val="center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Отпуск в сеть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14 084,3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13 953,4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13 962,2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14 152,2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14 327,4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42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15 355,3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662" w:type="pct"/>
            <w:vAlign w:val="center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Потери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-58,3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-58,1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-58,1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-58,9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-59,6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4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-64,3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662" w:type="pct"/>
            <w:vAlign w:val="center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Преобразование топлива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-2 352,1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-2 281,8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-2 297,4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-2 317,5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-2 338,9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42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-2 428,5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662" w:type="pct"/>
            <w:vAlign w:val="center"/>
            <w:textDirection w:val="lrTb"/>
            <w:noWrap w:val="false"/>
          </w:tcPr>
          <w:p>
            <w:pPr>
              <w:ind w:firstLine="17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котельные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-1 050,3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-1 059,0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-1 070,0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-1 076,7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-1 085,9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4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-1 116,0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662" w:type="pct"/>
            <w:vAlign w:val="center"/>
            <w:textDirection w:val="lrTb"/>
            <w:noWrap w:val="false"/>
          </w:tcPr>
          <w:p>
            <w:pPr>
              <w:ind w:firstLine="17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ТЭЦ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-1 301,8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-1 222,8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-1 227,4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-1 240,8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-1 253,0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4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-1 312,5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662" w:type="pct"/>
            <w:vAlign w:val="center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Полезный отпуск, в </w:t>
            </w:r>
            <w:r>
              <w:rPr>
                <w:bCs/>
                <w:sz w:val="20"/>
                <w:szCs w:val="20"/>
              </w:rPr>
              <w:t xml:space="preserve">т.ч</w:t>
            </w:r>
            <w:r>
              <w:rPr>
                <w:bCs/>
                <w:sz w:val="20"/>
                <w:szCs w:val="20"/>
              </w:rPr>
              <w:t xml:space="preserve">.: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11 673,9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11 613,5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11 606,7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11 775,8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11 928,9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42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12 862,5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662" w:type="pct"/>
            <w:vAlign w:val="center"/>
            <w:textDirection w:val="lrTb"/>
            <w:noWrap w:val="false"/>
          </w:tcPr>
          <w:p>
            <w:pPr>
              <w:ind w:left="171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население, из него: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569,3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582,2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593,6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602,8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611,8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4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656,6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7"/>
            <w:shd w:val="clear" w:color="auto" w:fill="auto"/>
            <w:tcW w:w="5000" w:type="pct"/>
            <w:vAlign w:val="center"/>
            <w:textDirection w:val="lrTb"/>
            <w:noWrap w:val="false"/>
          </w:tcPr>
          <w:p>
            <w:pPr>
              <w:ind w:firstLine="31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 целям:</w:t>
            </w:r>
            <w:r>
              <w:rPr>
                <w:i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662" w:type="pct"/>
            <w:vAlign w:val="center"/>
            <w:textDirection w:val="lrTb"/>
            <w:noWrap w:val="false"/>
          </w:tcPr>
          <w:p>
            <w:pPr>
              <w:ind w:left="317" w:firstLine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отопление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475,8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491,2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504,8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516,2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527,2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4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582,8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662" w:type="pct"/>
            <w:vAlign w:val="center"/>
            <w:textDirection w:val="lrTb"/>
            <w:noWrap w:val="false"/>
          </w:tcPr>
          <w:p>
            <w:pPr>
              <w:ind w:left="317" w:firstLine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горячая вода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4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2,7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662" w:type="pct"/>
            <w:vAlign w:val="center"/>
            <w:textDirection w:val="lrTb"/>
            <w:noWrap w:val="false"/>
          </w:tcPr>
          <w:p>
            <w:pPr>
              <w:ind w:left="317" w:firstLine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пищеприготовление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90,5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88,1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85,8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83,7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81,7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4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71,1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7"/>
            <w:shd w:val="clear" w:color="auto" w:fill="auto"/>
            <w:tcW w:w="5000" w:type="pct"/>
            <w:vAlign w:val="center"/>
            <w:textDirection w:val="lrTb"/>
            <w:noWrap w:val="false"/>
          </w:tcPr>
          <w:p>
            <w:pPr>
              <w:ind w:firstLine="31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 типам зданий:</w:t>
            </w:r>
            <w:r>
              <w:rPr>
                <w:i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662" w:type="pct"/>
            <w:vAlign w:val="center"/>
            <w:textDirection w:val="lrTb"/>
            <w:noWrap w:val="false"/>
          </w:tcPr>
          <w:p>
            <w:pPr>
              <w:ind w:left="315" w:firstLine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МКД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69,7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66,7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63,9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61,3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58,9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4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46,7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662" w:type="pct"/>
            <w:vAlign w:val="center"/>
            <w:textDirection w:val="lrTb"/>
            <w:noWrap w:val="false"/>
          </w:tcPr>
          <w:p>
            <w:pPr>
              <w:ind w:left="315" w:firstLine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ИОЗ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499,6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515,5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529,7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541,5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552,9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4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609,9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662" w:type="pct"/>
            <w:vAlign w:val="center"/>
            <w:textDirection w:val="lrTb"/>
            <w:noWrap w:val="false"/>
          </w:tcPr>
          <w:p>
            <w:pPr>
              <w:ind w:left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организации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22,9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23,0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23,4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23,8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24,1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4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26,0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662" w:type="pct"/>
            <w:vAlign w:val="center"/>
            <w:textDirection w:val="lrTb"/>
            <w:noWrap w:val="false"/>
          </w:tcPr>
          <w:p>
            <w:pPr>
              <w:ind w:left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68,6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73,0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77,4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81,7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86,1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4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112,4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662" w:type="pct"/>
            <w:vAlign w:val="center"/>
            <w:textDirection w:val="lrTb"/>
            <w:noWrap w:val="false"/>
          </w:tcPr>
          <w:p>
            <w:pPr>
              <w:ind w:left="171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потребители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9 500,2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9 452,8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9 415,0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9 555,2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9 679,4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4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10 347,3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662" w:type="pct"/>
            <w:vAlign w:val="center"/>
            <w:textDirection w:val="lrTb"/>
            <w:noWrap w:val="false"/>
          </w:tcPr>
          <w:p>
            <w:pPr>
              <w:ind w:left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неэнергетические нужды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1 512,9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1 482,5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1 497,3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1 512,3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1 527,5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4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1 720,2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1570"/>
        <w:rPr>
          <w:i/>
          <w:iCs w:val="0"/>
          <w:sz w:val="28"/>
          <w:szCs w:val="28"/>
        </w:rPr>
      </w:pPr>
      <w:r>
        <w:rPr>
          <w:i/>
          <w:iCs w:val="0"/>
          <w:sz w:val="28"/>
          <w:szCs w:val="28"/>
        </w:rPr>
      </w:r>
      <w:r>
        <w:rPr>
          <w:i/>
          <w:iCs w:val="0"/>
          <w:sz w:val="28"/>
          <w:szCs w:val="28"/>
        </w:rPr>
      </w:r>
    </w:p>
    <w:p>
      <w:pPr>
        <w:ind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---------------------------</w:t>
      </w:r>
      <w:r>
        <w:rPr>
          <w:i/>
          <w:iCs/>
          <w:sz w:val="28"/>
          <w:szCs w:val="28"/>
        </w:rPr>
      </w:r>
    </w:p>
    <w:p>
      <w:pPr>
        <w:ind w:firstLine="709"/>
        <w:jc w:val="both"/>
      </w:pPr>
      <w:r>
        <w:t xml:space="preserve">Примечание. Источники информации – оценки разработчика настоящей Программы.</w:t>
      </w:r>
      <w:r/>
    </w:p>
    <w:p>
      <w:pPr>
        <w:pStyle w:val="1570"/>
      </w:pPr>
      <w:r/>
      <w:bookmarkStart w:id="456" w:name="_Toc119600475"/>
      <w:r/>
      <w:bookmarkStart w:id="457" w:name="_Toc119947514"/>
      <w:r/>
      <w:bookmarkStart w:id="458" w:name="_Toc175216042"/>
      <w:r/>
      <w:r/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3.2.6 Прогноз спроса на услуги системы обращения с ТКО</w:t>
      </w:r>
      <w:bookmarkEnd w:id="456"/>
      <w:r/>
      <w:bookmarkEnd w:id="457"/>
      <w:r/>
      <w:bookmarkEnd w:id="458"/>
      <w:r/>
      <w:r>
        <w:rPr>
          <w:b/>
          <w:bCs/>
          <w:sz w:val="28"/>
          <w:szCs w:val="28"/>
        </w:rPr>
      </w:r>
    </w:p>
    <w:p>
      <w:pPr>
        <w:pStyle w:val="1570"/>
      </w:pPr>
      <w:r/>
      <w:r/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Объемы образованных твердых коммунальных отходов у жителей не являются постоянной величиной и варьируются, главным образом, в зависимости </w:t>
      </w:r>
      <w:r>
        <w:rPr>
          <w:sz w:val="28"/>
          <w:szCs w:val="28"/>
        </w:rPr>
        <w:t xml:space="preserve">от численности населения, охваченного услугой, увеличения денежных доходов и повышения уровня благосостояния. Поскольку региональным оператором не ведется статистика по объему накопления ТКО в разрезе потребителей, вследствие чего сделать достоверные вывод</w:t>
      </w:r>
      <w:r>
        <w:rPr>
          <w:sz w:val="28"/>
          <w:szCs w:val="28"/>
        </w:rPr>
        <w:t xml:space="preserve">ы об изменении удельного показателя в рассматриваемый период не представляется возможным, то перспективные объемы определялись исходя из предпосылки о неизменности нормы накопления в период реализации настоящей Программы и прогнозной численности населения.</w:t>
      </w:r>
      <w:r>
        <w:rPr>
          <w:sz w:val="28"/>
          <w:szCs w:val="28"/>
        </w:rPr>
      </w:r>
    </w:p>
    <w:p>
      <w:pPr>
        <w:pStyle w:val="1570"/>
        <w:keepLines/>
        <w:keepNext/>
        <w:rPr>
          <w:sz w:val="28"/>
          <w:szCs w:val="28"/>
        </w:rPr>
      </w:pPr>
      <w:r>
        <w:rPr>
          <w:sz w:val="28"/>
          <w:szCs w:val="28"/>
        </w:rPr>
        <w:t xml:space="preserve">Объем образованных твердых коммунальных отходов для прочих потребителей определялся на основании следующих предпосылок: 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в зависимости от динамики индекса производства для вида экономической деятельности «водоснабжение; водоотведение; организация сбора и утилиза</w:t>
      </w:r>
      <w:r>
        <w:rPr>
          <w:sz w:val="28"/>
          <w:szCs w:val="28"/>
        </w:rPr>
        <w:t xml:space="preserve">ции отходов, деятельность по ликвидации загрязнений», значения которого зафиксированы в краткосрочном (до 2026 года) и долгосрочном прогнозах социально-экономического развития Российской Федерации Министерства экономического развития Российской Федерации; 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прирост ТКО для общественно-деловых зданий исходя из принятой средней оценки удельного накопления (4 кг/кв. м занимаемой площади) и предполагаемого прироста площадей.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/>
      <w:bookmarkStart w:id="459" w:name="_Ref159682936"/>
      <w:r>
        <w:rPr>
          <w:sz w:val="28"/>
          <w:szCs w:val="28"/>
        </w:rPr>
        <w:t xml:space="preserve">Накопленные на территории муниципального образования твердые коммунальные отходы в период действия настоящей Программы будут в полном объеме вывозиться за его пределы. </w:t>
      </w:r>
      <w:bookmarkEnd w:id="459"/>
      <w:r/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Перспективные объемы накопленных ТКО представлены в таблице 3.15.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44"/>
        <w:jc w:val="right"/>
        <w:rPr>
          <w:b/>
          <w:bCs/>
          <w:sz w:val="28"/>
          <w:szCs w:val="28"/>
        </w:rPr>
      </w:pPr>
      <w:r/>
      <w:bookmarkStart w:id="460" w:name="_Toc175216129"/>
      <w:r>
        <w:rPr>
          <w:b/>
          <w:bCs/>
          <w:sz w:val="28"/>
          <w:szCs w:val="28"/>
        </w:rPr>
        <w:t xml:space="preserve">Таблица 3.15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Перспективные объемы накопленных ТКО</w:t>
      </w:r>
      <w:bookmarkEnd w:id="460"/>
      <w:r/>
      <w:r>
        <w:rPr>
          <w:b/>
          <w:bCs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b/>
          <w:bCs/>
          <w:caps/>
          <w:sz w:val="28"/>
          <w:szCs w:val="28"/>
        </w:rPr>
      </w:pPr>
      <w:r>
        <w:rPr>
          <w:rFonts w:asciiTheme="minorHAnsi" w:hAnsiTheme="minorHAnsi" w:cstheme="minorHAnsi"/>
          <w:b/>
          <w:bCs/>
          <w:caps/>
          <w:sz w:val="28"/>
          <w:szCs w:val="28"/>
        </w:rPr>
      </w:r>
      <w:r>
        <w:rPr>
          <w:rFonts w:asciiTheme="minorHAnsi" w:hAnsiTheme="minorHAnsi" w:cstheme="minorHAnsi"/>
          <w:b/>
          <w:bCs/>
          <w:caps/>
          <w:sz w:val="28"/>
          <w:szCs w:val="28"/>
        </w:rPr>
      </w:r>
    </w:p>
    <w:p>
      <w:pPr>
        <w:pStyle w:val="1544"/>
        <w:jc w:val="right"/>
        <w:rPr>
          <w:rFonts w:asciiTheme="minorHAnsi" w:hAnsiTheme="minorHAnsi" w:cstheme="minorHAnsi"/>
          <w:caps/>
          <w:sz w:val="28"/>
          <w:szCs w:val="28"/>
        </w:rPr>
      </w:pPr>
      <w:r>
        <w:rPr>
          <w:sz w:val="28"/>
          <w:szCs w:val="28"/>
        </w:rPr>
        <w:t xml:space="preserve">тыс. т</w:t>
      </w:r>
      <w:r>
        <w:rPr>
          <w:rFonts w:asciiTheme="minorHAnsi" w:hAnsiTheme="minorHAnsi" w:cstheme="minorHAnsi"/>
          <w:caps/>
          <w:sz w:val="28"/>
          <w:szCs w:val="28"/>
        </w:rPr>
      </w:r>
    </w:p>
    <w:tbl>
      <w:tblPr>
        <w:tblStyle w:val="988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992"/>
        <w:gridCol w:w="993"/>
        <w:gridCol w:w="992"/>
        <w:gridCol w:w="992"/>
        <w:gridCol w:w="998"/>
        <w:gridCol w:w="951"/>
      </w:tblGrid>
      <w:tr>
        <w:tblPrEx/>
        <w:trPr>
          <w:trHeight w:val="20"/>
          <w:tblHeader/>
        </w:trPr>
        <w:tc>
          <w:tcPr>
            <w:shd w:val="clear" w:color="auto" w:fill="auto"/>
            <w:tcW w:w="42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Показатели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9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9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2034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9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Накоплено ТКО, в </w:t>
            </w:r>
            <w:r>
              <w:rPr>
                <w:rFonts w:asciiTheme="minorHAnsi" w:hAnsiTheme="minorHAnsi" w:cstheme="minorHAnsi"/>
                <w:bCs/>
              </w:rPr>
              <w:t xml:space="preserve">т.ч</w:t>
            </w:r>
            <w:r>
              <w:rPr>
                <w:rFonts w:asciiTheme="minorHAnsi" w:hAnsiTheme="minorHAnsi" w:cstheme="minorHAnsi"/>
                <w:bCs/>
              </w:rPr>
              <w:t xml:space="preserve">.: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329,6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331,0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333,2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334,2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335,1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342,1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9" w:type="dxa"/>
            <w:vAlign w:val="center"/>
            <w:textDirection w:val="lrTb"/>
            <w:noWrap w:val="false"/>
          </w:tcPr>
          <w:p>
            <w:pPr>
              <w:ind w:left="17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населением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230,8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230,0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230,2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228,5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227,9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224,8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9" w:type="dxa"/>
            <w:vAlign w:val="center"/>
            <w:textDirection w:val="lrTb"/>
            <w:noWrap w:val="false"/>
          </w:tcPr>
          <w:p>
            <w:pPr>
              <w:ind w:left="314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МКД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186,2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186,9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187,4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187,7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187,7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186,5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9" w:type="dxa"/>
            <w:vAlign w:val="center"/>
            <w:textDirection w:val="lrTb"/>
            <w:noWrap w:val="false"/>
          </w:tcPr>
          <w:p>
            <w:pPr>
              <w:ind w:left="314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ИЖС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44,6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43,0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41,8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40,8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40,2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38,3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9" w:type="dxa"/>
            <w:vAlign w:val="center"/>
            <w:textDirection w:val="lrTb"/>
            <w:noWrap w:val="false"/>
          </w:tcPr>
          <w:p>
            <w:pPr>
              <w:ind w:left="17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прочими потребителями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98,8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101,0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104,0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105,6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107,2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117,3</w:t>
            </w:r>
            <w:r>
              <w:rPr>
                <w:rFonts w:asciiTheme="minorHAnsi" w:hAnsiTheme="minorHAnsi" w:cstheme="minorHAnsi"/>
              </w:rPr>
            </w:r>
          </w:p>
        </w:tc>
      </w:tr>
    </w:tbl>
    <w:p>
      <w:pPr>
        <w:pStyle w:val="1570"/>
        <w:ind w:firstLine="0"/>
        <w:rPr>
          <w:rFonts w:asciiTheme="minorHAnsi" w:hAnsiTheme="minorHAnsi" w:cstheme="minorHAnsi"/>
          <w:i/>
          <w:iCs w:val="0"/>
          <w:sz w:val="28"/>
          <w:szCs w:val="28"/>
        </w:rPr>
      </w:pPr>
      <w:r>
        <w:rPr>
          <w:rFonts w:asciiTheme="minorHAnsi" w:hAnsiTheme="minorHAnsi" w:cstheme="minorHAnsi"/>
          <w:i/>
          <w:iCs w:val="0"/>
          <w:sz w:val="28"/>
          <w:szCs w:val="28"/>
        </w:rPr>
      </w:r>
      <w:r>
        <w:rPr>
          <w:rFonts w:asciiTheme="minorHAnsi" w:hAnsiTheme="minorHAnsi" w:cstheme="minorHAnsi"/>
          <w:i/>
          <w:iCs w:val="0"/>
          <w:sz w:val="28"/>
          <w:szCs w:val="28"/>
        </w:rPr>
      </w:r>
    </w:p>
    <w:p>
      <w:pPr>
        <w:ind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---------------------------</w:t>
      </w:r>
      <w:r>
        <w:rPr>
          <w:i/>
          <w:iCs/>
          <w:sz w:val="28"/>
          <w:szCs w:val="28"/>
        </w:rPr>
      </w:r>
    </w:p>
    <w:p>
      <w:pPr>
        <w:ind w:firstLine="709"/>
        <w:jc w:val="both"/>
        <w:rPr>
          <w:rFonts w:asciiTheme="minorHAnsi" w:hAnsiTheme="minorHAnsi" w:cstheme="minorHAnsi"/>
        </w:rPr>
      </w:pPr>
      <w:r>
        <w:t xml:space="preserve">Примечание. Источник информации – о</w:t>
      </w:r>
      <w:r>
        <w:rPr>
          <w:rFonts w:asciiTheme="minorHAnsi" w:hAnsiTheme="minorHAnsi" w:cstheme="minorHAnsi"/>
        </w:rPr>
        <w:t xml:space="preserve">ценки разработчика настоящей Программы. </w:t>
      </w:r>
      <w:r>
        <w:rPr>
          <w:rFonts w:asciiTheme="minorHAnsi" w:hAnsiTheme="minorHAnsi" w:cstheme="minorHAnsi"/>
        </w:rPr>
      </w:r>
    </w:p>
    <w:p>
      <w:pPr>
        <w:rPr>
          <w:sz w:val="28"/>
          <w:szCs w:val="28"/>
        </w:rPr>
      </w:pPr>
      <w:r/>
      <w:bookmarkStart w:id="461" w:name="_Toc119947515"/>
      <w:r/>
      <w:bookmarkStart w:id="462" w:name="_Toc175216043"/>
      <w:r/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IV</w:t>
      </w:r>
      <w:r>
        <w:rPr>
          <w:b/>
          <w:bCs/>
          <w:sz w:val="28"/>
          <w:szCs w:val="28"/>
        </w:rPr>
        <w:t xml:space="preserve">. Перечень мероприятий и целевых показателей</w:t>
      </w:r>
      <w:bookmarkEnd w:id="461"/>
      <w:r/>
      <w:bookmarkEnd w:id="462"/>
      <w:r/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  <w:highlight w:val="cyan"/>
        </w:rPr>
      </w:pPr>
      <w:r>
        <w:rPr>
          <w:b/>
          <w:bCs/>
          <w:sz w:val="28"/>
          <w:szCs w:val="28"/>
          <w:highlight w:val="cyan"/>
        </w:rPr>
      </w:r>
      <w:r>
        <w:rPr>
          <w:b/>
          <w:bCs/>
          <w:sz w:val="28"/>
          <w:szCs w:val="28"/>
          <w:highlight w:val="cyan"/>
        </w:rPr>
      </w:r>
    </w:p>
    <w:p>
      <w:pPr>
        <w:pStyle w:val="1544"/>
        <w:rPr>
          <w:b/>
          <w:bCs/>
          <w:sz w:val="28"/>
          <w:szCs w:val="28"/>
        </w:rPr>
      </w:pPr>
      <w:r/>
      <w:bookmarkStart w:id="463" w:name="_Toc119947516"/>
      <w:r/>
      <w:bookmarkStart w:id="464" w:name="_Toc175216044"/>
      <w:r>
        <w:rPr>
          <w:b/>
          <w:bCs/>
          <w:sz w:val="28"/>
          <w:szCs w:val="28"/>
        </w:rPr>
        <w:t xml:space="preserve">4.1. Перечень целевых показателей</w:t>
      </w:r>
      <w:bookmarkEnd w:id="463"/>
      <w:r/>
      <w:bookmarkEnd w:id="464"/>
      <w:r/>
      <w:r>
        <w:rPr>
          <w:b/>
          <w:bCs/>
          <w:sz w:val="28"/>
          <w:szCs w:val="28"/>
        </w:rPr>
      </w:r>
    </w:p>
    <w:p>
      <w:pPr>
        <w:pStyle w:val="154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Количественные значения целевых показателей и их обоснование приведены в обосновывающих материалах.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Количественные значения целевых показателей приводятся по каждой системе коммунальной инфраструктуры: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целевые показатели развития муниципального образования (таблица 4.1);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целевые показатели развития системы теплоснабжения (таблица 4.2);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целевые показатели развития системы водоснабжения (таблица 4.3);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целевые показатели развития системы водоотведения (таблица 4.4);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целевые показатели развития системы электроснабжения (таблица 4.5);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целевые показатели развития системы газоснабжения (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_Ref166505910 \h  \* MERGEFORMAT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Таблица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4.6);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целевые показатели развития системы обращения с ТКО (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_Ref166505913 \h  \* MERGEFORMAT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Таблица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4.7);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целевые показатели развития системы ливневой канализации (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_Ref166505903 \h  \* MERGEFORMAT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Таблица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4.8).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567" w:footer="567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/>
      <w:bookmarkStart w:id="465" w:name="_Toc51633014"/>
      <w:r/>
      <w:bookmarkStart w:id="466" w:name="_Toc119947517"/>
      <w:r/>
      <w:bookmarkStart w:id="467" w:name="_Toc175216045"/>
      <w:r>
        <w:rPr>
          <w:b/>
          <w:bCs/>
          <w:sz w:val="28"/>
          <w:szCs w:val="28"/>
        </w:rPr>
        <w:t xml:space="preserve">4.1.1 Общие целевые показатели развития муниципального образования</w:t>
      </w:r>
      <w:bookmarkEnd w:id="465"/>
      <w:r/>
      <w:bookmarkEnd w:id="466"/>
      <w:r/>
      <w:bookmarkEnd w:id="467"/>
      <w:r/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44"/>
        <w:jc w:val="right"/>
        <w:rPr>
          <w:b/>
          <w:bCs/>
          <w:sz w:val="28"/>
          <w:szCs w:val="28"/>
        </w:rPr>
      </w:pPr>
      <w:r/>
      <w:bookmarkStart w:id="468" w:name="_Ref166505478"/>
      <w:r/>
      <w:bookmarkStart w:id="469" w:name="_Toc26465155"/>
      <w:r/>
      <w:bookmarkStart w:id="470" w:name="_Toc35880658"/>
      <w:r/>
      <w:bookmarkStart w:id="471" w:name="_Toc54890404"/>
      <w:r/>
      <w:bookmarkStart w:id="472" w:name="_Toc175216130"/>
      <w:r>
        <w:rPr>
          <w:b/>
          <w:bCs/>
          <w:sz w:val="28"/>
          <w:szCs w:val="28"/>
        </w:rPr>
        <w:t xml:space="preserve">Таблица </w:t>
      </w:r>
      <w:bookmarkEnd w:id="468"/>
      <w:r/>
      <w:bookmarkEnd w:id="469"/>
      <w:r/>
      <w:bookmarkEnd w:id="470"/>
      <w:r>
        <w:rPr>
          <w:b/>
          <w:bCs/>
          <w:sz w:val="28"/>
          <w:szCs w:val="28"/>
        </w:rPr>
        <w:t xml:space="preserve">4.1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Целевые показатели развития муниципального образования</w:t>
      </w:r>
      <w:bookmarkEnd w:id="471"/>
      <w:r/>
      <w:bookmarkEnd w:id="472"/>
      <w:r/>
      <w:r>
        <w:rPr>
          <w:b/>
          <w:bCs/>
          <w:sz w:val="28"/>
          <w:szCs w:val="28"/>
        </w:rPr>
      </w:r>
    </w:p>
    <w:p>
      <w:pPr>
        <w:pStyle w:val="154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79"/>
        <w:gridCol w:w="980"/>
        <w:gridCol w:w="992"/>
        <w:gridCol w:w="992"/>
        <w:gridCol w:w="992"/>
        <w:gridCol w:w="993"/>
        <w:gridCol w:w="992"/>
        <w:gridCol w:w="989"/>
      </w:tblGrid>
      <w:tr>
        <w:tblPrEx/>
        <w:trPr>
          <w:jc w:val="center"/>
          <w:trHeight w:val="20"/>
          <w:tblHeader/>
        </w:trPr>
        <w:tc>
          <w:tcPr>
            <w:shd w:val="clear" w:color="auto" w:fill="auto"/>
            <w:tcW w:w="7979" w:type="dxa"/>
            <w:vAlign w:val="center"/>
            <w:textDirection w:val="lrTb"/>
            <w:noWrap/>
          </w:tcPr>
          <w:p>
            <w:pPr>
              <w:pStyle w:val="1546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Наименование показателя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980" w:type="dxa"/>
            <w:vAlign w:val="center"/>
            <w:textDirection w:val="lrTb"/>
            <w:noWrap w:val="false"/>
          </w:tcPr>
          <w:p>
            <w:pPr>
              <w:pStyle w:val="1546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Ед. изм.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46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2024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46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2025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46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2026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/>
          </w:tcPr>
          <w:p>
            <w:pPr>
              <w:pStyle w:val="1546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2027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46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2028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989" w:type="dxa"/>
            <w:vAlign w:val="center"/>
            <w:textDirection w:val="lrTb"/>
            <w:noWrap w:val="false"/>
          </w:tcPr>
          <w:p>
            <w:pPr>
              <w:pStyle w:val="1546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2034</w:t>
            </w:r>
            <w:r>
              <w:rPr>
                <w:rFonts w:asciiTheme="minorHAnsi" w:hAnsiTheme="minorHAnsi" w:cstheme="minorHAnsi"/>
                <w:bCs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8"/>
            <w:shd w:val="clear" w:color="auto" w:fill="auto"/>
            <w:tcW w:w="14909" w:type="dxa"/>
            <w:vAlign w:val="center"/>
            <w:textDirection w:val="lrTb"/>
            <w:noWrap/>
          </w:tcPr>
          <w:p>
            <w:pPr>
              <w:pStyle w:val="1546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Общие целевые показатели развития муниципального образования</w:t>
            </w:r>
            <w:r>
              <w:rPr>
                <w:rFonts w:asciiTheme="minorHAnsi" w:hAnsiTheme="minorHAnsi" w:cstheme="minorHAnsi"/>
                <w:bCs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7979" w:type="dxa"/>
            <w:vAlign w:val="center"/>
            <w:textDirection w:val="lrTb"/>
            <w:noWrap/>
          </w:tcPr>
          <w:p>
            <w:pPr>
              <w:pStyle w:val="1546"/>
              <w:jc w:val="left"/>
              <w:rPr>
                <w:rFonts w:asciiTheme="minorHAnsi" w:hAnsiTheme="minorHAnsi" w:cstheme="minorHAnsi"/>
              </w:rPr>
            </w:pPr>
            <w:r>
              <w:rPr>
                <w:rFonts w:eastAsia="Times New Roman" w:asciiTheme="minorHAnsi" w:hAnsiTheme="minorHAnsi" w:cstheme="minorHAnsi"/>
              </w:rPr>
              <w:t xml:space="preserve">Среднегодовая численность населения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980" w:type="dxa"/>
            <w:vAlign w:val="center"/>
            <w:textDirection w:val="lrTb"/>
            <w:noWrap w:val="false"/>
          </w:tcPr>
          <w:p>
            <w:pPr>
              <w:pStyle w:val="154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тыс. чел.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4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1 022,1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4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1 019,1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4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1 016,5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/>
          </w:tcPr>
          <w:p>
            <w:pPr>
              <w:pStyle w:val="154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1 014,0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4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1 011,8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89" w:type="dxa"/>
            <w:vAlign w:val="center"/>
            <w:textDirection w:val="lrTb"/>
            <w:noWrap w:val="false"/>
          </w:tcPr>
          <w:p>
            <w:pPr>
              <w:pStyle w:val="1546"/>
              <w:rPr>
                <w:rFonts w:eastAsia="Times New Roman"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998,8</w:t>
            </w:r>
            <w:r>
              <w:rPr>
                <w:rFonts w:eastAsia="Times New Roman" w:asciiTheme="minorHAnsi" w:hAnsiTheme="minorHAnsi" w:cstheme="minorHAnsi"/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7979" w:type="dxa"/>
            <w:vAlign w:val="center"/>
            <w:textDirection w:val="lrTb"/>
            <w:noWrap/>
          </w:tcPr>
          <w:p>
            <w:pPr>
              <w:pStyle w:val="1546"/>
              <w:jc w:val="left"/>
              <w:rPr>
                <w:rFonts w:asciiTheme="minorHAnsi" w:hAnsiTheme="minorHAnsi" w:cstheme="minorHAnsi"/>
              </w:rPr>
            </w:pPr>
            <w:r>
              <w:rPr>
                <w:rFonts w:eastAsia="Times New Roman" w:asciiTheme="minorHAnsi" w:hAnsiTheme="minorHAnsi" w:cstheme="minorHAnsi"/>
              </w:rPr>
              <w:t xml:space="preserve">Объем ввода жилой площади (МКД)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980" w:type="dxa"/>
            <w:vAlign w:val="center"/>
            <w:textDirection w:val="lrTb"/>
            <w:noWrap w:val="false"/>
          </w:tcPr>
          <w:p>
            <w:pPr>
              <w:pStyle w:val="154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тыс. кв. м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4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650-715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4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658-723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4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666-731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/>
          </w:tcPr>
          <w:p>
            <w:pPr>
              <w:pStyle w:val="154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674-739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4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682-747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89" w:type="dxa"/>
            <w:vAlign w:val="center"/>
            <w:textDirection w:val="lrTb"/>
            <w:noWrap w:val="false"/>
          </w:tcPr>
          <w:p>
            <w:pPr>
              <w:pStyle w:val="1546"/>
              <w:rPr>
                <w:rFonts w:eastAsia="Times New Roman"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736-801</w:t>
            </w:r>
            <w:r>
              <w:rPr>
                <w:rFonts w:eastAsia="Times New Roman" w:asciiTheme="minorHAnsi" w:hAnsiTheme="minorHAnsi" w:cstheme="minorHAnsi"/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7979" w:type="dxa"/>
            <w:vAlign w:val="center"/>
            <w:textDirection w:val="lrTb"/>
            <w:noWrap/>
          </w:tcPr>
          <w:p>
            <w:pPr>
              <w:pStyle w:val="1546"/>
              <w:jc w:val="left"/>
              <w:rPr>
                <w:rFonts w:asciiTheme="minorHAnsi" w:hAnsiTheme="minorHAnsi" w:cstheme="minorHAnsi"/>
              </w:rPr>
            </w:pPr>
            <w:r>
              <w:rPr>
                <w:rFonts w:eastAsia="Times New Roman" w:asciiTheme="minorHAnsi" w:hAnsiTheme="minorHAnsi" w:cstheme="minorHAnsi"/>
              </w:rPr>
              <w:t xml:space="preserve">Объем ввода жилой площади (ИЖС)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980" w:type="dxa"/>
            <w:vAlign w:val="center"/>
            <w:textDirection w:val="lrTb"/>
            <w:noWrap w:val="false"/>
          </w:tcPr>
          <w:p>
            <w:pPr>
              <w:pStyle w:val="154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тыс. кв. м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4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110-175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4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110-175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4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110-175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/>
          </w:tcPr>
          <w:p>
            <w:pPr>
              <w:pStyle w:val="154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110-175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4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110-175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89" w:type="dxa"/>
            <w:vAlign w:val="center"/>
            <w:textDirection w:val="lrTb"/>
            <w:noWrap w:val="false"/>
          </w:tcPr>
          <w:p>
            <w:pPr>
              <w:pStyle w:val="1546"/>
              <w:rPr>
                <w:rFonts w:eastAsia="Times New Roman"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110-175</w:t>
            </w:r>
            <w:r>
              <w:rPr>
                <w:rFonts w:eastAsia="Times New Roman" w:asciiTheme="minorHAnsi" w:hAnsiTheme="minorHAnsi" w:cstheme="minorHAnsi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7979" w:type="dxa"/>
            <w:vAlign w:val="center"/>
            <w:textDirection w:val="lrTb"/>
            <w:noWrap/>
          </w:tcPr>
          <w:p>
            <w:pPr>
              <w:pStyle w:val="1546"/>
              <w:jc w:val="left"/>
              <w:rPr>
                <w:rFonts w:asciiTheme="minorHAnsi" w:hAnsiTheme="minorHAnsi" w:cstheme="minorHAnsi"/>
              </w:rPr>
            </w:pPr>
            <w:r>
              <w:rPr>
                <w:rFonts w:eastAsia="Times New Roman" w:asciiTheme="minorHAnsi" w:hAnsiTheme="minorHAnsi" w:cstheme="minorHAnsi"/>
                <w:color w:val="000000"/>
              </w:rPr>
              <w:t xml:space="preserve">Средняя обеспеченность жильем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980" w:type="dxa"/>
            <w:vAlign w:val="center"/>
            <w:textDirection w:val="lrTb"/>
            <w:noWrap w:val="false"/>
          </w:tcPr>
          <w:p>
            <w:pPr>
              <w:pStyle w:val="1546"/>
              <w:rPr>
                <w:rFonts w:asciiTheme="minorHAnsi" w:hAnsiTheme="minorHAnsi" w:cstheme="minorHAnsi"/>
              </w:rPr>
            </w:pPr>
            <w:r>
              <w:rPr>
                <w:rFonts w:eastAsia="Times New Roman" w:asciiTheme="minorHAnsi" w:hAnsiTheme="minorHAnsi" w:cstheme="minorHAnsi"/>
                <w:color w:val="000000"/>
              </w:rPr>
              <w:t xml:space="preserve">кв. м/чел.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4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28,7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4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29,5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4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30,3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/>
          </w:tcPr>
          <w:p>
            <w:pPr>
              <w:pStyle w:val="154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31,2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4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89" w:type="dxa"/>
            <w:vAlign w:val="center"/>
            <w:textDirection w:val="lrTb"/>
            <w:noWrap w:val="false"/>
          </w:tcPr>
          <w:p>
            <w:pPr>
              <w:pStyle w:val="1546"/>
              <w:rPr>
                <w:rFonts w:eastAsia="Times New Roman"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37,6</w:t>
            </w:r>
            <w:r>
              <w:rPr>
                <w:rFonts w:eastAsia="Times New Roman" w:asciiTheme="minorHAnsi" w:hAnsiTheme="minorHAnsi" w:cstheme="minorHAnsi"/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8"/>
            <w:shd w:val="clear" w:color="auto" w:fill="auto"/>
            <w:tcW w:w="14909" w:type="dxa"/>
            <w:vAlign w:val="center"/>
            <w:textDirection w:val="lrTb"/>
            <w:noWrap/>
          </w:tcPr>
          <w:p>
            <w:pPr>
              <w:pStyle w:val="1546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Критерии доступности коммунальных услуг для населения</w:t>
            </w:r>
            <w:r>
              <w:rPr>
                <w:rFonts w:asciiTheme="minorHAnsi" w:hAnsiTheme="minorHAnsi" w:cstheme="minorHAnsi"/>
                <w:bCs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7979" w:type="dxa"/>
            <w:vAlign w:val="center"/>
            <w:textDirection w:val="lrTb"/>
            <w:noWrap/>
          </w:tcPr>
          <w:p>
            <w:pPr>
              <w:pStyle w:val="154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Доля расходов на коммунальные услуги в совокупном доходе семьи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980" w:type="dxa"/>
            <w:vAlign w:val="center"/>
            <w:textDirection w:val="lrTb"/>
            <w:noWrap w:val="false"/>
          </w:tcPr>
          <w:p>
            <w:pPr>
              <w:pStyle w:val="154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46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3,8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46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3,8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46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3,8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/>
          </w:tcPr>
          <w:p>
            <w:pPr>
              <w:pStyle w:val="1546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3,8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46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3,9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89" w:type="dxa"/>
            <w:vAlign w:val="center"/>
            <w:textDirection w:val="lrTb"/>
            <w:noWrap w:val="false"/>
          </w:tcPr>
          <w:p>
            <w:pPr>
              <w:pStyle w:val="1546"/>
              <w:rPr>
                <w:rFonts w:eastAsia="Times New Roman"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 xml:space="preserve">4,2</w:t>
            </w:r>
            <w:r>
              <w:rPr>
                <w:rFonts w:eastAsia="Times New Roman" w:asciiTheme="minorHAnsi" w:hAnsiTheme="minorHAnsi" w:cstheme="minorHAnsi"/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7979" w:type="dxa"/>
            <w:vAlign w:val="center"/>
            <w:textDirection w:val="lrTb"/>
            <w:noWrap/>
          </w:tcPr>
          <w:p>
            <w:pPr>
              <w:pStyle w:val="154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Уровень собираемости платежей за коммунальные услуги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980" w:type="dxa"/>
            <w:vAlign w:val="center"/>
            <w:textDirection w:val="lrTb"/>
            <w:noWrap w:val="false"/>
          </w:tcPr>
          <w:p>
            <w:pPr>
              <w:pStyle w:val="154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46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95,7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46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95,7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46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95,7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/>
          </w:tcPr>
          <w:p>
            <w:pPr>
              <w:pStyle w:val="1546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95,7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46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95,6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89" w:type="dxa"/>
            <w:vAlign w:val="center"/>
            <w:textDirection w:val="lrTb"/>
            <w:noWrap w:val="false"/>
          </w:tcPr>
          <w:p>
            <w:pPr>
              <w:pStyle w:val="1546"/>
              <w:rPr>
                <w:rFonts w:eastAsia="Times New Roman"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 xml:space="preserve">95,1</w:t>
            </w:r>
            <w:r>
              <w:rPr>
                <w:rFonts w:eastAsia="Times New Roman" w:asciiTheme="minorHAnsi" w:hAnsiTheme="minorHAnsi" w:cstheme="minorHAnsi"/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7979" w:type="dxa"/>
            <w:vAlign w:val="center"/>
            <w:textDirection w:val="lrTb"/>
            <w:noWrap/>
          </w:tcPr>
          <w:p>
            <w:pPr>
              <w:pStyle w:val="154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Доля населения с доходами ниже прожиточного минимума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980" w:type="dxa"/>
            <w:vAlign w:val="center"/>
            <w:textDirection w:val="lrTb"/>
            <w:noWrap w:val="false"/>
          </w:tcPr>
          <w:p>
            <w:pPr>
              <w:pStyle w:val="154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46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7,7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46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7,8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46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7,9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/>
          </w:tcPr>
          <w:p>
            <w:pPr>
              <w:pStyle w:val="1546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7,9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46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8,0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89" w:type="dxa"/>
            <w:vAlign w:val="center"/>
            <w:textDirection w:val="lrTb"/>
            <w:noWrap w:val="false"/>
          </w:tcPr>
          <w:p>
            <w:pPr>
              <w:pStyle w:val="1546"/>
              <w:rPr>
                <w:rFonts w:eastAsia="Times New Roman" w:asciiTheme="minorHAnsi" w:hAnsiTheme="minorHAnsi" w:cstheme="minorHAnsi"/>
              </w:rPr>
            </w:pPr>
            <w:r>
              <w:rPr>
                <w:color w:val="000000"/>
              </w:rPr>
              <w:t xml:space="preserve">8,3</w:t>
            </w:r>
            <w:r>
              <w:rPr>
                <w:rFonts w:eastAsia="Times New Roman" w:asciiTheme="minorHAnsi" w:hAnsiTheme="minorHAnsi" w:cstheme="minorHAnsi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7979" w:type="dxa"/>
            <w:vAlign w:val="center"/>
            <w:textDirection w:val="lrTb"/>
            <w:noWrap/>
          </w:tcPr>
          <w:p>
            <w:pPr>
              <w:pStyle w:val="154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Доля получателей субсидий на оплату коммунальных услуг в общей численности населения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980" w:type="dxa"/>
            <w:vAlign w:val="center"/>
            <w:textDirection w:val="lrTb"/>
            <w:noWrap w:val="false"/>
          </w:tcPr>
          <w:p>
            <w:pPr>
              <w:pStyle w:val="154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4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9,5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4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9,6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4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9,5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/>
          </w:tcPr>
          <w:p>
            <w:pPr>
              <w:pStyle w:val="154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9,6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4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9,8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89" w:type="dxa"/>
            <w:vAlign w:val="center"/>
            <w:textDirection w:val="lrTb"/>
            <w:noWrap w:val="false"/>
          </w:tcPr>
          <w:p>
            <w:pPr>
              <w:pStyle w:val="1546"/>
              <w:rPr>
                <w:rFonts w:eastAsia="Times New Roman" w:asciiTheme="minorHAnsi" w:hAnsiTheme="minorHAnsi" w:cstheme="minorHAnsi"/>
                <w:color w:val="000000"/>
              </w:rPr>
            </w:pPr>
            <w:r>
              <w:rPr>
                <w:rFonts w:eastAsia="Times New Roman" w:asciiTheme="minorHAnsi" w:hAnsiTheme="minorHAnsi" w:cstheme="minorHAnsi"/>
                <w:color w:val="000000"/>
              </w:rPr>
              <w:t xml:space="preserve">11,3</w:t>
            </w:r>
            <w:r>
              <w:rPr>
                <w:rFonts w:eastAsia="Times New Roman" w:asciiTheme="minorHAnsi" w:hAnsiTheme="minorHAnsi" w:cstheme="minorHAnsi"/>
                <w:color w:val="000000"/>
              </w:rPr>
            </w:r>
          </w:p>
        </w:tc>
      </w:tr>
    </w:tbl>
    <w:p>
      <w:pPr>
        <w:pStyle w:val="15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/>
      <w:bookmarkStart w:id="473" w:name="_Toc51633015"/>
      <w:r/>
      <w:bookmarkStart w:id="474" w:name="_Toc119947518"/>
      <w:r/>
      <w:bookmarkStart w:id="475" w:name="_Toc175216046"/>
      <w:r/>
      <w:bookmarkStart w:id="476" w:name="_Toc26465061"/>
      <w:r>
        <w:rPr>
          <w:b/>
          <w:bCs/>
          <w:sz w:val="28"/>
          <w:szCs w:val="28"/>
        </w:rPr>
        <w:t xml:space="preserve">4.1.2 Целевые показатели развития системы теплоснабжения</w:t>
      </w:r>
      <w:bookmarkEnd w:id="473"/>
      <w:r/>
      <w:bookmarkEnd w:id="474"/>
      <w:r/>
      <w:bookmarkEnd w:id="475"/>
      <w:r/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44"/>
        <w:jc w:val="right"/>
        <w:rPr>
          <w:b/>
          <w:bCs/>
          <w:sz w:val="28"/>
          <w:szCs w:val="28"/>
        </w:rPr>
      </w:pPr>
      <w:r/>
      <w:bookmarkStart w:id="477" w:name="_Ref166505891"/>
      <w:r/>
      <w:bookmarkStart w:id="478" w:name="_Toc175216131"/>
      <w:r>
        <w:rPr>
          <w:b/>
          <w:bCs/>
          <w:sz w:val="28"/>
          <w:szCs w:val="28"/>
        </w:rPr>
        <w:t xml:space="preserve">Таблица </w:t>
      </w:r>
      <w:bookmarkEnd w:id="477"/>
      <w:r>
        <w:rPr>
          <w:b/>
          <w:bCs/>
          <w:sz w:val="28"/>
          <w:szCs w:val="28"/>
        </w:rPr>
        <w:t xml:space="preserve">4.2 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Целевые показатели развития системы теплоснабжения</w:t>
      </w:r>
      <w:bookmarkEnd w:id="478"/>
      <w:r/>
      <w:r>
        <w:rPr>
          <w:b/>
          <w:bCs/>
          <w:color w:val="000000" w:themeColor="text1"/>
          <w:sz w:val="28"/>
          <w:szCs w:val="28"/>
        </w:rPr>
      </w:r>
    </w:p>
    <w:p>
      <w:pPr>
        <w:pStyle w:val="1544"/>
        <w:rPr>
          <w:rFonts w:asciiTheme="minorHAnsi" w:hAnsiTheme="minorHAnsi" w:cstheme="minorHAnsi"/>
          <w:caps/>
          <w:sz w:val="28"/>
          <w:szCs w:val="28"/>
        </w:rPr>
      </w:pPr>
      <w:r>
        <w:rPr>
          <w:rFonts w:asciiTheme="minorHAnsi" w:hAnsiTheme="minorHAnsi" w:cstheme="minorHAnsi"/>
          <w:caps/>
          <w:sz w:val="28"/>
          <w:szCs w:val="28"/>
        </w:rPr>
      </w:r>
      <w:r>
        <w:rPr>
          <w:rFonts w:asciiTheme="minorHAnsi" w:hAnsiTheme="minorHAnsi" w:cstheme="minorHAnsi"/>
          <w:caps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907"/>
        <w:gridCol w:w="1274"/>
        <w:gridCol w:w="992"/>
        <w:gridCol w:w="992"/>
        <w:gridCol w:w="992"/>
        <w:gridCol w:w="992"/>
        <w:gridCol w:w="992"/>
        <w:gridCol w:w="928"/>
      </w:tblGrid>
      <w:tr>
        <w:tblPrEx/>
        <w:trPr>
          <w:trHeight w:val="20"/>
          <w:tblHeader/>
        </w:trPr>
        <w:tc>
          <w:tcPr>
            <w:tcW w:w="26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Показатели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42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Ед. изм.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0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34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</w:p>
        </w:tc>
      </w:tr>
    </w:tbl>
    <w:p>
      <w:pPr>
        <w:spacing w:line="48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904"/>
        <w:gridCol w:w="1271"/>
        <w:gridCol w:w="992"/>
        <w:gridCol w:w="992"/>
        <w:gridCol w:w="992"/>
        <w:gridCol w:w="992"/>
        <w:gridCol w:w="992"/>
        <w:gridCol w:w="934"/>
      </w:tblGrid>
      <w:tr>
        <w:tblPrEx/>
        <w:trPr>
          <w:trHeight w:val="20"/>
          <w:tblHeader/>
        </w:trPr>
        <w:tc>
          <w:tcPr>
            <w:tcW w:w="26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422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0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8"/>
            <w:shd w:val="clear" w:color="auto" w:fill="auto"/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Показатели спроса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623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Годовой полезный отпуск тепловой энергии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422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тыс. Гкал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ind w:left="-62" w:right="-14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11 630,5</w:t>
            </w:r>
            <w:r>
              <w:rPr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ind w:left="-62" w:right="-14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11 917,3</w:t>
            </w:r>
            <w:r>
              <w:rPr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ind w:left="-62" w:right="-14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11 916,0</w:t>
            </w:r>
            <w:r>
              <w:rPr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ind w:left="-62" w:right="-14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12 064,6</w:t>
            </w:r>
            <w:r>
              <w:rPr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ind w:left="-62" w:right="-14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12 249,9</w:t>
            </w:r>
            <w:r>
              <w:rPr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09" w:type="pct"/>
            <w:textDirection w:val="lrTb"/>
            <w:noWrap w:val="false"/>
          </w:tcPr>
          <w:p>
            <w:pPr>
              <w:ind w:left="-62" w:right="-14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13 006,0</w:t>
            </w:r>
            <w:r>
              <w:rPr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23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Доля населения, охваченного услугой централизованного теплоснабжения на конец года</w:t>
            </w:r>
            <w:r>
              <w:rPr>
                <w:rFonts w:cs="Arial Unicode MS"/>
                <w:iCs/>
                <w:color w:val="000000"/>
                <w:vertAlign w:val="superscript"/>
                <w:lang w:eastAsia="en-US"/>
              </w:rPr>
              <w:footnoteRef/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422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93,0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92,6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92,9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93,1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93,2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0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93,3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8"/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Показатели качества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23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Удовлетворенность потребителей качеством теплоснабжения в ценовой зоне теплоснабжения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422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67,0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70,0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70,0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70,5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71,0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0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73,0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8"/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Показатели надежности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23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/>
            <w:bookmarkStart w:id="479" w:name="_Hlk167287079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Количество прекращений подачи тепловой энергии, теплоносителя в результате технологических нарушений на источниках тепловой энергии на 1 Гкал/час установленной мощности сверх предела разрешенных отклонений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422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ед./Гкал/ч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0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23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Количество прекращений подачи тепловой энергии, теплоносителя в результате технологических нарушений на тепловых сетях на 1 км тепловых сетей в однотрубном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исчислении сверх предела разрешенных отклонений в ценовой зоне теплоснабжения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422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ед./км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0,066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0,066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0,066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0,040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0,039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0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0,026</w:t>
            </w:r>
            <w:bookmarkEnd w:id="479"/>
            <w:r/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23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Средний срок эксплуатации тепловых сетей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422" w:type="pc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лет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30,5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30,6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31,3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31,6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31,5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09" w:type="pc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34,1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23" w:type="pct"/>
            <w:vAlign w:val="center"/>
            <w:textDirection w:val="lrTb"/>
            <w:noWrap w:val="false"/>
          </w:tcPr>
          <w:p>
            <w:pPr>
              <w:ind w:left="318" w:right="-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магистральных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422" w:type="pc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лет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29,9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30,0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30,9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31,4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30,7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09" w:type="pc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35,6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23" w:type="pct"/>
            <w:vAlign w:val="center"/>
            <w:textDirection w:val="lrTb"/>
            <w:noWrap w:val="false"/>
          </w:tcPr>
          <w:p>
            <w:pPr>
              <w:ind w:left="318" w:right="-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распределительных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422" w:type="pc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лет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30,9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31,0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31,7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31,8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32,2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09" w:type="pc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33,0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23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Относительный средневзвешенный остаточный парковый ресурс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котлоагрегатов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котельной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422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час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ind w:left="-102" w:right="-11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15 008,0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ind w:left="-102" w:right="-11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13 951,0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ind w:left="-102" w:right="-11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12 991,0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ind w:left="-102" w:right="-11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11 655,0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ind w:left="-102" w:right="-11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10 523,0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09" w:type="pct"/>
            <w:textDirection w:val="lrTb"/>
            <w:noWrap w:val="false"/>
          </w:tcPr>
          <w:p>
            <w:pPr>
              <w:ind w:left="-102" w:right="-11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7 975,0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8"/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Показатели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экологичности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23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Уровень потерь тепловой энергии за год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422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12,7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12,6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12,5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12,4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12,3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0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11,2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23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Удельный годовой расход топлива на производство тепловой энергии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422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кгут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/Гкал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170,9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170,8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171,3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171,2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171,1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0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170,2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23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Выбросы парниковых газов от источников производства тепловой энергии за год</w:t>
            </w:r>
            <w:r>
              <w:rPr>
                <w:rFonts w:cs="Arial Unicode MS"/>
                <w:iCs/>
                <w:color w:val="000000"/>
                <w:vertAlign w:val="superscript"/>
                <w:lang w:eastAsia="en-US"/>
              </w:rPr>
              <w:t xml:space="preserve">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422" w:type="pct"/>
            <w:textDirection w:val="lrTb"/>
            <w:noWrap w:val="false"/>
          </w:tcPr>
          <w:p>
            <w:pPr>
              <w:ind w:left="-174" w:right="-1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тыс. т СО</w:t>
            </w:r>
            <w:r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 xml:space="preserve">2-экв.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ind w:left="-158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4 506,4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ind w:left="-158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4 367,8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ind w:left="-158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4 392,1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ind w:left="-158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4 425,4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ind w:left="-158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4 461,6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09" w:type="pct"/>
            <w:textDirection w:val="lrTb"/>
            <w:noWrap w:val="false"/>
          </w:tcPr>
          <w:p>
            <w:pPr>
              <w:ind w:left="-158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4 613,5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</w:tbl>
    <w:p>
      <w:pPr>
        <w:ind w:firstLine="709"/>
        <w:rPr>
          <w:rFonts w:cs="Arial Unicode MS"/>
          <w:i/>
          <w:color w:val="000000"/>
          <w:lang w:eastAsia="en-US"/>
        </w:rPr>
      </w:pPr>
      <w:r>
        <w:rPr>
          <w:rFonts w:cs="Arial Unicode MS"/>
          <w:i/>
          <w:color w:val="000000"/>
          <w:lang w:eastAsia="en-US"/>
        </w:rPr>
      </w:r>
      <w:r>
        <w:rPr>
          <w:rFonts w:cs="Arial Unicode MS"/>
          <w:i/>
          <w:color w:val="000000"/>
          <w:lang w:eastAsia="en-US"/>
        </w:rPr>
      </w:r>
    </w:p>
    <w:p>
      <w:pPr>
        <w:ind w:firstLine="709"/>
        <w:rPr>
          <w:rFonts w:cs="Arial Unicode MS"/>
          <w:i/>
          <w:color w:val="000000"/>
          <w:lang w:eastAsia="en-US"/>
        </w:rPr>
      </w:pPr>
      <w:r>
        <w:rPr>
          <w:rFonts w:cs="Arial Unicode MS"/>
          <w:i/>
          <w:color w:val="000000"/>
          <w:lang w:eastAsia="en-US"/>
        </w:rPr>
        <w:t xml:space="preserve">---------------------------</w:t>
      </w:r>
      <w:r>
        <w:rPr>
          <w:rFonts w:cs="Arial Unicode MS"/>
          <w:i/>
          <w:color w:val="000000"/>
          <w:lang w:eastAsia="en-US"/>
        </w:rPr>
      </w:r>
    </w:p>
    <w:p>
      <w:pPr>
        <w:ind w:firstLine="709"/>
        <w:jc w:val="both"/>
        <w:rPr>
          <w:rFonts w:cs="Arial Unicode MS"/>
          <w:iCs/>
          <w:color w:val="000000"/>
          <w:lang w:eastAsia="en-US"/>
        </w:rPr>
      </w:pPr>
      <w:r>
        <w:rPr>
          <w:rFonts w:cs="Arial Unicode MS"/>
          <w:iCs/>
          <w:color w:val="000000"/>
          <w:lang w:eastAsia="en-US"/>
        </w:rPr>
        <w:t xml:space="preserve">1. Здесь и далее рассчитывается как отношение численности жителей, обеспеченных услугой, к общей численности жителей, проживающих в жилых помещениях.</w:t>
      </w:r>
      <w:r>
        <w:rPr>
          <w:rFonts w:cs="Arial Unicode MS"/>
          <w:iCs/>
          <w:color w:val="000000"/>
          <w:lang w:eastAsia="en-US"/>
        </w:rPr>
      </w:r>
    </w:p>
    <w:p>
      <w:pPr>
        <w:ind w:firstLine="709"/>
        <w:jc w:val="both"/>
        <w:rPr>
          <w:rFonts w:cs="Arial Unicode MS"/>
          <w:iCs/>
          <w:color w:val="000000"/>
          <w:lang w:eastAsia="en-US"/>
        </w:rPr>
      </w:pPr>
      <w:r>
        <w:rPr>
          <w:rFonts w:cs="Arial Unicode MS"/>
          <w:iCs/>
          <w:color w:val="000000"/>
          <w:lang w:eastAsia="en-US"/>
        </w:rPr>
        <w:t xml:space="preserve">2.</w:t>
      </w:r>
      <w:r>
        <w:rPr>
          <w:rFonts w:cs="Arial Unicode MS"/>
          <w:iCs/>
          <w:color w:val="000000"/>
          <w:vertAlign w:val="superscript"/>
          <w:lang w:eastAsia="en-US"/>
        </w:rPr>
        <w:t xml:space="preserve"> </w:t>
      </w:r>
      <w:r>
        <w:rPr>
          <w:rFonts w:cs="Arial Unicode MS"/>
          <w:iCs/>
          <w:color w:val="000000"/>
          <w:lang w:eastAsia="en-US"/>
        </w:rPr>
        <w:t xml:space="preserve">Здесь и далее для объектов комбинированной выработки тепловой и электрической энергии с разделением по системам тепло- и электроснабжения.</w:t>
      </w:r>
      <w:r>
        <w:rPr>
          <w:rFonts w:cs="Arial Unicode MS"/>
          <w:iCs/>
          <w:color w:val="000000"/>
          <w:lang w:eastAsia="en-US"/>
        </w:rPr>
      </w:r>
    </w:p>
    <w:p>
      <w:pPr>
        <w:pStyle w:val="1570"/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567" w:bottom="1134" w:left="1418" w:header="567" w:footer="567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/>
      <w:bookmarkStart w:id="480" w:name="_Toc119578602"/>
      <w:r/>
      <w:bookmarkStart w:id="481" w:name="_Toc119947519"/>
      <w:r/>
      <w:bookmarkStart w:id="482" w:name="_Toc175216047"/>
      <w:r/>
      <w:bookmarkEnd w:id="476"/>
      <w:r>
        <w:rPr>
          <w:b/>
          <w:bCs/>
          <w:sz w:val="28"/>
          <w:szCs w:val="28"/>
        </w:rPr>
        <w:t xml:space="preserve">4.1.3 Целевые показатели развития системы водоснабжения</w:t>
      </w:r>
      <w:bookmarkEnd w:id="480"/>
      <w:r/>
      <w:bookmarkEnd w:id="481"/>
      <w:r/>
      <w:bookmarkEnd w:id="482"/>
      <w:r/>
      <w:r>
        <w:rPr>
          <w:b/>
          <w:bCs/>
          <w:sz w:val="28"/>
          <w:szCs w:val="28"/>
        </w:rPr>
      </w:r>
    </w:p>
    <w:p>
      <w:pPr>
        <w:pStyle w:val="154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44"/>
        <w:jc w:val="right"/>
        <w:rPr>
          <w:b/>
          <w:bCs/>
          <w:sz w:val="28"/>
          <w:szCs w:val="28"/>
        </w:rPr>
      </w:pPr>
      <w:r/>
      <w:bookmarkStart w:id="483" w:name="_Ref166505896"/>
      <w:r/>
      <w:bookmarkStart w:id="484" w:name="_Toc175216132"/>
      <w:r>
        <w:rPr>
          <w:b/>
          <w:bCs/>
          <w:sz w:val="28"/>
          <w:szCs w:val="28"/>
        </w:rPr>
        <w:t xml:space="preserve">Таблица </w:t>
      </w:r>
      <w:bookmarkEnd w:id="483"/>
      <w:r>
        <w:rPr>
          <w:b/>
          <w:bCs/>
          <w:sz w:val="28"/>
          <w:szCs w:val="28"/>
        </w:rPr>
        <w:t xml:space="preserve">4.3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Целевые показатели развития системы водоснабжения</w:t>
      </w:r>
      <w:bookmarkEnd w:id="484"/>
      <w:r/>
      <w:r>
        <w:rPr>
          <w:b/>
          <w:bCs/>
          <w:sz w:val="28"/>
          <w:szCs w:val="28"/>
        </w:rPr>
      </w:r>
    </w:p>
    <w:p>
      <w:pPr>
        <w:pStyle w:val="1544"/>
        <w:rPr>
          <w:caps/>
          <w:sz w:val="28"/>
          <w:szCs w:val="28"/>
        </w:rPr>
      </w:pPr>
      <w:r>
        <w:rPr>
          <w:caps/>
          <w:sz w:val="28"/>
          <w:szCs w:val="28"/>
        </w:rPr>
      </w:r>
      <w:r>
        <w:rPr>
          <w:caps/>
          <w:sz w:val="28"/>
          <w:szCs w:val="28"/>
        </w:rPr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763"/>
        <w:gridCol w:w="1418"/>
        <w:gridCol w:w="992"/>
        <w:gridCol w:w="992"/>
        <w:gridCol w:w="992"/>
        <w:gridCol w:w="992"/>
        <w:gridCol w:w="995"/>
        <w:gridCol w:w="925"/>
      </w:tblGrid>
      <w:tr>
        <w:tblPrEx/>
        <w:trPr>
          <w:jc w:val="center"/>
          <w:trHeight w:val="20"/>
          <w:tblHeader/>
        </w:trPr>
        <w:tc>
          <w:tcPr>
            <w:tcW w:w="257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Показатели</w:t>
            </w:r>
            <w:r>
              <w:rPr>
                <w:sz w:val="20"/>
                <w:szCs w:val="2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ind w:left="-91"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изм.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2026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2027</w:t>
            </w:r>
            <w:r>
              <w:rPr>
                <w:sz w:val="20"/>
                <w:szCs w:val="20"/>
              </w:rPr>
            </w:r>
          </w:p>
        </w:tc>
        <w:tc>
          <w:tcPr>
            <w:tcW w:w="33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2028</w:t>
            </w:r>
            <w:r>
              <w:rPr>
                <w:sz w:val="20"/>
                <w:szCs w:val="20"/>
              </w:rPr>
            </w:r>
          </w:p>
        </w:tc>
        <w:tc>
          <w:tcPr>
            <w:tcW w:w="30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  <w:lang w:val="en-US"/>
              </w:rPr>
              <w:t xml:space="preserve">34</w:t>
            </w:r>
            <w:r>
              <w:rPr>
                <w:sz w:val="20"/>
                <w:szCs w:val="20"/>
                <w:lang w:val="en-US"/>
              </w:rPr>
            </w:r>
          </w:p>
        </w:tc>
      </w:tr>
    </w:tbl>
    <w:p>
      <w:pPr>
        <w:spacing w:line="48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763"/>
        <w:gridCol w:w="1412"/>
        <w:gridCol w:w="992"/>
        <w:gridCol w:w="992"/>
        <w:gridCol w:w="992"/>
        <w:gridCol w:w="992"/>
        <w:gridCol w:w="992"/>
        <w:gridCol w:w="934"/>
      </w:tblGrid>
      <w:tr>
        <w:tblPrEx/>
        <w:trPr>
          <w:jc w:val="center"/>
          <w:trHeight w:val="20"/>
          <w:tblHeader/>
        </w:trPr>
        <w:tc>
          <w:tcPr>
            <w:tcW w:w="257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  <w:tc>
          <w:tcPr>
            <w:tcW w:w="469" w:type="pct"/>
            <w:textDirection w:val="lrTb"/>
            <w:noWrap w:val="false"/>
          </w:tcPr>
          <w:p>
            <w:pPr>
              <w:ind w:left="-91"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</w:p>
        </w:tc>
        <w:tc>
          <w:tcPr>
            <w:tcW w:w="3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8"/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Холодное водоснабжение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307"/>
        </w:trPr>
        <w:tc>
          <w:tcPr>
            <w:gridSpan w:val="8"/>
            <w:tcW w:w="500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Показатели спроса </w:t>
            </w:r>
            <w:r>
              <w:rPr>
                <w:sz w:val="20"/>
                <w:szCs w:val="20"/>
              </w:rPr>
              <w:t xml:space="preserve">на услуги холодного водоснабжения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2576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Потребление холодной питьевой воды абонентами на территории города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69" w:type="pct"/>
            <w:textDirection w:val="lrTb"/>
            <w:noWrap w:val="false"/>
          </w:tcPr>
          <w:p>
            <w:pPr>
              <w:jc w:val="center"/>
              <w:rPr>
                <w:vertAlign w:val="superscript"/>
              </w:rPr>
            </w:pPr>
            <w:r>
              <w:rPr>
                <w:sz w:val="20"/>
                <w:szCs w:val="20"/>
              </w:rPr>
              <w:t xml:space="preserve">тыс. куб. м</w:t>
            </w:r>
            <w:r>
              <w:rPr>
                <w:vertAlign w:val="superscript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ind w:left="-98" w:right="-79"/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74 164,82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ind w:left="-98" w:right="-7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74 062,27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ind w:left="-98" w:right="-7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73 962,83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ind w:left="-98" w:right="-7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74 667,42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ind w:left="-98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74 755,13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10" w:type="pct"/>
            <w:textDirection w:val="lrTb"/>
            <w:noWrap w:val="false"/>
          </w:tcPr>
          <w:p>
            <w:pPr>
              <w:ind w:left="-98" w:right="-7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74 945,26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2576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Прирост потребления холодной воды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6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куб. 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ind w:left="-98" w:right="-7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32,50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ind w:left="-98" w:right="-7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-102,55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ind w:left="-98" w:right="-7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-99,45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ind w:left="-98" w:right="-7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704,59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ind w:left="-98" w:right="-7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87,71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0" w:type="pct"/>
            <w:textDirection w:val="lrTb"/>
            <w:noWrap w:val="false"/>
          </w:tcPr>
          <w:p>
            <w:pPr>
              <w:ind w:left="-98" w:right="-7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-91,56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2576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Удельное годовое водопотребление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69" w:type="pct"/>
            <w:textDirection w:val="lrTb"/>
            <w:noWrap w:val="false"/>
          </w:tcPr>
          <w:p>
            <w:pPr>
              <w:ind w:left="-109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куб. м/чел./год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ind w:left="-98" w:right="-7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48,61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ind w:left="-98" w:right="-7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48,48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ind w:left="-98" w:right="-7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48,48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ind w:left="-98" w:right="-7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48,48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ind w:left="-98" w:right="-7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48,61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0" w:type="pct"/>
            <w:textDirection w:val="lrTb"/>
            <w:noWrap w:val="false"/>
          </w:tcPr>
          <w:p>
            <w:pPr>
              <w:ind w:left="-98" w:right="-7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48,48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2576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жилых помещений, оборудованная централизованным водопроводом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69" w:type="pct"/>
            <w:textDirection w:val="lrTb"/>
            <w:noWrap w:val="false"/>
          </w:tcPr>
          <w:p>
            <w:pPr>
              <w:ind w:left="-109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ind w:left="-98" w:right="-7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95,2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ind w:left="-98" w:right="-7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95,5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ind w:left="-98" w:right="-7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95,9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ind w:left="-98" w:right="-7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96,2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ind w:left="-98" w:right="-7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96,5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0" w:type="pct"/>
            <w:textDirection w:val="lrTb"/>
            <w:noWrap w:val="false"/>
          </w:tcPr>
          <w:p>
            <w:pPr>
              <w:ind w:left="-98" w:right="-79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98,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5</w:t>
            </w:r>
            <w:r>
              <w:rPr>
                <w:color w:val="000000"/>
                <w:sz w:val="20"/>
                <w:szCs w:val="20"/>
                <w:lang w:val="en-US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8"/>
            <w:tcW w:w="500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Показатели качества питьевой воды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2576" w:type="pct"/>
            <w:textDirection w:val="lrTb"/>
            <w:noWrap w:val="false"/>
          </w:tcPr>
          <w:p>
            <w:pPr>
              <w:ind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проб питьевой воды, подаваемой с источников водоснабжения в 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  <w:r>
              <w:rPr>
                <w:sz w:val="20"/>
                <w:szCs w:val="20"/>
              </w:rPr>
            </w:r>
          </w:p>
        </w:tc>
        <w:tc>
          <w:tcPr>
            <w:tcW w:w="46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1,00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1,00</w:t>
            </w:r>
            <w:r>
              <w:rPr>
                <w:sz w:val="20"/>
                <w:szCs w:val="20"/>
              </w:rPr>
            </w:r>
          </w:p>
        </w:tc>
        <w:tc>
          <w:tcPr>
            <w:tcW w:w="3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1,00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2576" w:type="pct"/>
            <w:textDirection w:val="lrTb"/>
            <w:noWrap w:val="false"/>
          </w:tcPr>
          <w:p>
            <w:pPr>
              <w:ind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проб питьевой воды в распределительной водопроводной сети, не соответствующих установленным требованиям, в общем объеме проб, отобранных по результатам производственного контроля качества питьевой воды</w:t>
            </w:r>
            <w:r>
              <w:rPr>
                <w:sz w:val="20"/>
                <w:szCs w:val="20"/>
              </w:rPr>
            </w:r>
          </w:p>
        </w:tc>
        <w:tc>
          <w:tcPr>
            <w:tcW w:w="46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2,80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2,75</w:t>
            </w:r>
            <w:r>
              <w:rPr>
                <w:sz w:val="20"/>
                <w:szCs w:val="20"/>
              </w:rPr>
            </w:r>
          </w:p>
        </w:tc>
        <w:tc>
          <w:tcPr>
            <w:tcW w:w="3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2,75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8"/>
            <w:tcW w:w="500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Показатели надежности и бесперебойности системы холодного водоснабжения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2576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перерывов в подаче воды, возникших в результате аварий на объектах централизованной системы холодного водоснабжения, в расчете на протяженность водопроводной сети в год</w:t>
            </w:r>
            <w:r>
              <w:rPr>
                <w:sz w:val="20"/>
                <w:szCs w:val="20"/>
              </w:rPr>
            </w:r>
          </w:p>
        </w:tc>
        <w:tc>
          <w:tcPr>
            <w:tcW w:w="46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ед./км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</w:tcBorders>
            <w:tcW w:w="3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0,37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2576" w:type="pct"/>
            <w:textDirection w:val="lrTb"/>
            <w:noWrap w:val="false"/>
          </w:tcPr>
          <w:p>
            <w:pPr>
              <w:ind w:righ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перерывов в подаче воды, зафиксированных в местах исполнения обязательств организацией, осуществляющей холодное водоснабжение, по подаче холодной воды,</w:t>
            </w:r>
            <w:r>
              <w:rPr>
                <w:sz w:val="20"/>
                <w:szCs w:val="20"/>
              </w:rPr>
              <w:t xml:space="preserve"> возникших в результате аварий, повреждений и 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 расчете на протяженность водопроводной сети в год</w:t>
            </w:r>
            <w:r>
              <w:rPr>
                <w:sz w:val="20"/>
                <w:szCs w:val="20"/>
              </w:rPr>
            </w:r>
          </w:p>
        </w:tc>
        <w:tc>
          <w:tcPr>
            <w:tcW w:w="46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ед./км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0,44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0,44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0,43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0,43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0,43</w:t>
            </w:r>
            <w:r>
              <w:rPr>
                <w:sz w:val="20"/>
                <w:szCs w:val="20"/>
              </w:rPr>
            </w:r>
          </w:p>
        </w:tc>
        <w:tc>
          <w:tcPr>
            <w:tcW w:w="3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0,43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8"/>
            <w:tcW w:w="500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Показатели эффективности использования ресурсов системы холодного водоснабжения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2576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потерь воды в централизованных системах водоснабжения при транспортировке в общем объеме воды, поданной в водопроводную сеть</w:t>
            </w:r>
            <w:r>
              <w:rPr>
                <w:sz w:val="20"/>
                <w:szCs w:val="20"/>
              </w:rPr>
            </w:r>
          </w:p>
        </w:tc>
        <w:tc>
          <w:tcPr>
            <w:tcW w:w="46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21,43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21,05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21,05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20,86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20,86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20,86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2576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расход электрической энергии, потребляемой в технологическом процессе подготовки питьевой воды, на единицу объема воды, отпускаемой в сеть</w:t>
            </w:r>
            <w:r>
              <w:rPr>
                <w:sz w:val="20"/>
                <w:szCs w:val="20"/>
              </w:rPr>
            </w:r>
          </w:p>
        </w:tc>
        <w:tc>
          <w:tcPr>
            <w:tcW w:w="469" w:type="pct"/>
            <w:textDirection w:val="lrTb"/>
            <w:noWrap w:val="false"/>
          </w:tcPr>
          <w:p>
            <w:pPr>
              <w:ind w:left="-91"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кВт‧ч</w:t>
            </w:r>
            <w:r>
              <w:rPr>
                <w:sz w:val="20"/>
                <w:szCs w:val="20"/>
              </w:rPr>
              <w:t xml:space="preserve">/куб. м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0,541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0,541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0,541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0,541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0,541</w:t>
            </w:r>
            <w:r>
              <w:rPr>
                <w:sz w:val="20"/>
                <w:szCs w:val="20"/>
              </w:rPr>
            </w:r>
          </w:p>
        </w:tc>
        <w:tc>
          <w:tcPr>
            <w:tcW w:w="3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0,541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2576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  <w:r>
              <w:rPr>
                <w:sz w:val="20"/>
                <w:szCs w:val="20"/>
              </w:rPr>
            </w:r>
          </w:p>
        </w:tc>
        <w:tc>
          <w:tcPr>
            <w:tcW w:w="469" w:type="pct"/>
            <w:textDirection w:val="lrTb"/>
            <w:noWrap w:val="false"/>
          </w:tcPr>
          <w:p>
            <w:pPr>
              <w:ind w:left="-91"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кВт‧ч</w:t>
            </w:r>
            <w:r>
              <w:rPr>
                <w:sz w:val="20"/>
                <w:szCs w:val="20"/>
              </w:rPr>
              <w:t xml:space="preserve">/куб. м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0,170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0,170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0,170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0,170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0,170</w:t>
            </w:r>
            <w:r>
              <w:rPr>
                <w:sz w:val="20"/>
                <w:szCs w:val="20"/>
              </w:rPr>
            </w:r>
          </w:p>
        </w:tc>
        <w:tc>
          <w:tcPr>
            <w:tcW w:w="3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0,170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8"/>
            <w:tcW w:w="500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Показатели охвата приборами учета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2576" w:type="pct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Обеспеченность МКД коллективными ПУ</w:t>
            </w:r>
            <w:r>
              <w:rPr>
                <w:sz w:val="20"/>
                <w:szCs w:val="20"/>
              </w:rPr>
            </w:r>
          </w:p>
        </w:tc>
        <w:tc>
          <w:tcPr>
            <w:tcW w:w="469" w:type="pct"/>
            <w:vAlign w:val="center"/>
            <w:textDirection w:val="lrTb"/>
            <w:noWrap w:val="false"/>
          </w:tcPr>
          <w:p>
            <w:pPr>
              <w:ind w:left="-91"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99,35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99,40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99,45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99,50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99,55</w:t>
            </w:r>
            <w:r>
              <w:rPr>
                <w:sz w:val="20"/>
                <w:szCs w:val="20"/>
              </w:rPr>
            </w:r>
          </w:p>
        </w:tc>
        <w:tc>
          <w:tcPr>
            <w:tcW w:w="31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99,55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2576" w:type="pct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Обеспеченность МКД индивидуальными ПУ</w:t>
            </w:r>
            <w:r>
              <w:rPr>
                <w:sz w:val="20"/>
                <w:szCs w:val="20"/>
              </w:rPr>
            </w:r>
          </w:p>
        </w:tc>
        <w:tc>
          <w:tcPr>
            <w:tcW w:w="469" w:type="pct"/>
            <w:vAlign w:val="center"/>
            <w:textDirection w:val="lrTb"/>
            <w:noWrap w:val="false"/>
          </w:tcPr>
          <w:p>
            <w:pPr>
              <w:ind w:left="-91"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77,00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77,50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78,00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78,50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79,00</w:t>
            </w:r>
            <w:r>
              <w:rPr>
                <w:sz w:val="20"/>
                <w:szCs w:val="20"/>
              </w:rPr>
            </w:r>
          </w:p>
        </w:tc>
        <w:tc>
          <w:tcPr>
            <w:tcW w:w="31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81,00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8"/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Показатели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экологичности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производства ресурса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257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Сброс промывных вод без очистки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469" w:type="pct"/>
            <w:vAlign w:val="center"/>
            <w:textDirection w:val="lrTb"/>
            <w:noWrap w:val="false"/>
          </w:tcPr>
          <w:p>
            <w:pPr>
              <w:ind w:left="-91"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31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8"/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Горячее водоснабжение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8"/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Показатели спроса на услуги горячего водоснабжения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257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Потребление горячей воды абонентами на территории города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469" w:type="pct"/>
            <w:vAlign w:val="center"/>
            <w:textDirection w:val="lrTb"/>
            <w:noWrap w:val="false"/>
          </w:tcPr>
          <w:p>
            <w:pPr>
              <w:ind w:left="-91"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куб. 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8 997,76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8 971,33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8 947,60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8 926,09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8 906,54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8 791,88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257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Прирост потребления горячей воды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469" w:type="pct"/>
            <w:vAlign w:val="center"/>
            <w:textDirection w:val="lrTb"/>
            <w:noWrap w:val="false"/>
          </w:tcPr>
          <w:p>
            <w:pPr>
              <w:ind w:left="-91"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куб. 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-29,10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-26,43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-23,73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-21,51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-19,55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-15,36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8"/>
            <w:shd w:val="clear" w:color="auto" w:fill="auto"/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Показатели качества горячей воды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257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Доля проб горячей воды в тепловой сети или в сети горячего водоснабжения, не 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469" w:type="pct"/>
            <w:textDirection w:val="lrTb"/>
            <w:noWrap w:val="false"/>
          </w:tcPr>
          <w:p>
            <w:pPr>
              <w:ind w:left="-91"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257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Доля проб горячей воды в тепловой сети или в сети горячего водоснабжения, не соответствующих установленным требованиям (за исключением температуры), в общем объеме проб, отобранных по результатам производственного контроля качества горячей воды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469" w:type="pct"/>
            <w:textDirection w:val="lrTb"/>
            <w:noWrap w:val="false"/>
          </w:tcPr>
          <w:p>
            <w:pPr>
              <w:ind w:left="-91"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8"/>
            <w:shd w:val="clear" w:color="auto" w:fill="auto"/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Показатели эффективности использования ресурсов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257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Удельное количество тепловой энергии, расходуемое на подогрев горячей воды (не более)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469" w:type="pct"/>
            <w:textDirection w:val="lrTb"/>
            <w:noWrap w:val="false"/>
          </w:tcPr>
          <w:p>
            <w:pPr>
              <w:ind w:left="-91"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Гкал/куб. 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0,063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0,063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0,064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0,063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0,063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0,063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8"/>
            <w:shd w:val="clear" w:color="auto" w:fill="auto"/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Показатели степени охвата потребителей приборами учета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257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Оснащение домов общедомовыми приборами учета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469" w:type="pct"/>
            <w:vAlign w:val="center"/>
            <w:textDirection w:val="lrTb"/>
            <w:noWrap w:val="false"/>
          </w:tcPr>
          <w:p>
            <w:pPr>
              <w:ind w:left="-91"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98,60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98,70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98,80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98,90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99,60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15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567" w:bottom="1134" w:left="1418" w:header="567" w:footer="567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/>
      <w:bookmarkStart w:id="485" w:name="_Toc119578603"/>
      <w:r/>
      <w:bookmarkStart w:id="486" w:name="_Toc119947520"/>
      <w:r/>
      <w:bookmarkStart w:id="487" w:name="_Toc175216048"/>
      <w:r>
        <w:rPr>
          <w:b/>
          <w:bCs/>
          <w:sz w:val="28"/>
          <w:szCs w:val="28"/>
        </w:rPr>
        <w:t xml:space="preserve">4.1.4 Целевые показатели развития системы водоотведения</w:t>
      </w:r>
      <w:bookmarkEnd w:id="485"/>
      <w:r/>
      <w:bookmarkEnd w:id="486"/>
      <w:r/>
      <w:bookmarkEnd w:id="487"/>
      <w:r/>
      <w:r>
        <w:rPr>
          <w:b/>
          <w:bCs/>
          <w:sz w:val="28"/>
          <w:szCs w:val="28"/>
        </w:rPr>
      </w:r>
    </w:p>
    <w:p>
      <w:pPr>
        <w:pStyle w:val="154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-142"/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/>
      <w:bookmarkStart w:id="488" w:name="_Ref119320231"/>
      <w:r/>
      <w:bookmarkStart w:id="489" w:name="_Toc119578754"/>
      <w:r/>
      <w:bookmarkStart w:id="490" w:name="_Toc119947668"/>
      <w:r/>
      <w:bookmarkStart w:id="491" w:name="_Toc122445981"/>
      <w:r/>
      <w:bookmarkStart w:id="492" w:name="_Toc175216133"/>
      <w:r>
        <w:rPr>
          <w:rFonts w:asciiTheme="minorHAnsi" w:hAnsiTheme="minorHAnsi" w:cstheme="minorHAnsi"/>
          <w:b/>
          <w:bCs/>
          <w:sz w:val="28"/>
          <w:szCs w:val="28"/>
        </w:rPr>
        <w:t xml:space="preserve">Таблица </w:t>
      </w:r>
      <w:bookmarkEnd w:id="488"/>
      <w:r>
        <w:rPr>
          <w:rFonts w:asciiTheme="minorHAnsi" w:hAnsiTheme="minorHAnsi" w:cstheme="minorHAnsi"/>
          <w:b/>
          <w:bCs/>
          <w:sz w:val="28"/>
          <w:szCs w:val="28"/>
        </w:rPr>
        <w:t xml:space="preserve">4.4</w:t>
      </w:r>
      <w:r>
        <w:rPr>
          <w:rFonts w:asciiTheme="minorHAnsi" w:hAnsiTheme="minorHAnsi" w:cstheme="minorHAnsi"/>
          <w:b/>
          <w:bCs/>
          <w:sz w:val="28"/>
          <w:szCs w:val="28"/>
        </w:rPr>
      </w:r>
    </w:p>
    <w:p>
      <w:pPr>
        <w:ind w:left="-14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Целевые показатели развития системы водо</w:t>
      </w:r>
      <w:bookmarkEnd w:id="489"/>
      <w:r/>
      <w:bookmarkEnd w:id="490"/>
      <w:r/>
      <w:bookmarkEnd w:id="491"/>
      <w:r>
        <w:rPr>
          <w:rFonts w:asciiTheme="minorHAnsi" w:hAnsiTheme="minorHAnsi" w:cstheme="minorHAnsi"/>
          <w:b/>
          <w:bCs/>
          <w:sz w:val="28"/>
          <w:szCs w:val="28"/>
        </w:rPr>
        <w:t xml:space="preserve">отведения</w:t>
      </w:r>
      <w:bookmarkEnd w:id="492"/>
      <w:r/>
      <w:r>
        <w:rPr>
          <w:rFonts w:asciiTheme="minorHAnsi" w:hAnsiTheme="minorHAnsi" w:cstheme="minorHAnsi"/>
          <w:b/>
          <w:bCs/>
          <w:sz w:val="28"/>
          <w:szCs w:val="28"/>
        </w:rPr>
      </w:r>
    </w:p>
    <w:p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912"/>
        <w:gridCol w:w="1419"/>
        <w:gridCol w:w="1133"/>
        <w:gridCol w:w="1133"/>
        <w:gridCol w:w="1136"/>
        <w:gridCol w:w="1133"/>
        <w:gridCol w:w="1133"/>
        <w:gridCol w:w="1070"/>
      </w:tblGrid>
      <w:tr>
        <w:tblPrEx/>
        <w:trPr>
          <w:tblHeader/>
        </w:trPr>
        <w:tc>
          <w:tcPr>
            <w:tcW w:w="2293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Показатели</w:t>
            </w:r>
            <w:r>
              <w:rPr>
                <w:sz w:val="20"/>
                <w:szCs w:val="2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изм.</w:t>
            </w:r>
            <w:r>
              <w:rPr>
                <w:sz w:val="20"/>
                <w:szCs w:val="20"/>
              </w:rPr>
            </w:r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</w:t>
            </w:r>
            <w:r>
              <w:rPr>
                <w:sz w:val="20"/>
                <w:szCs w:val="20"/>
              </w:rPr>
            </w:r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</w:t>
            </w:r>
            <w:r>
              <w:rPr>
                <w:sz w:val="20"/>
                <w:szCs w:val="20"/>
              </w:rPr>
            </w:r>
          </w:p>
        </w:tc>
        <w:tc>
          <w:tcPr>
            <w:tcW w:w="377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2026</w:t>
            </w:r>
            <w:r>
              <w:rPr>
                <w:sz w:val="20"/>
                <w:szCs w:val="20"/>
              </w:rPr>
            </w:r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2027</w:t>
            </w:r>
            <w:r>
              <w:rPr>
                <w:sz w:val="20"/>
                <w:szCs w:val="20"/>
              </w:rPr>
            </w:r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2028</w:t>
            </w:r>
            <w:r>
              <w:rPr>
                <w:sz w:val="20"/>
                <w:szCs w:val="20"/>
              </w:rPr>
            </w:r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  <w:lang w:val="en-US"/>
              </w:rPr>
              <w:t xml:space="preserve">34</w:t>
            </w:r>
            <w:r>
              <w:rPr>
                <w:sz w:val="20"/>
                <w:szCs w:val="20"/>
                <w:lang w:val="en-US"/>
              </w:rPr>
            </w:r>
          </w:p>
        </w:tc>
      </w:tr>
      <w:tr>
        <w:tblPrEx/>
        <w:trPr/>
        <w:tc>
          <w:tcPr>
            <w:gridSpan w:val="8"/>
            <w:tcW w:w="5000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Показатели спроса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2293" w:type="pct"/>
            <w:textDirection w:val="lrTb"/>
            <w:noWrap w:val="false"/>
          </w:tcPr>
          <w:p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Сброс сточных вод абонентами в централизованную систему водоотведения</w:t>
            </w:r>
            <w:r>
              <w:rPr>
                <w:sz w:val="20"/>
                <w:szCs w:val="2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тыс. куб. м</w:t>
            </w:r>
            <w:r>
              <w:rPr>
                <w:sz w:val="20"/>
                <w:szCs w:val="20"/>
                <w:vertAlign w:val="superscript"/>
              </w:rPr>
            </w:r>
          </w:p>
        </w:tc>
        <w:tc>
          <w:tcPr>
            <w:shd w:val="clear" w:color="auto" w:fill="auto"/>
            <w:tcW w:w="376" w:type="pct"/>
            <w:textDirection w:val="lrTb"/>
            <w:noWrap w:val="false"/>
          </w:tcPr>
          <w:p>
            <w:pPr>
              <w:ind w:left="-98" w:right="-79"/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82 912,00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6" w:type="pct"/>
            <w:textDirection w:val="lrTb"/>
            <w:noWrap w:val="false"/>
          </w:tcPr>
          <w:p>
            <w:pPr>
              <w:ind w:left="-98" w:right="-79"/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82 642,61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7" w:type="pct"/>
            <w:textDirection w:val="lrTb"/>
            <w:noWrap w:val="false"/>
          </w:tcPr>
          <w:p>
            <w:pPr>
              <w:ind w:left="-98" w:right="-79"/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82 541,55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6" w:type="pct"/>
            <w:textDirection w:val="lrTb"/>
            <w:noWrap w:val="false"/>
          </w:tcPr>
          <w:p>
            <w:pPr>
              <w:ind w:left="-98" w:right="-79"/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83 188,69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6" w:type="pct"/>
            <w:textDirection w:val="lrTb"/>
            <w:noWrap w:val="false"/>
          </w:tcPr>
          <w:p>
            <w:pPr>
              <w:ind w:left="-98" w:right="-79"/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83 298,92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55" w:type="pct"/>
            <w:textDirection w:val="lrTb"/>
            <w:noWrap w:val="false"/>
          </w:tcPr>
          <w:p>
            <w:pPr>
              <w:ind w:left="-98" w:right="-79"/>
              <w:jc w:val="center"/>
              <w:spacing w:before="20" w:after="20"/>
              <w:rPr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83 470,91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2293" w:type="pct"/>
            <w:textDirection w:val="lrTb"/>
            <w:noWrap w:val="false"/>
          </w:tcPr>
          <w:p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Прирост объемов водоотведения</w:t>
            </w:r>
            <w:r>
              <w:rPr>
                <w:sz w:val="20"/>
                <w:szCs w:val="2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куб. 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6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57,93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6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-269,40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7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-101,05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6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647,14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6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110,23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55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-90,41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2293" w:type="pct"/>
            <w:textDirection w:val="lrTb"/>
            <w:noWrap w:val="false"/>
          </w:tcPr>
          <w:p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жилых помещений, оборудованная централизованным водоотведением</w:t>
            </w:r>
            <w:r>
              <w:rPr>
                <w:sz w:val="20"/>
                <w:szCs w:val="2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6" w:type="pct"/>
            <w:textDirection w:val="lrTb"/>
            <w:noWrap w:val="false"/>
          </w:tcPr>
          <w:p>
            <w:pPr>
              <w:ind w:left="-98" w:right="-79"/>
              <w:jc w:val="center"/>
              <w:spacing w:before="20" w:after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93,5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6" w:type="pct"/>
            <w:textDirection w:val="lrTb"/>
            <w:noWrap w:val="false"/>
          </w:tcPr>
          <w:p>
            <w:pPr>
              <w:ind w:left="-98" w:right="-79"/>
              <w:jc w:val="center"/>
              <w:spacing w:before="20" w:after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93,82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7" w:type="pct"/>
            <w:textDirection w:val="lrTb"/>
            <w:noWrap w:val="false"/>
          </w:tcPr>
          <w:p>
            <w:pPr>
              <w:ind w:left="-98" w:right="-79"/>
              <w:jc w:val="center"/>
              <w:spacing w:before="20" w:after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94,14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6" w:type="pct"/>
            <w:textDirection w:val="lrTb"/>
            <w:noWrap w:val="false"/>
          </w:tcPr>
          <w:p>
            <w:pPr>
              <w:ind w:left="-98" w:right="-79"/>
              <w:jc w:val="center"/>
              <w:spacing w:before="20" w:after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94,46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6" w:type="pct"/>
            <w:textDirection w:val="lrTb"/>
            <w:noWrap w:val="false"/>
          </w:tcPr>
          <w:p>
            <w:pPr>
              <w:ind w:left="-98" w:right="-79"/>
              <w:jc w:val="center"/>
              <w:spacing w:before="20" w:after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94,78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5" w:type="pct"/>
            <w:textDirection w:val="lrTb"/>
            <w:noWrap w:val="false"/>
          </w:tcPr>
          <w:p>
            <w:pPr>
              <w:ind w:left="-98" w:right="-79"/>
              <w:jc w:val="center"/>
              <w:spacing w:before="20" w:after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96,7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8"/>
            <w:tcW w:w="5000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Показатели качества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2293" w:type="pct"/>
            <w:vAlign w:val="center"/>
            <w:textDirection w:val="lrTb"/>
            <w:noWrap w:val="false"/>
          </w:tcPr>
          <w:p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  <w:r>
              <w:rPr>
                <w:sz w:val="20"/>
                <w:szCs w:val="2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2293" w:type="pct"/>
            <w:vAlign w:val="center"/>
            <w:textDirection w:val="lrTb"/>
            <w:noWrap w:val="false"/>
          </w:tcPr>
          <w:p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 централизованной общесплавной (бытовой) системе водоотведения</w:t>
            </w:r>
            <w:r>
              <w:rPr>
                <w:sz w:val="20"/>
                <w:szCs w:val="2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2,93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8"/>
            <w:tcW w:w="5000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Показатели надежности и бесперебойности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2293" w:type="pct"/>
            <w:vAlign w:val="center"/>
            <w:textDirection w:val="lrTb"/>
            <w:noWrap w:val="false"/>
          </w:tcPr>
          <w:p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Удельное количество аварий в расчете на протяженность канализационной сети в год</w:t>
            </w:r>
            <w:r>
              <w:rPr>
                <w:sz w:val="20"/>
                <w:szCs w:val="2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ед./км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0,10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2293" w:type="pct"/>
            <w:vAlign w:val="center"/>
            <w:textDirection w:val="lrTb"/>
            <w:noWrap w:val="false"/>
          </w:tcPr>
          <w:p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Удельное количество аварий и засоров в расчете на протяженность канализационной сети в год</w:t>
            </w:r>
            <w:r>
              <w:rPr>
                <w:sz w:val="20"/>
                <w:szCs w:val="2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ед./км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4,05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4,02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3,99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3,96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3,96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3,96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8"/>
            <w:tcW w:w="5000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Показатели энергетической эффективности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2293" w:type="pct"/>
            <w:vAlign w:val="center"/>
            <w:textDirection w:val="lrTb"/>
            <w:noWrap w:val="false"/>
          </w:tcPr>
          <w:p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1" w:type="pct"/>
            <w:textDirection w:val="lrTb"/>
            <w:noWrap w:val="false"/>
          </w:tcPr>
          <w:p>
            <w:pPr>
              <w:ind w:left="-99" w:right="-114"/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кВт‧ч</w:t>
            </w:r>
            <w:r>
              <w:rPr>
                <w:sz w:val="20"/>
                <w:szCs w:val="20"/>
              </w:rPr>
              <w:t xml:space="preserve">/куб. м</w:t>
            </w:r>
            <w:r>
              <w:rPr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0,320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0,342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0,365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0,364</w:t>
            </w:r>
            <w:r>
              <w:rPr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0,364</w:t>
            </w:r>
            <w:r>
              <w:rPr>
                <w:sz w:val="20"/>
                <w:szCs w:val="20"/>
              </w:rPr>
            </w:r>
          </w:p>
        </w:tc>
        <w:tc>
          <w:tcPr>
            <w:tcW w:w="355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0,364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2293" w:type="pct"/>
            <w:vAlign w:val="center"/>
            <w:textDirection w:val="lrTb"/>
            <w:noWrap w:val="false"/>
          </w:tcPr>
          <w:p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1" w:type="pct"/>
            <w:textDirection w:val="lrTb"/>
            <w:noWrap w:val="false"/>
          </w:tcPr>
          <w:p>
            <w:pPr>
              <w:ind w:left="-99" w:right="-114"/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кВт‧ч</w:t>
            </w:r>
            <w:r>
              <w:rPr>
                <w:sz w:val="20"/>
                <w:szCs w:val="20"/>
              </w:rPr>
              <w:t xml:space="preserve">/куб. 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0,458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0,458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0,458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0,458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0,458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0,458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15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567" w:bottom="1134" w:left="1418" w:header="340" w:footer="567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/>
      <w:bookmarkStart w:id="493" w:name="_Toc119600482"/>
      <w:r/>
      <w:bookmarkStart w:id="494" w:name="_Toc119947521"/>
      <w:r/>
      <w:bookmarkStart w:id="495" w:name="_Toc175216049"/>
      <w:r>
        <w:rPr>
          <w:b/>
          <w:bCs/>
          <w:sz w:val="28"/>
          <w:szCs w:val="28"/>
        </w:rPr>
        <w:t xml:space="preserve">4.1.5 Целевые показатели развития системы электроснабжения</w:t>
      </w:r>
      <w:bookmarkStart w:id="496" w:name="_Ref166505907"/>
      <w:r/>
      <w:bookmarkStart w:id="497" w:name="_Toc175216134"/>
      <w:r/>
      <w:bookmarkEnd w:id="493"/>
      <w:r/>
      <w:bookmarkEnd w:id="494"/>
      <w:r/>
      <w:bookmarkEnd w:id="495"/>
      <w:r/>
      <w:r>
        <w:rPr>
          <w:b/>
          <w:bCs/>
          <w:sz w:val="28"/>
          <w:szCs w:val="28"/>
        </w:rPr>
      </w:r>
    </w:p>
    <w:p>
      <w:pPr>
        <w:pStyle w:val="154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44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Таблица </w:t>
      </w:r>
      <w:bookmarkEnd w:id="496"/>
      <w:r>
        <w:rPr>
          <w:b/>
          <w:bCs/>
          <w:sz w:val="28"/>
          <w:szCs w:val="28"/>
        </w:rPr>
        <w:t xml:space="preserve">4.5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Целевые показатели развития системы электроснабжения</w:t>
      </w:r>
      <w:bookmarkEnd w:id="497"/>
      <w:r/>
      <w:r>
        <w:rPr>
          <w:b/>
          <w:bCs/>
          <w:color w:val="000000" w:themeColor="text1"/>
          <w:sz w:val="28"/>
          <w:szCs w:val="28"/>
        </w:rPr>
      </w:r>
    </w:p>
    <w:p>
      <w:pPr>
        <w:pStyle w:val="154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233"/>
        <w:gridCol w:w="1418"/>
        <w:gridCol w:w="1275"/>
        <w:gridCol w:w="1134"/>
        <w:gridCol w:w="1134"/>
        <w:gridCol w:w="1134"/>
        <w:gridCol w:w="1134"/>
        <w:gridCol w:w="1098"/>
      </w:tblGrid>
      <w:tr>
        <w:tblPrEx/>
        <w:trPr>
          <w:jc w:val="center"/>
          <w:trHeight w:val="20"/>
          <w:tblHeader/>
        </w:trPr>
        <w:tc>
          <w:tcPr>
            <w:tcW w:w="623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Показатели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Ед. изм.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0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34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8"/>
            <w:tcW w:w="14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Показатели спроса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6233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Годовой полезный отпуск электроэнергии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млн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кВт·ч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7 811,9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7 954,4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8 143,1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8 313,1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8 475,4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 xml:space="preserve">9 400,6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6233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Доля населения, охваченного услугой централизованного электроснабжения на конец года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100,0,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8"/>
            <w:tcW w:w="14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Показатели качества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6233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Количество абонентов за год, получивших услугу ненадлежащего качества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ед.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0,0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8"/>
            <w:tcW w:w="14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Показатели надежности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6233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Показатель средней частоты прекращений передачи электрической энергии на точку поставки (SAIFI)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ед.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pStyle w:val="1572"/>
              <w:jc w:val="center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1,17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1572"/>
              <w:jc w:val="center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1,13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1572"/>
              <w:jc w:val="center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1,10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1572"/>
              <w:jc w:val="center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1,06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1,03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109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0,81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6233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/>
            <w:bookmarkStart w:id="498" w:name="_Hlk167287184"/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Показатель средней продолжительности прекращений передачи электрической энергии на точку поставки (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 xml:space="preserve">SAIDI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)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час.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pStyle w:val="1572"/>
              <w:jc w:val="center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2,79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1572"/>
              <w:jc w:val="center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2,75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1572"/>
              <w:jc w:val="center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2,71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1572"/>
              <w:jc w:val="center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2,67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2,64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09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2,48</w:t>
            </w:r>
            <w:bookmarkEnd w:id="498"/>
            <w:r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6233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Износ сетей электроснабжения на конец года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66,2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66,0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65,0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64,0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63,0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55,0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8"/>
            <w:tcW w:w="14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Показатели эффективности производства, передачи и потребления электроэнергии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6233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Уровень потерь электроэнергии за год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12,1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12,1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11,9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11,8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11,0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6233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Удельный годовой расход топлива на производство электрической энергии 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гут/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кВт·ч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174,6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174,2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174,2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174,0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171,0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171,0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8"/>
            <w:tcW w:w="14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Показатели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экологичности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6233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Выбросы парниковых газов от источников производства электрической энергии за год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107" w:right="-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тыс. т СО</w:t>
            </w:r>
            <w:r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 xml:space="preserve">2-экв.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1 644,0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1 640,0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1 667,0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1 664,0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1 635,0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1 659,0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</w:tbl>
    <w:p>
      <w:pPr>
        <w:pStyle w:val="157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570"/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567" w:bottom="1134" w:left="1418" w:header="567" w:footer="567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/>
      <w:bookmarkStart w:id="499" w:name="_Toc119600483"/>
      <w:r/>
      <w:bookmarkStart w:id="500" w:name="_Toc119947522"/>
      <w:r/>
      <w:bookmarkStart w:id="501" w:name="_Toc175216050"/>
      <w:r>
        <w:rPr>
          <w:b/>
          <w:bCs/>
          <w:sz w:val="28"/>
          <w:szCs w:val="28"/>
        </w:rPr>
        <w:t xml:space="preserve">4.1.6 Целевые показатели развития системы газоснабжения</w:t>
      </w:r>
      <w:bookmarkEnd w:id="499"/>
      <w:r/>
      <w:bookmarkEnd w:id="500"/>
      <w:r/>
      <w:bookmarkEnd w:id="501"/>
      <w:r/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44"/>
        <w:jc w:val="right"/>
        <w:rPr>
          <w:b/>
          <w:bCs/>
          <w:sz w:val="28"/>
          <w:szCs w:val="28"/>
        </w:rPr>
      </w:pPr>
      <w:r/>
      <w:bookmarkStart w:id="502" w:name="_Ref166505910"/>
      <w:r/>
      <w:bookmarkStart w:id="503" w:name="_Toc175216135"/>
      <w:r>
        <w:rPr>
          <w:b/>
          <w:bCs/>
          <w:sz w:val="28"/>
          <w:szCs w:val="28"/>
        </w:rPr>
        <w:t xml:space="preserve">Таблица</w:t>
      </w:r>
      <w:bookmarkEnd w:id="502"/>
      <w:r>
        <w:rPr>
          <w:b/>
          <w:bCs/>
          <w:sz w:val="28"/>
          <w:szCs w:val="28"/>
        </w:rPr>
        <w:t xml:space="preserve"> 4.6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Целевые показатели развития системы газоснабжения</w:t>
      </w:r>
      <w:bookmarkEnd w:id="503"/>
      <w:r/>
      <w:r>
        <w:rPr>
          <w:b/>
          <w:bCs/>
          <w:color w:val="000000" w:themeColor="text1"/>
          <w:sz w:val="28"/>
          <w:szCs w:val="28"/>
        </w:rPr>
      </w:r>
    </w:p>
    <w:p>
      <w:pPr>
        <w:pStyle w:val="154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911"/>
        <w:gridCol w:w="1426"/>
        <w:gridCol w:w="1127"/>
        <w:gridCol w:w="1133"/>
        <w:gridCol w:w="1136"/>
        <w:gridCol w:w="1133"/>
        <w:gridCol w:w="1133"/>
        <w:gridCol w:w="1070"/>
      </w:tblGrid>
      <w:tr>
        <w:tblPrEx/>
        <w:trPr>
          <w:trHeight w:val="20"/>
          <w:tblHeader/>
        </w:trPr>
        <w:tc>
          <w:tcPr>
            <w:tcW w:w="229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/>
            <w:bookmarkStart w:id="504" w:name="_Hlk166506371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Показатели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Ед. изм.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34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</w:p>
        </w:tc>
      </w:tr>
      <w:tr>
        <w:tblPrEx/>
        <w:trPr>
          <w:trHeight w:val="20"/>
        </w:trPr>
        <w:tc>
          <w:tcPr>
            <w:gridSpan w:val="8"/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Показатели спроса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293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Годовой отпуск природного газа в сеть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млн </w:t>
            </w:r>
            <w:r>
              <w:rPr>
                <w:color w:val="000000" w:themeColor="text1"/>
                <w:sz w:val="20"/>
                <w:szCs w:val="20"/>
              </w:rPr>
              <w:t xml:space="preserve">куб. м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r>
          </w:p>
        </w:tc>
        <w:tc>
          <w:tcPr>
            <w:tcW w:w="374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14 084,3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13 953,4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13 962,2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14 152,2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14 327,4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355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15 355,3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293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Доля жилой площади, подключенной к централизованной системе газоснабжения на конец года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4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55,2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54,2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53,3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52,4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51,5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55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46,8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293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Прирост нагрузок – всего, в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т.ч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.: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тыс. куб. м/ч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4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1,5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1,2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1,7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1,3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2,2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55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1,8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293" w:type="pct"/>
            <w:vAlign w:val="center"/>
            <w:textDirection w:val="lrTb"/>
            <w:noWrap w:val="false"/>
          </w:tcPr>
          <w:p>
            <w:pPr>
              <w:ind w:left="17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население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тыс. куб. м/ч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4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1,3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55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293" w:type="pct"/>
            <w:vAlign w:val="center"/>
            <w:textDirection w:val="lrTb"/>
            <w:noWrap w:val="false"/>
          </w:tcPr>
          <w:p>
            <w:pPr>
              <w:ind w:left="17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коммерческие здания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тыс.</w:t>
            </w:r>
            <w: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куб. м/ч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4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55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293" w:type="pct"/>
            <w:vAlign w:val="center"/>
            <w:textDirection w:val="lrTb"/>
            <w:noWrap w:val="false"/>
          </w:tcPr>
          <w:p>
            <w:pPr>
              <w:ind w:left="17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транспорт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тыс. куб. м/ч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4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55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8"/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Показатели качества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293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Количество абонентов за год, получивших услугу ненадлежащего качества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ед.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5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0,0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8"/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Показатели охвата приборами учета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293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Обеспеченность МКД коллективными ПУ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47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5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293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Обеспеченность МКД индивидуальными ПУ</w:t>
            </w:r>
            <w: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r>
          </w:p>
        </w:tc>
        <w:tc>
          <w:tcPr>
            <w:tcW w:w="47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48,8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49,9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51,0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52,1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53,2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59,8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293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Обеспеченность ИОЗ индивидуальными ПУ</w:t>
            </w:r>
            <w: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r>
          </w:p>
        </w:tc>
        <w:tc>
          <w:tcPr>
            <w:tcW w:w="47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5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8"/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Показатели надежности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293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Аварийность газовых сетей за год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47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ед./км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293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Износ газопроводов на конец года</w:t>
            </w:r>
            <w:r>
              <w:rPr>
                <w:rFonts w:cs="Arial Unicode MS"/>
                <w:iCs/>
                <w:color w:val="000000"/>
                <w:vertAlign w:val="superscript"/>
                <w:lang w:eastAsia="en-US"/>
              </w:rPr>
              <w:footnoteRef/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47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45,1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45,5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45,9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46,3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46,6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48,7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293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Износ пунктов редуцирования природного газа на конец года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47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40,6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41,2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41,8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42,4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42,9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46,5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8"/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Показатели эффективности производства и транспортировки ресурса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293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Уровень потерь природного газа в сетях за год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47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8"/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Показатели доступности для потребителей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293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Количество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догазифицируемых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домовладений (накопленным итогом)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47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ед.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193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194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194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194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194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194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8"/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Показатели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экологичности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293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Фугитивные выбросы парниковых газов за год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47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тыс. т СО</w:t>
            </w:r>
            <w:r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 xml:space="preserve">2-экв.</w:t>
            </w:r>
            <w:r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r>
          </w:p>
        </w:tc>
        <w:tc>
          <w:tcPr>
            <w:tcW w:w="37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959,2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954,3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3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953,7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967,6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980,2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ind w:left="-109" w:right="-14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1 104,1</w:t>
            </w:r>
            <w:bookmarkEnd w:id="504"/>
            <w:r/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</w:tr>
    </w:tbl>
    <w:p>
      <w:pPr>
        <w:ind w:firstLine="709"/>
        <w:rPr>
          <w:rFonts w:cs="Arial Unicode MS"/>
          <w:i/>
          <w:color w:val="000000"/>
          <w:lang w:eastAsia="en-US"/>
        </w:rPr>
      </w:pPr>
      <w:r>
        <w:rPr>
          <w:rFonts w:cs="Arial Unicode MS"/>
          <w:i/>
          <w:color w:val="000000"/>
          <w:lang w:eastAsia="en-US"/>
        </w:rPr>
      </w:r>
      <w:r>
        <w:rPr>
          <w:rFonts w:cs="Arial Unicode MS"/>
          <w:i/>
          <w:color w:val="000000"/>
          <w:lang w:eastAsia="en-US"/>
        </w:rPr>
      </w:r>
    </w:p>
    <w:p>
      <w:pPr>
        <w:ind w:firstLine="709"/>
        <w:rPr>
          <w:rFonts w:cs="Arial Unicode MS"/>
          <w:i/>
          <w:color w:val="000000"/>
          <w:lang w:eastAsia="en-US"/>
        </w:rPr>
      </w:pPr>
      <w:r>
        <w:rPr>
          <w:rFonts w:cs="Arial Unicode MS"/>
          <w:i/>
          <w:color w:val="000000"/>
          <w:lang w:eastAsia="en-US"/>
        </w:rPr>
        <w:t xml:space="preserve">---------------------------</w:t>
      </w:r>
      <w:r>
        <w:rPr>
          <w:rFonts w:cs="Arial Unicode MS"/>
          <w:i/>
          <w:color w:val="000000"/>
          <w:lang w:eastAsia="en-US"/>
        </w:rPr>
      </w:r>
    </w:p>
    <w:p>
      <w:pPr>
        <w:ind w:firstLine="709"/>
        <w:rPr>
          <w:rFonts w:cs="Arial Unicode MS"/>
          <w:iCs/>
          <w:color w:val="000000"/>
          <w:lang w:eastAsia="en-US"/>
        </w:rPr>
      </w:pPr>
      <w:r>
        <w:rPr>
          <w:rFonts w:cs="Arial Unicode MS"/>
          <w:iCs/>
          <w:color w:val="000000"/>
          <w:lang w:eastAsia="en-US"/>
        </w:rPr>
        <w:t xml:space="preserve">1. Б</w:t>
      </w:r>
      <w:r>
        <w:t xml:space="preserve">ез учета протяженности газопроводов на </w:t>
      </w:r>
      <w:r>
        <w:t xml:space="preserve">догазификацию</w:t>
      </w:r>
      <w:r>
        <w:t xml:space="preserve"> домовладений.</w:t>
      </w:r>
      <w:r>
        <w:rPr>
          <w:rFonts w:cs="Arial Unicode MS"/>
          <w:iCs/>
          <w:color w:val="000000"/>
          <w:lang w:eastAsia="en-US"/>
        </w:rPr>
      </w:r>
    </w:p>
    <w:p>
      <w:pPr>
        <w:pStyle w:val="157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57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570"/>
        <w:ind w:firstLine="0"/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567" w:bottom="1134" w:left="1418" w:header="567" w:footer="567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/>
      <w:bookmarkStart w:id="505" w:name="_Toc119600484"/>
      <w:r/>
      <w:bookmarkStart w:id="506" w:name="_Toc119947523"/>
      <w:r/>
      <w:bookmarkStart w:id="507" w:name="_Toc175216051"/>
      <w:r>
        <w:rPr>
          <w:b/>
          <w:bCs/>
          <w:sz w:val="28"/>
          <w:szCs w:val="28"/>
        </w:rPr>
        <w:t xml:space="preserve">4.1.7 Целевые показатели развития системы обращения с</w:t>
      </w:r>
      <w:bookmarkEnd w:id="505"/>
      <w:r/>
      <w:bookmarkEnd w:id="506"/>
      <w:r>
        <w:rPr>
          <w:b/>
          <w:bCs/>
          <w:sz w:val="28"/>
          <w:szCs w:val="28"/>
        </w:rPr>
        <w:t xml:space="preserve"> ТКО</w:t>
      </w:r>
      <w:bookmarkEnd w:id="507"/>
      <w:r/>
      <w:r>
        <w:rPr>
          <w:b/>
          <w:bCs/>
          <w:sz w:val="28"/>
          <w:szCs w:val="28"/>
        </w:rPr>
      </w:r>
    </w:p>
    <w:p>
      <w:pPr>
        <w:pStyle w:val="154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44"/>
        <w:jc w:val="right"/>
        <w:rPr>
          <w:b/>
          <w:bCs/>
          <w:sz w:val="28"/>
          <w:szCs w:val="28"/>
        </w:rPr>
      </w:pPr>
      <w:r/>
      <w:bookmarkStart w:id="508" w:name="_Ref166505913"/>
      <w:r/>
      <w:bookmarkStart w:id="509" w:name="_Toc175216136"/>
      <w:r>
        <w:rPr>
          <w:b/>
          <w:bCs/>
          <w:sz w:val="28"/>
          <w:szCs w:val="28"/>
        </w:rPr>
        <w:t xml:space="preserve">Таблица</w:t>
      </w:r>
      <w:bookmarkEnd w:id="508"/>
      <w:r>
        <w:rPr>
          <w:b/>
          <w:bCs/>
          <w:sz w:val="28"/>
          <w:szCs w:val="28"/>
        </w:rPr>
        <w:t xml:space="preserve"> 4.7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Целевые показатели развития системы обращения с ТКО</w:t>
      </w:r>
      <w:bookmarkEnd w:id="509"/>
      <w:r/>
      <w:r>
        <w:rPr>
          <w:b/>
          <w:bCs/>
          <w:color w:val="000000" w:themeColor="text1"/>
          <w:sz w:val="28"/>
          <w:szCs w:val="28"/>
        </w:rPr>
      </w:r>
    </w:p>
    <w:p>
      <w:pPr>
        <w:pStyle w:val="1544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606"/>
        <w:gridCol w:w="992"/>
        <w:gridCol w:w="709"/>
        <w:gridCol w:w="708"/>
        <w:gridCol w:w="709"/>
        <w:gridCol w:w="709"/>
        <w:gridCol w:w="709"/>
        <w:gridCol w:w="701"/>
      </w:tblGrid>
      <w:tr>
        <w:tblPrEx/>
        <w:trPr>
          <w:trHeight w:val="20"/>
          <w:tblHeader/>
        </w:trPr>
        <w:tc>
          <w:tcPr>
            <w:tcW w:w="96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/>
            <w:bookmarkStart w:id="510" w:name="_Hlk52898586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Показатели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Ед. изм.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34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</w:p>
        </w:tc>
      </w:tr>
      <w:tr>
        <w:tblPrEx/>
        <w:trPr>
          <w:trHeight w:val="20"/>
        </w:trPr>
        <w:tc>
          <w:tcPr>
            <w:gridSpan w:val="8"/>
            <w:tcW w:w="14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Показатели спроса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9606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Объем образованных ТКО за год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тыс. т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329,6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331,0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333,2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334,2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335,1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342,1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9606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Доля населения, охваченного услугой сбора и вывоза ТКО на конец года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100,0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8"/>
            <w:tcW w:w="14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Показатели эффективности транспортировки ресурса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9606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Доля вывозимых ТКО на объекты размещения, переработки и утилизации 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701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8"/>
            <w:tcW w:w="14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Показатели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экологичности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9606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Количество отходов, вывезенных с несанкционированных свалок за год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тыс. т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6,5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6,5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6,5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8"/>
            <w:tcW w:w="14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Другие показатели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9606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Количество мест накопления (площадок), соответствующих н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ормативным требованиям на конец года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ед.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225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225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283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533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653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3 480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96"/>
        </w:trPr>
        <w:tc>
          <w:tcPr>
            <w:tcW w:w="9606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Количество замененных контейнеров (накопленным итогом)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ед.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820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1 640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2 460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3 280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4 100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9 020</w:t>
            </w:r>
            <w:bookmarkEnd w:id="510"/>
            <w:r/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</w:tbl>
    <w:p>
      <w:pPr>
        <w:pStyle w:val="1570"/>
        <w:ind w:firstLine="0"/>
        <w:rPr>
          <w:i/>
          <w:iCs w:val="0"/>
          <w:sz w:val="28"/>
          <w:szCs w:val="28"/>
        </w:rPr>
      </w:pPr>
      <w:r>
        <w:rPr>
          <w:i/>
          <w:iCs w:val="0"/>
          <w:sz w:val="28"/>
          <w:szCs w:val="28"/>
        </w:rPr>
      </w:r>
      <w:r>
        <w:rPr>
          <w:i/>
          <w:iCs w:val="0"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/>
      <w:bookmarkStart w:id="511" w:name="_Toc175216052"/>
      <w:r/>
      <w:bookmarkStart w:id="512" w:name="_Toc119947524"/>
      <w:r>
        <w:rPr>
          <w:b/>
          <w:bCs/>
          <w:sz w:val="28"/>
          <w:szCs w:val="28"/>
        </w:rPr>
        <w:t xml:space="preserve">4.1.8 Целевые показатели развития системы ливневой канализации</w:t>
      </w:r>
      <w:bookmarkEnd w:id="511"/>
      <w:r/>
      <w:r>
        <w:rPr>
          <w:b/>
          <w:bCs/>
          <w:sz w:val="28"/>
          <w:szCs w:val="28"/>
        </w:rPr>
      </w:r>
    </w:p>
    <w:p>
      <w:pPr>
        <w:pStyle w:val="1464"/>
        <w:jc w:val="right"/>
        <w:rPr>
          <w:b/>
          <w:bCs/>
          <w:sz w:val="28"/>
          <w:szCs w:val="28"/>
        </w:rPr>
      </w:pPr>
      <w:r/>
      <w:bookmarkStart w:id="513" w:name="_Ref166505903"/>
      <w:r/>
      <w:bookmarkStart w:id="514" w:name="_Toc175216137"/>
      <w:r>
        <w:rPr>
          <w:b/>
          <w:bCs/>
          <w:sz w:val="28"/>
          <w:szCs w:val="28"/>
        </w:rPr>
        <w:t xml:space="preserve">Таблица </w:t>
      </w:r>
      <w:bookmarkEnd w:id="513"/>
      <w:r>
        <w:rPr>
          <w:b/>
          <w:bCs/>
          <w:sz w:val="28"/>
          <w:szCs w:val="28"/>
        </w:rPr>
        <w:t xml:space="preserve">4.8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Целевые показатели развития системы </w:t>
      </w:r>
      <w:r>
        <w:rPr>
          <w:b/>
          <w:bCs/>
          <w:color w:val="000000" w:themeColor="text1"/>
          <w:sz w:val="28"/>
          <w:szCs w:val="28"/>
        </w:rPr>
        <w:t xml:space="preserve">ливневой</w:t>
      </w:r>
      <w:r>
        <w:rPr>
          <w:b/>
          <w:bCs/>
          <w:sz w:val="28"/>
          <w:szCs w:val="28"/>
        </w:rPr>
        <w:t xml:space="preserve"> канализации</w:t>
      </w:r>
      <w:bookmarkEnd w:id="514"/>
      <w:r/>
      <w:r>
        <w:rPr>
          <w:b/>
          <w:bCs/>
          <w:sz w:val="28"/>
          <w:szCs w:val="28"/>
        </w:rPr>
      </w:r>
    </w:p>
    <w:p>
      <w:pPr>
        <w:pStyle w:val="154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1574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500"/>
        <w:gridCol w:w="1418"/>
        <w:gridCol w:w="853"/>
        <w:gridCol w:w="710"/>
        <w:gridCol w:w="707"/>
        <w:gridCol w:w="675"/>
      </w:tblGrid>
      <w:tr>
        <w:tblPrEx/>
        <w:trPr>
          <w:trHeight w:val="20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Наименование показателя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Ед. изм.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7" w:type="pct"/>
            <w:vAlign w:val="center"/>
            <w:textDirection w:val="lrTb"/>
            <w:noWrap w:val="false"/>
          </w:tcPr>
          <w:p>
            <w:pPr>
              <w:pStyle w:val="1457"/>
              <w:ind w:righ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9" w:type="pct"/>
            <w:vAlign w:val="center"/>
            <w:textDirection w:val="lrTb"/>
            <w:noWrap w:val="false"/>
          </w:tcPr>
          <w:p>
            <w:pPr>
              <w:pStyle w:val="1457"/>
              <w:ind w:righ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" w:type="pct"/>
            <w:vAlign w:val="center"/>
            <w:textDirection w:val="lrTb"/>
            <w:noWrap w:val="false"/>
          </w:tcPr>
          <w:p>
            <w:pPr>
              <w:pStyle w:val="1457"/>
              <w:ind w:righ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" w:type="pct"/>
            <w:vAlign w:val="center"/>
            <w:textDirection w:val="lrTb"/>
            <w:noWrap w:val="false"/>
          </w:tcPr>
          <w:p>
            <w:pPr>
              <w:pStyle w:val="1457"/>
              <w:ind w:righ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2034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1457"/>
              <w:ind w:right="89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 w:eastAsia="ru-RU"/>
              </w:rPr>
              <w:t xml:space="preserve">Показатели качества очистки сточных вод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2" w:type="pct"/>
            <w:vAlign w:val="center"/>
            <w:textDirection w:val="lrTb"/>
            <w:noWrap w:val="false"/>
          </w:tcPr>
          <w:p>
            <w:pPr>
              <w:pStyle w:val="1457"/>
              <w:ind w:lef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Доля поверхностных сточных вод, не подвергающихся очистке, в общем объеме поверхностных сточных вод, поступивших в централизованную ливневую систему водоотведения (</w:t>
            </w:r>
            <w:r>
              <w:rPr>
                <w:rFonts w:asciiTheme="minorHAnsi" w:hAnsiTheme="minorHAnsi" w:cstheme="minorHAnsi"/>
                <w:sz w:val="20"/>
                <w:szCs w:val="20"/>
                <w:lang w:val="ru-RU" w:eastAsia="ru-RU"/>
              </w:rPr>
              <w:t xml:space="preserve">Д</w:t>
            </w:r>
            <w:r>
              <w:rPr>
                <w:rFonts w:asciiTheme="minorHAnsi" w:hAnsiTheme="minorHAnsi" w:cstheme="minorHAnsi"/>
                <w:sz w:val="20"/>
                <w:szCs w:val="20"/>
                <w:vertAlign w:val="subscript"/>
                <w:lang w:val="ru-RU" w:eastAsia="ru-RU"/>
              </w:rPr>
              <w:t xml:space="preserve">св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)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7" w:type="pct"/>
            <w:textDirection w:val="lrTb"/>
            <w:noWrap w:val="false"/>
          </w:tcPr>
          <w:p>
            <w:pPr>
              <w:pStyle w:val="1457"/>
              <w:ind w:righ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 w:val="false"/>
          </w:tcPr>
          <w:p>
            <w:pPr>
              <w:pStyle w:val="1457"/>
              <w:ind w:righ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92,8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9" w:type="pct"/>
            <w:textDirection w:val="lrTb"/>
            <w:noWrap w:val="false"/>
          </w:tcPr>
          <w:p>
            <w:pPr>
              <w:pStyle w:val="1457"/>
              <w:ind w:righ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90,3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" w:type="pct"/>
            <w:textDirection w:val="lrTb"/>
            <w:noWrap w:val="false"/>
          </w:tcPr>
          <w:p>
            <w:pPr>
              <w:pStyle w:val="1457"/>
              <w:ind w:righ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87,8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" w:type="pct"/>
            <w:textDirection w:val="lrTb"/>
            <w:noWrap w:val="false"/>
          </w:tcPr>
          <w:p>
            <w:pPr>
              <w:pStyle w:val="1457"/>
              <w:ind w:righ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82,8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2" w:type="pct"/>
            <w:vAlign w:val="center"/>
            <w:textDirection w:val="lrTb"/>
            <w:noWrap w:val="false"/>
          </w:tcPr>
          <w:p>
            <w:pPr>
              <w:pStyle w:val="1457"/>
              <w:ind w:lef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Доля проб поверхностных сточных вод, не соответствующих установленным нормативам допустимых сбросов, лимитам на сбросы для централизованной ливневой систем водоотведения (</w:t>
            </w:r>
            <w:r>
              <w:rPr>
                <w:rFonts w:asciiTheme="minorHAnsi" w:hAnsiTheme="minorHAnsi" w:cstheme="minorHAnsi"/>
                <w:sz w:val="20"/>
                <w:szCs w:val="20"/>
                <w:lang w:val="ru-RU" w:eastAsia="ru-RU"/>
              </w:rPr>
              <w:t xml:space="preserve">Д</w:t>
            </w:r>
            <w:r>
              <w:rPr>
                <w:rFonts w:asciiTheme="minorHAnsi" w:hAnsiTheme="minorHAnsi" w:cstheme="minorHAnsi"/>
                <w:sz w:val="20"/>
                <w:szCs w:val="20"/>
                <w:vertAlign w:val="subscript"/>
                <w:lang w:val="ru-RU" w:eastAsia="ru-RU"/>
              </w:rPr>
              <w:t xml:space="preserve">нн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)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7" w:type="pct"/>
            <w:textDirection w:val="lrTb"/>
            <w:noWrap w:val="false"/>
          </w:tcPr>
          <w:p>
            <w:pPr>
              <w:pStyle w:val="1457"/>
              <w:ind w:righ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 w:val="false"/>
          </w:tcPr>
          <w:p>
            <w:pPr>
              <w:pStyle w:val="1457"/>
              <w:ind w:right="89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98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,0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9" w:type="pct"/>
            <w:textDirection w:val="lrTb"/>
            <w:noWrap w:val="false"/>
          </w:tcPr>
          <w:p>
            <w:pPr>
              <w:pStyle w:val="1457"/>
              <w:ind w:right="89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98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,0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" w:type="pct"/>
            <w:textDirection w:val="lrTb"/>
            <w:noWrap w:val="false"/>
          </w:tcPr>
          <w:p>
            <w:pPr>
              <w:pStyle w:val="1457"/>
              <w:ind w:right="89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98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,0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" w:type="pct"/>
            <w:textDirection w:val="lrTb"/>
            <w:noWrap w:val="false"/>
          </w:tcPr>
          <w:p>
            <w:pPr>
              <w:pStyle w:val="1457"/>
              <w:ind w:right="89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80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,0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1457"/>
              <w:ind w:right="89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 w:eastAsia="ru-RU"/>
              </w:rPr>
              <w:t xml:space="preserve">Показатели надежности и бесперебойности водоотведения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2" w:type="pct"/>
            <w:vAlign w:val="center"/>
            <w:textDirection w:val="lrTb"/>
            <w:noWrap w:val="false"/>
          </w:tcPr>
          <w:p>
            <w:pPr>
              <w:pStyle w:val="1457"/>
              <w:ind w:left="142" w:right="-1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Удельное количество аварий и засоров в расчете на протяженность ливневой сети в год (</w:t>
            </w:r>
            <w:r>
              <w:rPr>
                <w:rFonts w:asciiTheme="minorHAnsi" w:hAnsiTheme="minorHAnsi" w:cstheme="minorHAnsi"/>
                <w:sz w:val="20"/>
                <w:szCs w:val="20"/>
                <w:lang w:val="ru-RU" w:eastAsia="ru-RU"/>
              </w:rPr>
              <w:t xml:space="preserve">П</w:t>
            </w:r>
            <w:r>
              <w:rPr>
                <w:rFonts w:asciiTheme="minorHAnsi" w:hAnsiTheme="minorHAnsi" w:cstheme="minorHAnsi"/>
                <w:sz w:val="20"/>
                <w:szCs w:val="20"/>
                <w:vertAlign w:val="subscript"/>
                <w:lang w:val="ru-RU" w:eastAsia="ru-RU"/>
              </w:rPr>
              <w:t xml:space="preserve">н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)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pStyle w:val="1457"/>
              <w:ind w:right="89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/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км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7" w:type="pct"/>
            <w:vAlign w:val="center"/>
            <w:textDirection w:val="lrTb"/>
            <w:noWrap w:val="false"/>
          </w:tcPr>
          <w:p>
            <w:pPr>
              <w:pStyle w:val="1457"/>
              <w:ind w:righ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0,55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9" w:type="pct"/>
            <w:vAlign w:val="center"/>
            <w:textDirection w:val="lrTb"/>
            <w:noWrap w:val="false"/>
          </w:tcPr>
          <w:p>
            <w:pPr>
              <w:pStyle w:val="1457"/>
              <w:ind w:righ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0,54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" w:type="pct"/>
            <w:vAlign w:val="center"/>
            <w:textDirection w:val="lrTb"/>
            <w:noWrap w:val="false"/>
          </w:tcPr>
          <w:p>
            <w:pPr>
              <w:pStyle w:val="1457"/>
              <w:ind w:righ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0,52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" w:type="pct"/>
            <w:vAlign w:val="center"/>
            <w:textDirection w:val="lrTb"/>
            <w:noWrap w:val="false"/>
          </w:tcPr>
          <w:p>
            <w:pPr>
              <w:pStyle w:val="1457"/>
              <w:ind w:righ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0,51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1457"/>
              <w:ind w:right="89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 w:eastAsia="ru-RU"/>
              </w:rPr>
              <w:t xml:space="preserve">Показатели энергетической эффективности объектов централизованной системы водоотведения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2" w:type="pct"/>
            <w:vAlign w:val="center"/>
            <w:textDirection w:val="lrTb"/>
            <w:noWrap w:val="false"/>
          </w:tcPr>
          <w:p>
            <w:pPr>
              <w:pStyle w:val="1457"/>
              <w:ind w:lef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Удельный расход электрической энергии, потребляемый в технологическом</w:t>
            </w:r>
            <w:r>
              <w:rPr>
                <w:rFonts w:asciiTheme="minorHAnsi" w:hAnsiTheme="minorHAnsi" w:cstheme="minorHAnsi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процессе</w:t>
            </w:r>
            <w:r>
              <w:rPr>
                <w:rFonts w:asciiTheme="minorHAnsi" w:hAnsiTheme="minorHAnsi" w:cstheme="minorHAnsi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очистки</w:t>
            </w:r>
            <w:r>
              <w:rPr>
                <w:rFonts w:asciiTheme="minorHAnsi" w:hAnsiTheme="minorHAnsi" w:cstheme="minorHAnsi"/>
                <w:spacing w:val="-7"/>
                <w:sz w:val="20"/>
                <w:szCs w:val="20"/>
                <w:lang w:val="ru-RU"/>
              </w:rPr>
              <w:t xml:space="preserve"> поверхностных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сточных</w:t>
            </w:r>
            <w:r>
              <w:rPr>
                <w:rFonts w:asciiTheme="minorHAnsi" w:hAnsiTheme="minorHAnsi" w:cstheme="minorHAnsi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вод,</w:t>
            </w:r>
            <w:r>
              <w:rPr>
                <w:rFonts w:asciiTheme="minorHAnsi" w:hAnsiTheme="minorHAnsi" w:cstheme="minorHAnsi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на</w:t>
            </w:r>
            <w:r>
              <w:rPr>
                <w:rFonts w:asciiTheme="minorHAnsi" w:hAnsiTheme="minorHAnsi" w:cstheme="minorHAnsi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единицу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объема очищаемых ливневых сточных вод (</w:t>
            </w:r>
            <w:r>
              <w:rPr>
                <w:rFonts w:asciiTheme="minorHAnsi" w:hAnsiTheme="minorHAnsi" w:cstheme="minorHAnsi"/>
                <w:sz w:val="20"/>
                <w:szCs w:val="20"/>
                <w:lang w:val="ru-RU" w:eastAsia="ru-RU"/>
              </w:rPr>
              <w:t xml:space="preserve">У</w:t>
            </w:r>
            <w:r>
              <w:rPr>
                <w:rFonts w:asciiTheme="minorHAnsi" w:hAnsiTheme="minorHAnsi" w:cstheme="minorHAnsi"/>
                <w:sz w:val="20"/>
                <w:szCs w:val="20"/>
                <w:vertAlign w:val="subscript"/>
                <w:lang w:val="ru-RU" w:eastAsia="ru-RU"/>
              </w:rPr>
              <w:t xml:space="preserve">рп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)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7" w:type="pct"/>
            <w:textDirection w:val="lrTb"/>
            <w:noWrap w:val="false"/>
          </w:tcPr>
          <w:p>
            <w:pPr>
              <w:pStyle w:val="1457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кВт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‧ч/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куб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м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 w:val="false"/>
          </w:tcPr>
          <w:p>
            <w:pPr>
              <w:pStyle w:val="1457"/>
              <w:ind w:right="89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0,14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0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9" w:type="pct"/>
            <w:textDirection w:val="lrTb"/>
            <w:noWrap w:val="false"/>
          </w:tcPr>
          <w:p>
            <w:pPr>
              <w:pStyle w:val="1457"/>
              <w:ind w:right="89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0,14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0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" w:type="pct"/>
            <w:textDirection w:val="lrTb"/>
            <w:noWrap w:val="false"/>
          </w:tcPr>
          <w:p>
            <w:pPr>
              <w:pStyle w:val="1457"/>
              <w:ind w:right="89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0,14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0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" w:type="pct"/>
            <w:textDirection w:val="lrTb"/>
            <w:noWrap w:val="false"/>
          </w:tcPr>
          <w:p>
            <w:pPr>
              <w:pStyle w:val="1457"/>
              <w:ind w:right="89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0,14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0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2" w:type="pct"/>
            <w:vAlign w:val="center"/>
            <w:textDirection w:val="lrTb"/>
            <w:noWrap w:val="false"/>
          </w:tcPr>
          <w:p>
            <w:pPr>
              <w:pStyle w:val="1457"/>
              <w:ind w:lef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Удельный расход электрической энергии, потребляемой в технологическом процессе транспортировки поверхностных сточных вод, на единицу объема транспортируемых ливневых сточных вод (</w:t>
            </w:r>
            <w:r>
              <w:rPr>
                <w:rFonts w:asciiTheme="minorHAnsi" w:hAnsiTheme="minorHAnsi" w:cstheme="minorHAnsi"/>
                <w:sz w:val="20"/>
                <w:szCs w:val="20"/>
                <w:lang w:val="ru-RU" w:eastAsia="ru-RU"/>
              </w:rPr>
              <w:t xml:space="preserve">У</w:t>
            </w:r>
            <w:r>
              <w:rPr>
                <w:rFonts w:asciiTheme="minorHAnsi" w:hAnsiTheme="minorHAnsi" w:cstheme="minorHAnsi"/>
                <w:sz w:val="20"/>
                <w:szCs w:val="20"/>
                <w:vertAlign w:val="subscript"/>
                <w:lang w:val="ru-RU" w:eastAsia="ru-RU"/>
              </w:rPr>
              <w:t xml:space="preserve">рост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)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7" w:type="pct"/>
            <w:textDirection w:val="lrTb"/>
            <w:noWrap w:val="false"/>
          </w:tcPr>
          <w:p>
            <w:pPr>
              <w:pStyle w:val="1457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кВт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‧ч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/</w:t>
            </w:r>
            <w: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куб. м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7" w:type="pct"/>
            <w:textDirection w:val="lrTb"/>
            <w:noWrap w:val="false"/>
          </w:tcPr>
          <w:p>
            <w:pPr>
              <w:pStyle w:val="1457"/>
              <w:ind w:righ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0,008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9" w:type="pct"/>
            <w:textDirection w:val="lrTb"/>
            <w:noWrap w:val="false"/>
          </w:tcPr>
          <w:p>
            <w:pPr>
              <w:pStyle w:val="1457"/>
              <w:ind w:righ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0,008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" w:type="pct"/>
            <w:textDirection w:val="lrTb"/>
            <w:noWrap w:val="false"/>
          </w:tcPr>
          <w:p>
            <w:pPr>
              <w:pStyle w:val="1457"/>
              <w:ind w:righ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0,008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" w:type="pct"/>
            <w:textDirection w:val="lrTb"/>
            <w:noWrap w:val="false"/>
          </w:tcPr>
          <w:p>
            <w:pPr>
              <w:pStyle w:val="1457"/>
              <w:ind w:righ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0,008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</w:tbl>
    <w:p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center"/>
        <w:tabs>
          <w:tab w:val="left" w:pos="4920" w:leader="none"/>
        </w:tabs>
        <w:rPr>
          <w:b/>
          <w:bCs/>
          <w:sz w:val="28"/>
          <w:szCs w:val="28"/>
        </w:rPr>
      </w:pPr>
      <w:r/>
      <w:bookmarkStart w:id="515" w:name="_Toc175216053"/>
      <w:r>
        <w:rPr>
          <w:b/>
          <w:bCs/>
          <w:sz w:val="28"/>
          <w:szCs w:val="28"/>
          <w:lang w:eastAsia="en-US"/>
        </w:rPr>
        <w:t xml:space="preserve">4</w:t>
      </w:r>
      <w:r>
        <w:rPr>
          <w:b/>
          <w:bCs/>
          <w:sz w:val="28"/>
          <w:szCs w:val="28"/>
        </w:rPr>
        <w:t xml:space="preserve">.2. Перечень мероприятий</w:t>
      </w:r>
      <w:bookmarkEnd w:id="512"/>
      <w:r/>
      <w:bookmarkEnd w:id="515"/>
      <w:r/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приведен в таблице 4.9 в виде укрупненного по группам и целям перечня инвестиционных проектов, которые б</w:t>
      </w:r>
      <w:r>
        <w:rPr>
          <w:sz w:val="28"/>
          <w:szCs w:val="28"/>
        </w:rPr>
        <w:t xml:space="preserve">ыли отобраны для обеспечения достижения целевых показателей развития систем коммунальной инфраструктуры. Подробный перечень мероприятий с описанием конкретных целей, технических параметров и сроков реализации приведен в обосновывающих материалах Программы.</w:t>
      </w:r>
      <w:bookmarkStart w:id="516" w:name="_Toc175216138"/>
      <w:r/>
      <w:r>
        <w:rPr>
          <w:sz w:val="28"/>
          <w:szCs w:val="28"/>
        </w:rPr>
      </w:r>
    </w:p>
    <w:p>
      <w:pPr>
        <w:pStyle w:val="1544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44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Таблица 4.9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инвестиционных проектов, которые были отобраны для обеспечения достижения целевых показателей развития систем коммунальной инфраструктуры</w:t>
      </w:r>
      <w:bookmarkEnd w:id="516"/>
      <w:r/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598"/>
        <w:gridCol w:w="1173"/>
        <w:gridCol w:w="1172"/>
        <w:gridCol w:w="1172"/>
        <w:gridCol w:w="1172"/>
        <w:gridCol w:w="1172"/>
        <w:gridCol w:w="1326"/>
        <w:gridCol w:w="1284"/>
      </w:tblGrid>
      <w:tr>
        <w:tblPrEx/>
        <w:trPr>
          <w:trHeight w:val="20"/>
          <w:tblHeader/>
        </w:trPr>
        <w:tc>
          <w:tcPr>
            <w:shd w:val="clear" w:color="auto" w:fill="auto"/>
            <w:tcW w:w="2189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Цель реализации проекта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6"/>
            <w:shd w:val="clear" w:color="auto" w:fill="auto"/>
            <w:tcW w:w="238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Объемы финансовых потребностей и капитальных затрат на реализацию мероприятий в прогнозных ценах (без НДС), тыс. руб.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Всего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20"/>
          <w:tblHeader/>
        </w:trPr>
        <w:tc>
          <w:tcPr>
            <w:shd w:val="clear" w:color="auto" w:fill="auto"/>
            <w:tcW w:w="2189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4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2029-2034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</w:tr>
    </w:tbl>
    <w:p>
      <w:pPr>
        <w:spacing w:line="48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598"/>
        <w:gridCol w:w="1173"/>
        <w:gridCol w:w="1172"/>
        <w:gridCol w:w="1172"/>
        <w:gridCol w:w="1172"/>
        <w:gridCol w:w="1172"/>
        <w:gridCol w:w="1326"/>
        <w:gridCol w:w="1284"/>
      </w:tblGrid>
      <w:tr>
        <w:tblPrEx/>
        <w:trPr>
          <w:trHeight w:val="20"/>
          <w:tblHeader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4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8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Система теплоснабжения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3 759 506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3 572 357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2 335 645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3 147 945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2 320 914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16 743 898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31 880 265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Присоединение новых потребителей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409 112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611 551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525 075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508 963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491 055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5 572 911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8 118 668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качества и надежности предоставления коммунальной услуги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3 350 394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2 960 805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1 810 571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2 638 982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1 829 859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11 170 987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23 761 597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Энергосбережение и повышение энергетической эффективности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4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Улучшение экологической ситуации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4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безопасности и улучшение производственных условий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4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Система водоснабжения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2 728 870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5 454 755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6 284 853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6 266 884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4 643 801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33 542 416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58 921 580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Присоединение новых потребителей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1 801 812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1 250 022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2 008 302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1 818 092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298 396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4 337 120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11 513 744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качества и надежности предоставления коммунальной услуги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844 316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4 089 721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4 037 655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4 104 837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4 196 875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29 139 888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46 413 293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Энергосбережение и повышение энергетической эффективности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76 429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81 523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185 819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343 955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148 531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14 803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851 060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Улучшение экологической ситуации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безопасности и улучшение производственных условий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6 313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33 489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53 076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50 605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143 483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Система водоотведения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2 185 346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4 438 560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4 831 666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6 721 149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4 651 781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38 838 173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61 666 675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Присоединение новых потребителей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1 353 213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1 482 353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1 500 533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2 372 984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511 258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7 339 406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14 559 749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качества и надежности предоставления коммунальной услуги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341 954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1 713 173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2 236 324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2 868 940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2 602 022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24 108 917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33 871 330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Энергосбережение и повышение энергетической эффективности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254 140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329 022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633 432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1 186 148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1 252 929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3 110 757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6 766 428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Улучшение экологической ситуации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236 039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914 012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461 377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293 077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285 571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4 279 092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6 469 168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безопасности и улучшение производственных условий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Система электроснабжения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109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861 862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109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389 991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109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82 544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109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118 053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109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111 131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440" w:type="pct"/>
            <w:textDirection w:val="lrTb"/>
            <w:noWrap w:val="false"/>
          </w:tcPr>
          <w:p>
            <w:pPr>
              <w:ind w:left="-109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2 855 020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ind w:left="-109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4 418 602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Присоединение новых потребителей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66 614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47 584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4 000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440" w:type="pct"/>
            <w:textDirection w:val="lrTb"/>
            <w:noWrap w:val="false"/>
          </w:tcPr>
          <w:p>
            <w:pPr>
              <w:ind w:left="-105" w:right="-116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1 911 020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ind w:left="-102" w:right="-14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2 029 218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качества и надежности предоставления коммунальной услуги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109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795 248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109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342 407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109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82 544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109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118 053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109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107 131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4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944 000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ind w:left="-102" w:right="-14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2 389 384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Энергосбережение и повышение энергетической эффективности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4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Улучшение экологической ситуации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4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безопасности и улучшение производственных условий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4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Система газоснабжения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138 157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153 556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75 520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50 130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103 898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4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701 984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1 223 245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Присоединение новых потребителей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114 348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134 889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27 599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40 810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4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65 256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382 902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качества и надежности предоставления коммунальной услуги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21 601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13 162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15 979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18 134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22 484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537 464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628 824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Энергосбережение и повышение энергетической эффективности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Улучшение экологической ситуации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безопасности и улучшение производственных условий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2 208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5 505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31 942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31 996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40 604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99 264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211 519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right w:val="single" w:color="auto" w:sz="4" w:space="0"/>
            </w:tcBorders>
            <w:tcW w:w="2189" w:type="pct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Сфера обращения с ТКО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1 062 578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1 171 467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1 134 344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2 042 939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2 145 187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3 390 146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10 946 661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right w:val="single" w:color="auto" w:sz="4" w:space="0"/>
            </w:tcBorders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Присоединение новых потребителей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right w:val="single" w:color="auto" w:sz="4" w:space="0"/>
            </w:tcBorders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качества и надежности предоставления коммунальной услуги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right w:val="single" w:color="auto" w:sz="4" w:space="0"/>
            </w:tcBorders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Энергосбережение и повышение энергетической эффективности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right w:val="single" w:color="auto" w:sz="4" w:space="0"/>
            </w:tcBorders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Улучшение экологической ситуации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1 062 578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1 171 467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1 134 344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2 042 939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2 145 187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3 390 146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10 946 661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right w:val="single" w:color="auto" w:sz="4" w:space="0"/>
            </w:tcBorders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безопасности и улучшение производственных условий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Система ливневой канализации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9 993 106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9 993 106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10 442 796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22 087 196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22 992 771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57 465 477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132 974 451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Система наружного освещения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701 204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560 457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gridSpan w:val="4"/>
            <w:shd w:val="clear" w:color="auto" w:fill="auto"/>
            <w:tcW w:w="160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6 677 727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7 939 388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Многоквартирные дома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2 823 603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2 477 036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2 107 463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591 329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623 910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4 494 766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13 118 106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Общественно-деловые здания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290 297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225 295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246 691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142 210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149 773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1 071 073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2 125 338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right w:val="single" w:color="auto" w:sz="4" w:space="0"/>
            </w:tcBorders>
            <w:tcW w:w="2189" w:type="pct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Всего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1</w:t>
            </w:r>
            <w:r>
              <w:rPr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10 736 320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15 180 685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14 744 572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18 347 100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13 976 713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96 071 637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169 057 027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right w:val="single" w:color="auto" w:sz="4" w:space="0"/>
            </w:tcBorders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Присоединение новых потребителей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3 745 099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3 526 399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4 061 509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4 700 040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1 345 519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" w:type="pct"/>
            <w:textDirection w:val="lrTb"/>
            <w:noWrap w:val="false"/>
          </w:tcPr>
          <w:p>
            <w:pPr>
              <w:ind w:left="-99" w:right="-11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19 225 714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ind w:left="-102" w:right="-14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36 604 280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right w:val="single" w:color="auto" w:sz="4" w:space="0"/>
            </w:tcBorders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качества и надежности предоставления коммунальной услуги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5 353 513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9 119 268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8 183 073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9 748 946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8 758 371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65 901 256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107 064 428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right w:val="single" w:color="auto" w:sz="4" w:space="0"/>
            </w:tcBorders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Энергосбережение и повышение энергетической эффективности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330 569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410 545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819 251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1 530 102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1 401 460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3 125 560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7 617 488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right w:val="single" w:color="auto" w:sz="4" w:space="0"/>
            </w:tcBorders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Улучшение экологической ситуации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1 298 617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2 085 479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1 595 720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2 336 016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2 430 758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7 669 238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17 415 828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77"/>
        </w:trPr>
        <w:tc>
          <w:tcPr>
            <w:shd w:val="clear" w:color="auto" w:fill="auto"/>
            <w:tcBorders>
              <w:right w:val="single" w:color="auto" w:sz="4" w:space="0"/>
            </w:tcBorders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безопасности и улучшение производственных условий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8 521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38 994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85 018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31 996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40 604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149 869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355 002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</w:tbl>
    <w:p>
      <w:pPr>
        <w:ind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  <w:r>
        <w:rPr>
          <w:i/>
          <w:iCs/>
          <w:sz w:val="28"/>
          <w:szCs w:val="28"/>
        </w:rPr>
      </w:r>
    </w:p>
    <w:p>
      <w:pPr>
        <w:ind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---------------------------</w:t>
      </w:r>
      <w:r>
        <w:rPr>
          <w:i/>
          <w:iCs/>
          <w:sz w:val="28"/>
          <w:szCs w:val="28"/>
        </w:rPr>
      </w:r>
    </w:p>
    <w:p>
      <w:pPr>
        <w:ind w:firstLine="709"/>
        <w:jc w:val="both"/>
      </w:pPr>
      <w:r>
        <w:t xml:space="preserve">1. Без учета финансовых потребностей по прочим инвестиционным проектам: система ливневой канализации, система наружного освещения, многоквартирные дома, общественно-деловые здания. </w:t>
      </w:r>
      <w:r/>
    </w:p>
    <w:p>
      <w:pPr>
        <w:ind w:firstLine="709"/>
        <w:jc w:val="both"/>
        <w:sectPr>
          <w:footnotePr/>
          <w:endnotePr/>
          <w:type w:val="nextPage"/>
          <w:pgSz w:w="16838" w:h="11906" w:orient="landscape"/>
          <w:pgMar w:top="1134" w:right="567" w:bottom="1134" w:left="1418" w:header="567" w:footer="567" w:gutter="0"/>
          <w:cols w:num="1" w:sep="0" w:space="708" w:equalWidth="1"/>
          <w:docGrid w:linePitch="360"/>
        </w:sectPr>
      </w:pPr>
      <w:r/>
      <w:r/>
    </w:p>
    <w:p>
      <w:pPr>
        <w:pStyle w:val="1570"/>
        <w:jc w:val="center"/>
        <w:rPr>
          <w:b/>
          <w:bCs/>
          <w:sz w:val="28"/>
          <w:szCs w:val="28"/>
        </w:rPr>
      </w:pPr>
      <w:r/>
      <w:bookmarkStart w:id="517" w:name="_Toc119947525"/>
      <w:r/>
      <w:bookmarkStart w:id="518" w:name="_Toc175216054"/>
      <w:r>
        <w:rPr>
          <w:b/>
          <w:bCs/>
          <w:sz w:val="28"/>
          <w:szCs w:val="28"/>
          <w:lang w:val="en-US"/>
        </w:rPr>
        <w:t xml:space="preserve">V</w:t>
      </w:r>
      <w:r>
        <w:rPr>
          <w:b/>
          <w:bCs/>
          <w:sz w:val="28"/>
          <w:szCs w:val="28"/>
        </w:rPr>
        <w:t xml:space="preserve">.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</w:t>
      </w:r>
      <w:bookmarkEnd w:id="517"/>
      <w:r/>
      <w:bookmarkEnd w:id="518"/>
      <w:r/>
      <w:r>
        <w:rPr>
          <w:b/>
          <w:bCs/>
          <w:sz w:val="28"/>
          <w:szCs w:val="28"/>
        </w:rPr>
      </w:r>
    </w:p>
    <w:p>
      <w:pPr>
        <w:pStyle w:val="1570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Программа инвестиционных проектов приводится по каждой системе коммунальной инфраструктуры: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Программа инвестиционных проектов в отношении системы теплоснабжения приведена в таблице 5.1;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Программа инвестиционных проектов в отношении системы водоснабжения приведена в таблице 5.2;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Программа инвестиционных проектов в отношении системы водоотведения приведена в таблице 5.3;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rStyle w:val="986"/>
          <w:sz w:val="28"/>
          <w:szCs w:val="28"/>
        </w:rPr>
      </w:pPr>
      <w:r>
        <w:rPr>
          <w:rStyle w:val="986"/>
          <w:sz w:val="28"/>
          <w:szCs w:val="28"/>
        </w:rPr>
        <w:t xml:space="preserve">4. Программа инвестиционных проектов в отношении системы электроснабжения приведена в таблице 5.4;</w:t>
      </w:r>
      <w:r>
        <w:rPr>
          <w:rStyle w:val="986"/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rStyle w:val="986"/>
          <w:sz w:val="28"/>
          <w:szCs w:val="28"/>
        </w:rPr>
      </w:pPr>
      <w:r>
        <w:rPr>
          <w:rStyle w:val="986"/>
          <w:sz w:val="28"/>
          <w:szCs w:val="28"/>
        </w:rPr>
        <w:t xml:space="preserve">5. Программа инвестиционных проектов в отношении системы газоснабжения приведена в таблице 5.5;</w:t>
      </w:r>
      <w:r>
        <w:rPr>
          <w:rStyle w:val="986"/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rStyle w:val="986"/>
          <w:sz w:val="28"/>
          <w:szCs w:val="28"/>
        </w:rPr>
      </w:pPr>
      <w:r>
        <w:rPr>
          <w:rStyle w:val="986"/>
          <w:sz w:val="28"/>
          <w:szCs w:val="28"/>
        </w:rPr>
        <w:t xml:space="preserve">6. Программа инвестиционных проектов в отношении системы обращения с ТКО </w:t>
      </w:r>
      <w:r>
        <w:rPr>
          <w:rStyle w:val="986"/>
          <w:sz w:val="28"/>
          <w:szCs w:val="28"/>
        </w:rPr>
        <w:t xml:space="preserve">приведена </w:t>
      </w:r>
      <w:bookmarkStart w:id="519" w:name="_GoBack"/>
      <w:r/>
      <w:bookmarkEnd w:id="519"/>
      <w:r>
        <w:rPr>
          <w:rStyle w:val="986"/>
          <w:sz w:val="28"/>
          <w:szCs w:val="28"/>
        </w:rPr>
        <w:t xml:space="preserve">в таблице 5.6;</w:t>
      </w:r>
      <w:r>
        <w:rPr>
          <w:rStyle w:val="986"/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rStyle w:val="986"/>
          <w:sz w:val="28"/>
          <w:szCs w:val="28"/>
        </w:rPr>
      </w:pPr>
      <w:r>
        <w:rPr>
          <w:rStyle w:val="986"/>
          <w:sz w:val="28"/>
          <w:szCs w:val="28"/>
        </w:rPr>
        <w:t xml:space="preserve">7. Программа инвестиционных проектов в отношении системы ливневой канализации приведена в таблице 5.7;</w:t>
      </w:r>
      <w:r>
        <w:rPr>
          <w:rStyle w:val="986"/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rStyle w:val="986"/>
          <w:sz w:val="28"/>
          <w:szCs w:val="28"/>
        </w:rPr>
      </w:pPr>
      <w:r>
        <w:rPr>
          <w:rStyle w:val="986"/>
          <w:sz w:val="28"/>
          <w:szCs w:val="28"/>
        </w:rPr>
        <w:t xml:space="preserve">8. Программа инвестиционных проектов в </w:t>
      </w:r>
      <w:r>
        <w:rPr>
          <w:sz w:val="28"/>
          <w:szCs w:val="28"/>
        </w:rPr>
        <w:t xml:space="preserve">системе наружного освещения</w:t>
      </w:r>
      <w:r>
        <w:rPr>
          <w:rStyle w:val="986"/>
          <w:sz w:val="28"/>
          <w:szCs w:val="28"/>
        </w:rPr>
        <w:t xml:space="preserve"> приведена в таблице 5.8;</w:t>
      </w:r>
      <w:r>
        <w:rPr>
          <w:rStyle w:val="986"/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Программа инвестиционных проектов в многоквартирных домах приведена в таблице 5.9;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rStyle w:val="986"/>
          <w:sz w:val="28"/>
          <w:szCs w:val="28"/>
        </w:rPr>
        <w:t xml:space="preserve">10. Программа инвестиционных проектов в </w:t>
      </w:r>
      <w:r>
        <w:rPr>
          <w:rStyle w:val="986"/>
          <w:sz w:val="28"/>
          <w:szCs w:val="28"/>
        </w:rPr>
        <w:t xml:space="preserve">в</w:t>
      </w:r>
      <w:r>
        <w:rPr>
          <w:rStyle w:val="986"/>
          <w:sz w:val="28"/>
          <w:szCs w:val="28"/>
        </w:rPr>
        <w:t xml:space="preserve"> зданиях бюджетной сферы приведена в таблице 5.10.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Подробная программа инвестиционных проектов в системах коммунальных инфраструктур с приведением необходимых капитальных затрат с разбивкой по годам и периодам разработки Программы и источникам финансирования приведена в обосновывающих материалах Программы.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Далее в таблицах 5.1-5.6 в графе «РСО» указываются </w:t>
      </w:r>
      <w:r>
        <w:rPr>
          <w:sz w:val="28"/>
          <w:szCs w:val="28"/>
        </w:rPr>
        <w:t xml:space="preserve">ресурсоснабжающие</w:t>
      </w:r>
      <w:r>
        <w:rPr>
          <w:sz w:val="28"/>
          <w:szCs w:val="28"/>
        </w:rPr>
        <w:t xml:space="preserve"> организации, эксп</w:t>
      </w:r>
      <w:r>
        <w:rPr>
          <w:sz w:val="28"/>
          <w:szCs w:val="28"/>
        </w:rPr>
        <w:t xml:space="preserve">луатирующие объекты коммунального хозяйства, как существующие, находящиеся на ее балансе, так и предполагаемые к строительству в зоне ее деятельности, которые предположительно будут им переданы для дальнейшей эксплуатации, в случае отличного от РСО Исполни</w:t>
      </w:r>
      <w:r>
        <w:rPr>
          <w:sz w:val="28"/>
          <w:szCs w:val="28"/>
        </w:rPr>
        <w:t xml:space="preserve">теля мероприятия. Определение Исполнителя на стадии разработки Программы на столь отдаленную перспективу невозможно. Определение эксплуатирующей организации для новых объектов ВКХ обусловлено необходимостью учета в Программе совокупных финансовых потребнос</w:t>
      </w:r>
      <w:r>
        <w:rPr>
          <w:sz w:val="28"/>
          <w:szCs w:val="28"/>
        </w:rPr>
        <w:t xml:space="preserve">тей в зоне деятельности РСО. Отнесение тех или иных финансовых затрат на «бюджет» обусловлено накладываемыми полномочиями на органы местного самоуправления (далее – ОМС) для обеспечения коммунальными ресурсами территорий или определенных категорий граждан.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70"/>
        <w:sectPr>
          <w:footnotePr/>
          <w:endnotePr/>
          <w:type w:val="nextPage"/>
          <w:pgSz w:w="11906" w:h="16838" w:orient="portrait"/>
          <w:pgMar w:top="1134" w:right="567" w:bottom="1134" w:left="1418" w:header="567" w:footer="567" w:gutter="0"/>
          <w:cols w:num="1" w:sep="0" w:space="708" w:equalWidth="1"/>
          <w:docGrid w:linePitch="360"/>
        </w:sectPr>
      </w:pPr>
      <w:r/>
      <w:r/>
    </w:p>
    <w:p>
      <w:pPr>
        <w:pStyle w:val="1544"/>
        <w:rPr>
          <w:b/>
          <w:bCs/>
          <w:sz w:val="28"/>
          <w:szCs w:val="28"/>
        </w:rPr>
      </w:pPr>
      <w:r/>
      <w:bookmarkStart w:id="520" w:name="_Toc119947526"/>
      <w:r/>
      <w:bookmarkStart w:id="521" w:name="_Toc175216055"/>
      <w:r>
        <w:rPr>
          <w:b/>
          <w:bCs/>
          <w:sz w:val="28"/>
          <w:szCs w:val="28"/>
        </w:rPr>
        <w:t xml:space="preserve">5.1. Программа инвестиционных проектов в системе теплоснабжения</w:t>
      </w:r>
      <w:bookmarkEnd w:id="520"/>
      <w:r/>
      <w:bookmarkEnd w:id="521"/>
      <w:r/>
      <w:r>
        <w:rPr>
          <w:b/>
          <w:bCs/>
          <w:sz w:val="28"/>
          <w:szCs w:val="28"/>
        </w:rPr>
      </w:r>
    </w:p>
    <w:p>
      <w:pPr>
        <w:pStyle w:val="154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44"/>
        <w:jc w:val="right"/>
        <w:rPr>
          <w:b/>
          <w:bCs/>
          <w:sz w:val="28"/>
          <w:szCs w:val="28"/>
        </w:rPr>
      </w:pPr>
      <w:r/>
      <w:bookmarkStart w:id="522" w:name="_Toc175216139"/>
      <w:r>
        <w:rPr>
          <w:b/>
          <w:bCs/>
          <w:sz w:val="28"/>
          <w:szCs w:val="28"/>
        </w:rPr>
        <w:t xml:space="preserve">Таблица 5.1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инвестиционных проектов в системе теплоснабжения</w:t>
      </w:r>
      <w:bookmarkEnd w:id="522"/>
      <w:r/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23"/>
        <w:gridCol w:w="2387"/>
        <w:gridCol w:w="4689"/>
        <w:gridCol w:w="1022"/>
        <w:gridCol w:w="1025"/>
        <w:gridCol w:w="1025"/>
        <w:gridCol w:w="1169"/>
        <w:gridCol w:w="877"/>
        <w:gridCol w:w="1025"/>
        <w:gridCol w:w="1127"/>
      </w:tblGrid>
      <w:tr>
        <w:tblPrEx/>
        <w:trPr>
          <w:trHeight w:val="20"/>
          <w:tblHeader/>
        </w:trPr>
        <w:tc>
          <w:tcPr>
            <w:shd w:val="clear" w:color="auto" w:fill="auto"/>
            <w:tcW w:w="240" w:type="pct"/>
            <w:vMerge w:val="restart"/>
            <w:textDirection w:val="lrTb"/>
            <w:noWrap w:val="false"/>
          </w:tcPr>
          <w:p>
            <w:pPr>
              <w:ind w:left="-112" w:right="-111"/>
              <w:jc w:val="center"/>
              <w:rPr>
                <w:color w:val="000000"/>
                <w:sz w:val="20"/>
                <w:szCs w:val="20"/>
              </w:rPr>
            </w:pPr>
            <w:r/>
            <w:bookmarkStart w:id="523" w:name="_Hlk173308526"/>
            <w:r>
              <w:rPr>
                <w:color w:val="000000"/>
                <w:sz w:val="20"/>
                <w:szCs w:val="20"/>
              </w:rPr>
              <w:t xml:space="preserve">№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792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РСО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56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6"/>
            <w:shd w:val="clear" w:color="auto" w:fill="auto"/>
            <w:tcW w:w="203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Объемы финансовых потребностей и капитальных затрат на реализацию мероприятий в прогнозных ценах (без НДС), тыс. руб.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5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  <w:tblHeader/>
        </w:trPr>
        <w:tc>
          <w:tcPr>
            <w:shd w:val="clear" w:color="auto" w:fill="auto"/>
            <w:tcW w:w="240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79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56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3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0" w:type="pct"/>
            <w:vAlign w:val="center"/>
            <w:textDirection w:val="lrTb"/>
            <w:noWrap w:val="false"/>
          </w:tcPr>
          <w:p>
            <w:pPr>
              <w:ind w:left="-111" w:right="-1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2029-2034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5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spacing w:line="48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23"/>
        <w:gridCol w:w="2387"/>
        <w:gridCol w:w="4689"/>
        <w:gridCol w:w="1022"/>
        <w:gridCol w:w="1025"/>
        <w:gridCol w:w="1025"/>
        <w:gridCol w:w="1169"/>
        <w:gridCol w:w="877"/>
        <w:gridCol w:w="1025"/>
        <w:gridCol w:w="1127"/>
      </w:tblGrid>
      <w:tr>
        <w:tblPrEx/>
        <w:trPr>
          <w:cantSplit/>
          <w:trHeight w:val="20"/>
          <w:tblHeader/>
        </w:trPr>
        <w:tc>
          <w:tcPr>
            <w:shd w:val="clear" w:color="auto" w:fill="auto"/>
            <w:tcW w:w="24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79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56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3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0" w:type="pct"/>
            <w:vAlign w:val="center"/>
            <w:textDirection w:val="lrTb"/>
            <w:noWrap w:val="false"/>
          </w:tcPr>
          <w:p>
            <w:pPr>
              <w:ind w:left="-111" w:right="-1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right w:val="single" w:color="auto" w:sz="4" w:space="0"/>
            </w:tcBorders>
            <w:tcW w:w="2348" w:type="pct"/>
            <w:textDirection w:val="lrTb"/>
            <w:noWrap w:val="false"/>
          </w:tcPr>
          <w:p>
            <w:pPr>
              <w:ind w:left="3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Строительство, модернизация и (или) реконструкция объектов централизованных систем теплоснабжения в целях подключения объектов капитального строительства абонентов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" w:type="pct"/>
            <w:textDirection w:val="lrTb"/>
            <w:noWrap w:val="false"/>
          </w:tcPr>
          <w:p>
            <w:pPr>
              <w:ind w:left="-116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409 112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pct"/>
            <w:textDirection w:val="lrTb"/>
            <w:noWrap w:val="false"/>
          </w:tcPr>
          <w:p>
            <w:pPr>
              <w:ind w:left="-115" w:right="-11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611 551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pct"/>
            <w:textDirection w:val="lrTb"/>
            <w:noWrap w:val="false"/>
          </w:tcPr>
          <w:p>
            <w:pPr>
              <w:ind w:left="-114" w:right="-11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525 075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8" w:type="pct"/>
            <w:textDirection w:val="lrTb"/>
            <w:noWrap w:val="false"/>
          </w:tcPr>
          <w:p>
            <w:pPr>
              <w:ind w:left="-113" w:right="-11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508 963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1" w:type="pct"/>
            <w:textDirection w:val="lrTb"/>
            <w:noWrap w:val="false"/>
          </w:tcPr>
          <w:p>
            <w:pPr>
              <w:ind w:left="-69" w:right="-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491 055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pct"/>
            <w:textDirection w:val="lrTb"/>
            <w:noWrap w:val="false"/>
          </w:tcPr>
          <w:p>
            <w:pPr>
              <w:ind w:left="-111" w:right="-11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5 572 911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4" w:type="pct"/>
            <w:textDirection w:val="lrTb"/>
            <w:noWrap w:val="false"/>
          </w:tcPr>
          <w:p>
            <w:pPr>
              <w:ind w:left="-109" w:right="-14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8 118 668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792" w:type="pct"/>
            <w:textDirection w:val="lrTb"/>
            <w:noWrap w:val="false"/>
          </w:tcPr>
          <w:p>
            <w:pPr>
              <w:ind w:left="178" w:right="-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ПАО «Т Плюс» Филиал «Пермский»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556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 тепловых сетей для подключения новых абонентов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" w:type="pct"/>
            <w:textDirection w:val="lrTb"/>
            <w:noWrap w:val="false"/>
          </w:tcPr>
          <w:p>
            <w:pPr>
              <w:ind w:left="-116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274 568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pct"/>
            <w:textDirection w:val="lrTb"/>
            <w:noWrap w:val="false"/>
          </w:tcPr>
          <w:p>
            <w:pPr>
              <w:ind w:left="-115" w:right="-11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410 452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pct"/>
            <w:textDirection w:val="lrTb"/>
            <w:noWrap w:val="false"/>
          </w:tcPr>
          <w:p>
            <w:pPr>
              <w:ind w:left="-114" w:right="-11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346 384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8" w:type="pct"/>
            <w:textDirection w:val="lrTb"/>
            <w:noWrap w:val="false"/>
          </w:tcPr>
          <w:p>
            <w:pPr>
              <w:ind w:left="-113" w:right="-11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426 839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1" w:type="pct"/>
            <w:textDirection w:val="lrTb"/>
            <w:noWrap w:val="false"/>
          </w:tcPr>
          <w:p>
            <w:pPr>
              <w:ind w:left="-69" w:right="-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377 028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pct"/>
            <w:textDirection w:val="lrTb"/>
            <w:noWrap w:val="false"/>
          </w:tcPr>
          <w:p>
            <w:pPr>
              <w:ind w:left="-111" w:right="-11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1 743 217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3 578 488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792" w:type="pct"/>
            <w:textDirection w:val="lrTb"/>
            <w:noWrap w:val="false"/>
          </w:tcPr>
          <w:p>
            <w:pPr>
              <w:ind w:left="178" w:right="-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ПМУП «Городское коммунальное и тепловое хозяйство»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556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 тепловых сетей для подключения новых абонентов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" w:type="pct"/>
            <w:textDirection w:val="lrTb"/>
            <w:noWrap w:val="false"/>
          </w:tcPr>
          <w:p>
            <w:pPr>
              <w:ind w:left="-116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12 723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pct"/>
            <w:textDirection w:val="lrTb"/>
            <w:noWrap w:val="false"/>
          </w:tcPr>
          <w:p>
            <w:pPr>
              <w:ind w:left="-115" w:right="-11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8 591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pct"/>
            <w:textDirection w:val="lrTb"/>
            <w:noWrap w:val="false"/>
          </w:tcPr>
          <w:p>
            <w:pPr>
              <w:ind w:left="-114" w:right="-11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11 799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8" w:type="pct"/>
            <w:textDirection w:val="lrTb"/>
            <w:noWrap w:val="false"/>
          </w:tcPr>
          <w:p>
            <w:pPr>
              <w:ind w:left="-113" w:right="-11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1" w:type="pct"/>
            <w:textDirection w:val="lrTb"/>
            <w:noWrap w:val="false"/>
          </w:tcPr>
          <w:p>
            <w:pPr>
              <w:ind w:left="-69" w:right="-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pct"/>
            <w:textDirection w:val="lrTb"/>
            <w:noWrap w:val="false"/>
          </w:tcPr>
          <w:p>
            <w:pPr>
              <w:ind w:left="-111" w:right="-11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4" w:type="pct"/>
            <w:textDirection w:val="lrTb"/>
            <w:noWrap w:val="false"/>
          </w:tcPr>
          <w:p>
            <w:pPr>
              <w:ind w:left="-109" w:right="-14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33 113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792" w:type="pct"/>
            <w:textDirection w:val="lrTb"/>
            <w:noWrap w:val="false"/>
          </w:tcPr>
          <w:p>
            <w:pPr>
              <w:ind w:left="178" w:right="-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АО «Пермский завод силикатных панелей»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556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 тепловых сетей для подключения новых абонентов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" w:type="pct"/>
            <w:textDirection w:val="lrTb"/>
            <w:noWrap w:val="false"/>
          </w:tcPr>
          <w:p>
            <w:pPr>
              <w:ind w:left="-116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pct"/>
            <w:textDirection w:val="lrTb"/>
            <w:noWrap w:val="false"/>
          </w:tcPr>
          <w:p>
            <w:pPr>
              <w:ind w:left="-115" w:right="-11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pct"/>
            <w:textDirection w:val="lrTb"/>
            <w:noWrap w:val="false"/>
          </w:tcPr>
          <w:p>
            <w:pPr>
              <w:ind w:left="-114" w:right="-11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8" w:type="pct"/>
            <w:textDirection w:val="lrTb"/>
            <w:noWrap w:val="false"/>
          </w:tcPr>
          <w:p>
            <w:pPr>
              <w:ind w:left="-113" w:right="-11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1" w:type="pct"/>
            <w:textDirection w:val="lrTb"/>
            <w:noWrap w:val="false"/>
          </w:tcPr>
          <w:p>
            <w:pPr>
              <w:ind w:left="-69" w:right="-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pct"/>
            <w:textDirection w:val="lrTb"/>
            <w:noWrap w:val="false"/>
          </w:tcPr>
          <w:p>
            <w:pPr>
              <w:ind w:left="-111" w:right="-11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23 609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4" w:type="pct"/>
            <w:textDirection w:val="lrTb"/>
            <w:noWrap w:val="false"/>
          </w:tcPr>
          <w:p>
            <w:pPr>
              <w:ind w:left="-109" w:right="-14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23 609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right w:w="11" w:type="dxa"/>
            </w:tcMar>
            <w:tcW w:w="792" w:type="pct"/>
            <w:textDirection w:val="lrTb"/>
            <w:noWrap w:val="false"/>
          </w:tcPr>
          <w:p>
            <w:pPr>
              <w:ind w:left="178" w:right="-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«Специализированный застройщик «</w:t>
            </w:r>
            <w:r>
              <w:rPr>
                <w:color w:val="000000"/>
                <w:sz w:val="20"/>
                <w:szCs w:val="20"/>
              </w:rPr>
              <w:t xml:space="preserve">Экопарк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556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 тепловых сетей для подключения новых абонентов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" w:type="pct"/>
            <w:textDirection w:val="lrTb"/>
            <w:noWrap w:val="false"/>
          </w:tcPr>
          <w:p>
            <w:pPr>
              <w:ind w:left="-116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1 478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pct"/>
            <w:textDirection w:val="lrTb"/>
            <w:noWrap w:val="false"/>
          </w:tcPr>
          <w:p>
            <w:pPr>
              <w:ind w:left="-115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1 318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pct"/>
            <w:textDirection w:val="lrTb"/>
            <w:noWrap w:val="false"/>
          </w:tcPr>
          <w:p>
            <w:pPr>
              <w:ind w:left="-114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8" w:type="pct"/>
            <w:textDirection w:val="lrTb"/>
            <w:noWrap w:val="false"/>
          </w:tcPr>
          <w:p>
            <w:pPr>
              <w:ind w:left="-113" w:right="-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1" w:type="pct"/>
            <w:textDirection w:val="lrTb"/>
            <w:noWrap w:val="false"/>
          </w:tcPr>
          <w:p>
            <w:pPr>
              <w:ind w:left="-69" w:right="-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pct"/>
            <w:textDirection w:val="lrTb"/>
            <w:noWrap w:val="false"/>
          </w:tcPr>
          <w:p>
            <w:pPr>
              <w:ind w:left="-111" w:right="-1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4" w:type="pct"/>
            <w:textDirection w:val="lrTb"/>
            <w:noWrap w:val="false"/>
          </w:tcPr>
          <w:p>
            <w:pPr>
              <w:ind w:left="-109" w:right="-1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2 796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792" w:type="pct"/>
            <w:textDirection w:val="lrTb"/>
            <w:noWrap w:val="false"/>
          </w:tcPr>
          <w:p>
            <w:pPr>
              <w:ind w:left="178" w:right="-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РСО не определена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556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 тепловых сетей для подключения новых абонентов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" w:type="pct"/>
            <w:textDirection w:val="lrTb"/>
            <w:noWrap w:val="false"/>
          </w:tcPr>
          <w:p>
            <w:pPr>
              <w:ind w:left="-116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7 136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pct"/>
            <w:textDirection w:val="lrTb"/>
            <w:noWrap w:val="false"/>
          </w:tcPr>
          <w:p>
            <w:pPr>
              <w:ind w:left="-115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41 870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pct"/>
            <w:textDirection w:val="lrTb"/>
            <w:noWrap w:val="false"/>
          </w:tcPr>
          <w:p>
            <w:pPr>
              <w:ind w:left="-114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22 482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8" w:type="pct"/>
            <w:textDirection w:val="lrTb"/>
            <w:noWrap w:val="false"/>
          </w:tcPr>
          <w:p>
            <w:pPr>
              <w:ind w:left="-113" w:right="-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82 125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1" w:type="pct"/>
            <w:textDirection w:val="lrTb"/>
            <w:noWrap w:val="false"/>
          </w:tcPr>
          <w:p>
            <w:pPr>
              <w:ind w:left="-69" w:right="-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66 424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pct"/>
            <w:textDirection w:val="lrTb"/>
            <w:noWrap w:val="false"/>
          </w:tcPr>
          <w:p>
            <w:pPr>
              <w:ind w:left="-111" w:right="-1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281 977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4" w:type="pct"/>
            <w:textDirection w:val="lrTb"/>
            <w:noWrap w:val="false"/>
          </w:tcPr>
          <w:p>
            <w:pPr>
              <w:ind w:left="-109" w:right="-1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502 014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792" w:type="pct"/>
            <w:textDirection w:val="lrTb"/>
            <w:noWrap w:val="false"/>
          </w:tcPr>
          <w:p>
            <w:pPr>
              <w:ind w:left="178" w:right="-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РСО не определена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556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 объектов теплоснабжения для подключения новых абонентов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" w:type="pct"/>
            <w:textDirection w:val="lrTb"/>
            <w:noWrap w:val="false"/>
          </w:tcPr>
          <w:p>
            <w:pPr>
              <w:ind w:left="-116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113 206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pct"/>
            <w:textDirection w:val="lrTb"/>
            <w:noWrap w:val="false"/>
          </w:tcPr>
          <w:p>
            <w:pPr>
              <w:ind w:left="-115" w:right="-11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149 320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pct"/>
            <w:textDirection w:val="lrTb"/>
            <w:noWrap w:val="false"/>
          </w:tcPr>
          <w:p>
            <w:pPr>
              <w:ind w:left="-114" w:right="-11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144 409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8" w:type="pct"/>
            <w:textDirection w:val="lrTb"/>
            <w:noWrap w:val="false"/>
          </w:tcPr>
          <w:p>
            <w:pPr>
              <w:ind w:left="-113" w:right="-11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1" w:type="pct"/>
            <w:textDirection w:val="lrTb"/>
            <w:noWrap w:val="false"/>
          </w:tcPr>
          <w:p>
            <w:pPr>
              <w:ind w:left="-69" w:right="-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47 603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pct"/>
            <w:textDirection w:val="lrTb"/>
            <w:noWrap w:val="false"/>
          </w:tcPr>
          <w:p>
            <w:pPr>
              <w:ind w:left="-111" w:right="-11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3 524 109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4" w:type="pct"/>
            <w:textDirection w:val="lrTb"/>
            <w:noWrap w:val="false"/>
          </w:tcPr>
          <w:p>
            <w:pPr>
              <w:ind w:left="-109" w:right="-14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3 978 647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right w:val="single" w:color="auto" w:sz="4" w:space="0"/>
            </w:tcBorders>
            <w:tcW w:w="2348" w:type="pct"/>
            <w:textDirection w:val="lrTb"/>
            <w:noWrap w:val="false"/>
          </w:tcPr>
          <w:p>
            <w:pPr>
              <w:ind w:left="36" w:hanging="3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Строительство, модернизация и (или) реконструкция объектов централизованных систем теплоснабжения, не связанных с подключением новых объектов капитального строительства абонентов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" w:type="pct"/>
            <w:textDirection w:val="lrTb"/>
            <w:noWrap w:val="false"/>
          </w:tcPr>
          <w:p>
            <w:pPr>
              <w:ind w:left="-116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3 350 394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pct"/>
            <w:textDirection w:val="lrTb"/>
            <w:noWrap w:val="false"/>
          </w:tcPr>
          <w:p>
            <w:pPr>
              <w:ind w:left="-115" w:right="-11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2 960 805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pct"/>
            <w:textDirection w:val="lrTb"/>
            <w:noWrap w:val="false"/>
          </w:tcPr>
          <w:p>
            <w:pPr>
              <w:ind w:left="-114" w:right="-11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1 810 571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8" w:type="pct"/>
            <w:textDirection w:val="lrTb"/>
            <w:noWrap w:val="false"/>
          </w:tcPr>
          <w:p>
            <w:pPr>
              <w:ind w:left="-113" w:right="-11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2 638 982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1" w:type="pct"/>
            <w:textDirection w:val="lrTb"/>
            <w:noWrap w:val="false"/>
          </w:tcPr>
          <w:p>
            <w:pPr>
              <w:ind w:left="-69" w:right="-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1 829 859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pct"/>
            <w:textDirection w:val="lrTb"/>
            <w:noWrap w:val="false"/>
          </w:tcPr>
          <w:p>
            <w:pPr>
              <w:ind w:left="-111" w:right="-11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11 170 987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4" w:type="pct"/>
            <w:textDirection w:val="lrTb"/>
            <w:noWrap w:val="false"/>
          </w:tcPr>
          <w:p>
            <w:pPr>
              <w:ind w:left="-109" w:right="-14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23 761 597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792" w:type="pct"/>
            <w:textDirection w:val="lrTb"/>
            <w:noWrap w:val="false"/>
          </w:tcPr>
          <w:p>
            <w:pPr>
              <w:ind w:left="178" w:right="-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ПАО «Т Плюс» Филиал «Пермский»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556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Реконструкция, техническое перевооружение оборудования теплового хозяйства 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" w:type="pct"/>
            <w:textDirection w:val="lrTb"/>
            <w:noWrap w:val="false"/>
          </w:tcPr>
          <w:p>
            <w:pPr>
              <w:ind w:left="-116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95 720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pct"/>
            <w:textDirection w:val="lrTb"/>
            <w:noWrap w:val="false"/>
          </w:tcPr>
          <w:p>
            <w:pPr>
              <w:ind w:left="-115" w:right="-11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181 500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pct"/>
            <w:textDirection w:val="lrTb"/>
            <w:noWrap w:val="false"/>
          </w:tcPr>
          <w:p>
            <w:pPr>
              <w:ind w:left="-114" w:right="-11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204 343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8" w:type="pct"/>
            <w:textDirection w:val="lrTb"/>
            <w:noWrap w:val="false"/>
          </w:tcPr>
          <w:p>
            <w:pPr>
              <w:ind w:left="-113" w:right="-11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806 749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1" w:type="pct"/>
            <w:textDirection w:val="lrTb"/>
            <w:noWrap w:val="false"/>
          </w:tcPr>
          <w:p>
            <w:pPr>
              <w:ind w:left="-69" w:right="-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18 333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pct"/>
            <w:textDirection w:val="lrTb"/>
            <w:noWrap w:val="false"/>
          </w:tcPr>
          <w:p>
            <w:pPr>
              <w:ind w:left="-111" w:right="-11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221 520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4" w:type="pct"/>
            <w:textDirection w:val="lrTb"/>
            <w:noWrap w:val="false"/>
          </w:tcPr>
          <w:p>
            <w:pPr>
              <w:ind w:left="-109" w:right="-14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1 528 165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792" w:type="pct"/>
            <w:textDirection w:val="lrTb"/>
            <w:noWrap w:val="false"/>
          </w:tcPr>
          <w:p>
            <w:pPr>
              <w:ind w:left="178" w:right="-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ПАО «Т Плюс» Филиал «Пермский»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556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Реконструкция, техническое перевооружение участков тепловых сетей 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" w:type="pct"/>
            <w:textDirection w:val="lrTb"/>
            <w:noWrap w:val="false"/>
          </w:tcPr>
          <w:p>
            <w:pPr>
              <w:ind w:left="-116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2 522 464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pct"/>
            <w:textDirection w:val="lrTb"/>
            <w:noWrap w:val="false"/>
          </w:tcPr>
          <w:p>
            <w:pPr>
              <w:ind w:left="-115" w:right="-11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2 167 818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pct"/>
            <w:textDirection w:val="lrTb"/>
            <w:noWrap w:val="false"/>
          </w:tcPr>
          <w:p>
            <w:pPr>
              <w:ind w:left="-114" w:right="-11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1 389 271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8" w:type="pct"/>
            <w:textDirection w:val="lrTb"/>
            <w:noWrap w:val="false"/>
          </w:tcPr>
          <w:p>
            <w:pPr>
              <w:ind w:left="-113" w:right="-11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1 465 733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1" w:type="pct"/>
            <w:textDirection w:val="lrTb"/>
            <w:noWrap w:val="false"/>
          </w:tcPr>
          <w:p>
            <w:pPr>
              <w:ind w:left="-69" w:right="-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1 304 531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pct"/>
            <w:textDirection w:val="lrTb"/>
            <w:noWrap w:val="false"/>
          </w:tcPr>
          <w:p>
            <w:pPr>
              <w:ind w:left="-111" w:right="-11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8 598 276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4" w:type="pct"/>
            <w:textDirection w:val="lrTb"/>
            <w:noWrap w:val="false"/>
          </w:tcPr>
          <w:p>
            <w:pPr>
              <w:ind w:left="-109" w:right="-14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17 448 093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792" w:type="pct"/>
            <w:textDirection w:val="lrTb"/>
            <w:noWrap w:val="false"/>
          </w:tcPr>
          <w:p>
            <w:pPr>
              <w:ind w:left="178" w:right="-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ПАО «Т Плюс» Филиал «Пермский»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556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Реконструкция, техническое перевооружение ТЭЦ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" w:type="pct"/>
            <w:textDirection w:val="lrTb"/>
            <w:noWrap w:val="false"/>
          </w:tcPr>
          <w:p>
            <w:pPr>
              <w:ind w:left="-116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431 317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pct"/>
            <w:textDirection w:val="lrTb"/>
            <w:noWrap w:val="false"/>
          </w:tcPr>
          <w:p>
            <w:pPr>
              <w:ind w:left="-115" w:right="-11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370 279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pct"/>
            <w:textDirection w:val="lrTb"/>
            <w:noWrap w:val="false"/>
          </w:tcPr>
          <w:p>
            <w:pPr>
              <w:ind w:left="-114" w:right="-11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106 456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8" w:type="pct"/>
            <w:textDirection w:val="lrTb"/>
            <w:noWrap w:val="false"/>
          </w:tcPr>
          <w:p>
            <w:pPr>
              <w:ind w:left="-113" w:right="-11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259 900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1" w:type="pct"/>
            <w:textDirection w:val="lrTb"/>
            <w:noWrap w:val="false"/>
          </w:tcPr>
          <w:p>
            <w:pPr>
              <w:ind w:left="-69" w:right="-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151 500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pct"/>
            <w:textDirection w:val="lrTb"/>
            <w:noWrap w:val="false"/>
          </w:tcPr>
          <w:p>
            <w:pPr>
              <w:ind w:left="-111" w:right="-11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2 217 716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4" w:type="pct"/>
            <w:textDirection w:val="lrTb"/>
            <w:noWrap w:val="false"/>
          </w:tcPr>
          <w:p>
            <w:pPr>
              <w:ind w:left="-109" w:right="-14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3 537 168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792" w:type="pct"/>
            <w:textDirection w:val="lrTb"/>
            <w:noWrap w:val="false"/>
          </w:tcPr>
          <w:p>
            <w:pPr>
              <w:ind w:left="178" w:right="-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ПАО «Т Плюс» Филиал «Пермский»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556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Реконструкция, техническое перевооружение котельных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" w:type="pct"/>
            <w:textDirection w:val="lrTb"/>
            <w:noWrap w:val="false"/>
          </w:tcPr>
          <w:p>
            <w:pPr>
              <w:ind w:left="-116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279 097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pct"/>
            <w:textDirection w:val="lrTb"/>
            <w:noWrap w:val="false"/>
          </w:tcPr>
          <w:p>
            <w:pPr>
              <w:ind w:left="-115" w:right="-11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228 209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pct"/>
            <w:textDirection w:val="lrTb"/>
            <w:noWrap w:val="false"/>
          </w:tcPr>
          <w:p>
            <w:pPr>
              <w:ind w:left="-114" w:right="-11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97 500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8" w:type="pct"/>
            <w:textDirection w:val="lrTb"/>
            <w:noWrap w:val="false"/>
          </w:tcPr>
          <w:p>
            <w:pPr>
              <w:ind w:left="-113" w:right="-11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93 601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1" w:type="pct"/>
            <w:textDirection w:val="lrTb"/>
            <w:noWrap w:val="false"/>
          </w:tcPr>
          <w:p>
            <w:pPr>
              <w:ind w:left="-69" w:right="-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338 994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pct"/>
            <w:textDirection w:val="lrTb"/>
            <w:noWrap w:val="false"/>
          </w:tcPr>
          <w:p>
            <w:pPr>
              <w:ind w:left="-111" w:right="-11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35 875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4" w:type="pct"/>
            <w:textDirection w:val="lrTb"/>
            <w:noWrap w:val="false"/>
          </w:tcPr>
          <w:p>
            <w:pPr>
              <w:ind w:left="-109" w:right="-14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1 073 275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792" w:type="pct"/>
            <w:textDirection w:val="lrTb"/>
            <w:noWrap w:val="false"/>
          </w:tcPr>
          <w:p>
            <w:pPr>
              <w:ind w:left="178" w:right="-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«НОВОГОР-</w:t>
            </w:r>
            <w:r>
              <w:rPr>
                <w:color w:val="000000"/>
                <w:sz w:val="20"/>
                <w:szCs w:val="20"/>
              </w:rPr>
              <w:t xml:space="preserve">Прикамье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556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Техническое перевооружение газовой котельной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" w:type="pct"/>
            <w:textDirection w:val="lrTb"/>
            <w:noWrap w:val="false"/>
          </w:tcPr>
          <w:p>
            <w:pPr>
              <w:ind w:left="-116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pct"/>
            <w:textDirection w:val="lrTb"/>
            <w:noWrap w:val="false"/>
          </w:tcPr>
          <w:p>
            <w:pPr>
              <w:ind w:left="-115" w:right="-11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pct"/>
            <w:textDirection w:val="lrTb"/>
            <w:noWrap w:val="false"/>
          </w:tcPr>
          <w:p>
            <w:pPr>
              <w:ind w:left="-114" w:right="-11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8" w:type="pct"/>
            <w:textDirection w:val="lrTb"/>
            <w:noWrap w:val="false"/>
          </w:tcPr>
          <w:p>
            <w:pPr>
              <w:ind w:left="-113" w:right="-11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1" w:type="pct"/>
            <w:textDirection w:val="lrTb"/>
            <w:noWrap w:val="false"/>
          </w:tcPr>
          <w:p>
            <w:pPr>
              <w:ind w:left="-69" w:right="-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3 500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pct"/>
            <w:textDirection w:val="lrTb"/>
            <w:noWrap w:val="false"/>
          </w:tcPr>
          <w:p>
            <w:pPr>
              <w:ind w:left="-111" w:right="-11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32 600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4" w:type="pct"/>
            <w:textDirection w:val="lrTb"/>
            <w:noWrap w:val="false"/>
          </w:tcPr>
          <w:p>
            <w:pPr>
              <w:ind w:left="-109" w:right="-14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36 100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cantSplit/>
          <w:trHeight w:val="85"/>
        </w:trPr>
        <w:tc>
          <w:tcPr>
            <w:shd w:val="clear" w:color="auto" w:fill="auto"/>
            <w:tcW w:w="2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792" w:type="pct"/>
            <w:textDirection w:val="lrTb"/>
            <w:noWrap w:val="false"/>
          </w:tcPr>
          <w:p>
            <w:pPr>
              <w:ind w:left="178" w:right="-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«ГЭК»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556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Реконструкция участков тепловых сетей 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" w:type="pct"/>
            <w:textDirection w:val="lrTb"/>
            <w:noWrap w:val="false"/>
          </w:tcPr>
          <w:p>
            <w:pPr>
              <w:ind w:left="-116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4 396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pct"/>
            <w:textDirection w:val="lrTb"/>
            <w:noWrap w:val="false"/>
          </w:tcPr>
          <w:p>
            <w:pPr>
              <w:ind w:left="-115" w:right="-11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3 000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pct"/>
            <w:textDirection w:val="lrTb"/>
            <w:noWrap w:val="false"/>
          </w:tcPr>
          <w:p>
            <w:pPr>
              <w:ind w:left="-114" w:right="-11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3 000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8" w:type="pct"/>
            <w:textDirection w:val="lrTb"/>
            <w:noWrap w:val="false"/>
          </w:tcPr>
          <w:p>
            <w:pPr>
              <w:ind w:left="-113" w:right="-11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3 000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1" w:type="pct"/>
            <w:textDirection w:val="lrTb"/>
            <w:noWrap w:val="false"/>
          </w:tcPr>
          <w:p>
            <w:pPr>
              <w:ind w:left="-69" w:right="-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3 000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pct"/>
            <w:textDirection w:val="lrTb"/>
            <w:noWrap w:val="false"/>
          </w:tcPr>
          <w:p>
            <w:pPr>
              <w:ind w:left="-111" w:right="-11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15 000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4" w:type="pct"/>
            <w:textDirection w:val="lrTb"/>
            <w:noWrap w:val="false"/>
          </w:tcPr>
          <w:p>
            <w:pPr>
              <w:ind w:left="-109" w:right="-14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31 396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cantSplit/>
          <w:trHeight w:val="85"/>
        </w:trPr>
        <w:tc>
          <w:tcPr>
            <w:shd w:val="clear" w:color="auto" w:fill="auto"/>
            <w:tcW w:w="2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792" w:type="pct"/>
            <w:textDirection w:val="lrTb"/>
            <w:noWrap w:val="false"/>
          </w:tcPr>
          <w:p>
            <w:pPr>
              <w:ind w:left="178" w:right="-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«ГЭК»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556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Техническое перевооружение оборудования котельных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" w:type="pct"/>
            <w:textDirection w:val="lrTb"/>
            <w:noWrap w:val="false"/>
          </w:tcPr>
          <w:p>
            <w:pPr>
              <w:ind w:left="-116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17 400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pct"/>
            <w:textDirection w:val="lrTb"/>
            <w:noWrap w:val="false"/>
          </w:tcPr>
          <w:p>
            <w:pPr>
              <w:ind w:left="-115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pct"/>
            <w:textDirection w:val="lrTb"/>
            <w:noWrap w:val="false"/>
          </w:tcPr>
          <w:p>
            <w:pPr>
              <w:ind w:left="-114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8" w:type="pct"/>
            <w:textDirection w:val="lrTb"/>
            <w:noWrap w:val="false"/>
          </w:tcPr>
          <w:p>
            <w:pPr>
              <w:ind w:left="-113" w:right="-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1" w:type="pct"/>
            <w:textDirection w:val="lrTb"/>
            <w:noWrap w:val="false"/>
          </w:tcPr>
          <w:p>
            <w:pPr>
              <w:ind w:left="-69" w:right="-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pct"/>
            <w:textDirection w:val="lrTb"/>
            <w:noWrap w:val="false"/>
          </w:tcPr>
          <w:p>
            <w:pPr>
              <w:ind w:left="-111" w:right="-1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4" w:type="pct"/>
            <w:textDirection w:val="lrTb"/>
            <w:noWrap w:val="false"/>
          </w:tcPr>
          <w:p>
            <w:pPr>
              <w:ind w:left="-109" w:right="-1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17 400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cantSplit/>
          <w:trHeight w:val="85"/>
        </w:trPr>
        <w:tc>
          <w:tcPr>
            <w:shd w:val="clear" w:color="auto" w:fill="auto"/>
            <w:tcW w:w="24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792" w:type="pct"/>
            <w:textDirection w:val="lrTb"/>
            <w:noWrap w:val="false"/>
          </w:tcPr>
          <w:p>
            <w:pPr>
              <w:ind w:left="178" w:right="-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«ГЭК»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556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Техническое перевооружение оборудования ТЭЦ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" w:type="pct"/>
            <w:textDirection w:val="lrTb"/>
            <w:noWrap w:val="false"/>
          </w:tcPr>
          <w:p>
            <w:pPr>
              <w:ind w:left="-116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pct"/>
            <w:textDirection w:val="lrTb"/>
            <w:noWrap w:val="false"/>
          </w:tcPr>
          <w:p>
            <w:pPr>
              <w:ind w:left="-115" w:right="-11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10 000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pct"/>
            <w:textDirection w:val="lrTb"/>
            <w:noWrap w:val="false"/>
          </w:tcPr>
          <w:p>
            <w:pPr>
              <w:ind w:left="-114" w:right="-11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10 000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8" w:type="pct"/>
            <w:textDirection w:val="lrTb"/>
            <w:noWrap w:val="false"/>
          </w:tcPr>
          <w:p>
            <w:pPr>
              <w:ind w:left="-113" w:right="-11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10 000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1" w:type="pct"/>
            <w:textDirection w:val="lrTb"/>
            <w:noWrap w:val="false"/>
          </w:tcPr>
          <w:p>
            <w:pPr>
              <w:ind w:left="-69" w:right="-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10 000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pct"/>
            <w:textDirection w:val="lrTb"/>
            <w:noWrap w:val="false"/>
          </w:tcPr>
          <w:p>
            <w:pPr>
              <w:ind w:left="-111" w:right="-11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50 000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4" w:type="pct"/>
            <w:textDirection w:val="lrTb"/>
            <w:noWrap w:val="false"/>
          </w:tcPr>
          <w:p>
            <w:pPr>
              <w:ind w:left="-109" w:right="-14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90 000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cantSplit/>
          <w:trHeight w:val="85"/>
        </w:trPr>
        <w:tc>
          <w:tcPr>
            <w:gridSpan w:val="3"/>
            <w:shd w:val="clear" w:color="auto" w:fill="auto"/>
            <w:tcBorders>
              <w:right w:val="single" w:color="auto" w:sz="4" w:space="0"/>
            </w:tcBorders>
            <w:tcW w:w="2588" w:type="pct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" w:type="pct"/>
            <w:textDirection w:val="lrTb"/>
            <w:noWrap w:val="false"/>
          </w:tcPr>
          <w:p>
            <w:pPr>
              <w:ind w:left="-116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3 759 506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pct"/>
            <w:textDirection w:val="lrTb"/>
            <w:noWrap w:val="false"/>
          </w:tcPr>
          <w:p>
            <w:pPr>
              <w:ind w:left="-115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3 572 357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pct"/>
            <w:textDirection w:val="lrTb"/>
            <w:noWrap w:val="false"/>
          </w:tcPr>
          <w:p>
            <w:pPr>
              <w:ind w:left="-114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2 335 645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8" w:type="pct"/>
            <w:textDirection w:val="lrTb"/>
            <w:noWrap w:val="false"/>
          </w:tcPr>
          <w:p>
            <w:pPr>
              <w:ind w:left="-113" w:right="-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3 147 945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1" w:type="pct"/>
            <w:textDirection w:val="lrTb"/>
            <w:noWrap w:val="false"/>
          </w:tcPr>
          <w:p>
            <w:pPr>
              <w:ind w:left="-69" w:right="-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2 320 914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" w:type="pct"/>
            <w:textDirection w:val="lrTb"/>
            <w:noWrap w:val="false"/>
          </w:tcPr>
          <w:p>
            <w:pPr>
              <w:ind w:left="-111" w:right="-1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16 743 898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4" w:type="pct"/>
            <w:textDirection w:val="lrTb"/>
            <w:noWrap w:val="false"/>
          </w:tcPr>
          <w:p>
            <w:pPr>
              <w:ind w:left="-109" w:right="-1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31 880 265</w:t>
            </w:r>
            <w:bookmarkEnd w:id="523"/>
            <w:r/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1570"/>
      </w:pPr>
      <w:r/>
      <w:r/>
    </w:p>
    <w:p>
      <w:pPr>
        <w:jc w:val="center"/>
        <w:rPr>
          <w:b/>
          <w:bCs/>
          <w:sz w:val="28"/>
          <w:szCs w:val="28"/>
        </w:rPr>
      </w:pPr>
      <w:r/>
      <w:bookmarkStart w:id="524" w:name="_Toc119947527"/>
      <w:r/>
      <w:bookmarkStart w:id="525" w:name="_Toc175216056"/>
      <w:r>
        <w:rPr>
          <w:b/>
          <w:bCs/>
          <w:sz w:val="28"/>
          <w:szCs w:val="28"/>
        </w:rPr>
        <w:t xml:space="preserve">5.2. Программа инвестиционных проектов в системе водоснабжения</w:t>
      </w:r>
      <w:bookmarkEnd w:id="524"/>
      <w:r/>
      <w:bookmarkEnd w:id="525"/>
      <w:r/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44"/>
        <w:jc w:val="right"/>
        <w:rPr>
          <w:b/>
          <w:bCs/>
          <w:sz w:val="28"/>
          <w:szCs w:val="28"/>
        </w:rPr>
      </w:pPr>
      <w:r/>
      <w:bookmarkStart w:id="526" w:name="_Toc175216140"/>
      <w:r>
        <w:rPr>
          <w:b/>
          <w:bCs/>
          <w:sz w:val="28"/>
          <w:szCs w:val="28"/>
        </w:rPr>
        <w:t xml:space="preserve">Таблица 5.2</w:t>
      </w:r>
      <w:r>
        <w:rPr>
          <w:b/>
          <w:bCs/>
          <w:sz w:val="28"/>
          <w:szCs w:val="28"/>
        </w:rPr>
      </w:r>
    </w:p>
    <w:p>
      <w:pPr>
        <w:pStyle w:val="154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Программа инвестиционных проектов в системе водоснабжения</w:t>
      </w:r>
      <w:bookmarkEnd w:id="526"/>
      <w:r/>
      <w:r>
        <w:rPr>
          <w:rFonts w:asciiTheme="minorHAnsi" w:hAnsiTheme="minorHAnsi" w:cstheme="minorHAnsi"/>
          <w:b/>
          <w:bCs/>
          <w:sz w:val="28"/>
          <w:szCs w:val="28"/>
        </w:rPr>
      </w:r>
    </w:p>
    <w:p>
      <w:pPr>
        <w:pStyle w:val="154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</w:r>
      <w:r>
        <w:rPr>
          <w:rFonts w:asciiTheme="minorHAnsi" w:hAnsiTheme="minorHAnsi" w:cstheme="minorHAnsi"/>
          <w:b/>
          <w:bCs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84"/>
        <w:gridCol w:w="1733"/>
        <w:gridCol w:w="4955"/>
        <w:gridCol w:w="1070"/>
        <w:gridCol w:w="1070"/>
        <w:gridCol w:w="1070"/>
        <w:gridCol w:w="1070"/>
        <w:gridCol w:w="1070"/>
        <w:gridCol w:w="1175"/>
        <w:gridCol w:w="1172"/>
      </w:tblGrid>
      <w:tr>
        <w:tblPrEx/>
        <w:trPr>
          <w:trHeight w:val="20"/>
          <w:tblHeader/>
        </w:trPr>
        <w:tc>
          <w:tcPr>
            <w:shd w:val="clear" w:color="auto" w:fill="auto"/>
            <w:tcW w:w="227" w:type="pct"/>
            <w:vMerge w:val="restart"/>
            <w:textDirection w:val="lrTb"/>
            <w:noWrap w:val="false"/>
          </w:tcPr>
          <w:p>
            <w:pPr>
              <w:ind w:left="-117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75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РСО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44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группы мероприятий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6"/>
            <w:shd w:val="clear" w:color="auto" w:fill="auto"/>
            <w:tcW w:w="216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Объемы финансовых потребностей и капитальных затрат на реализацию мероприятий в прогнозных ценах (без НДС), тыс. руб.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90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  <w:tblHeader/>
        </w:trPr>
        <w:tc>
          <w:tcPr>
            <w:tcW w:w="227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75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44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90" w:type="pct"/>
            <w:vAlign w:val="center"/>
            <w:textDirection w:val="lrTb"/>
            <w:noWrap w:val="false"/>
          </w:tcPr>
          <w:p>
            <w:pPr>
              <w:ind w:left="-100"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2029-2034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90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</w:tr>
    </w:tbl>
    <w:p>
      <w:pPr>
        <w:spacing w:line="48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84"/>
        <w:gridCol w:w="1733"/>
        <w:gridCol w:w="4955"/>
        <w:gridCol w:w="1070"/>
        <w:gridCol w:w="1070"/>
        <w:gridCol w:w="1070"/>
        <w:gridCol w:w="1070"/>
        <w:gridCol w:w="1070"/>
        <w:gridCol w:w="1175"/>
        <w:gridCol w:w="1172"/>
      </w:tblGrid>
      <w:tr>
        <w:tblPrEx/>
        <w:trPr>
          <w:cantSplit/>
          <w:trHeight w:val="20"/>
          <w:tblHeader/>
        </w:trPr>
        <w:tc>
          <w:tcPr>
            <w:tcW w:w="22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7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4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90" w:type="pct"/>
            <w:vAlign w:val="center"/>
            <w:textDirection w:val="lrTb"/>
            <w:noWrap w:val="false"/>
          </w:tcPr>
          <w:p>
            <w:pPr>
              <w:ind w:left="-100"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8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2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75" w:type="pct"/>
            <w:textDirection w:val="lrTb"/>
            <w:noWrap w:val="false"/>
          </w:tcPr>
          <w:p>
            <w:pPr>
              <w:ind w:left="-111" w:right="-1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«НОВОГОР-</w:t>
            </w:r>
            <w:r>
              <w:rPr>
                <w:color w:val="000000"/>
                <w:sz w:val="20"/>
                <w:szCs w:val="20"/>
              </w:rPr>
              <w:t xml:space="preserve">Прикамье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4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Строительство, модернизация и (или) реконструкция объектов централизованного водоснабжения (далее – ЦВС) в целях подключения объектов капитального строительства абонентов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1 801 812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1 250 022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2 008 302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1 818 092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298 396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0" w:type="pct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487 464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9" w:type="pct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7 664 088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2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75" w:type="pct"/>
            <w:textDirection w:val="lrTb"/>
            <w:noWrap w:val="false"/>
          </w:tcPr>
          <w:p>
            <w:pPr>
              <w:ind w:left="-111" w:right="-1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«НОВОГОР-</w:t>
            </w:r>
            <w:r>
              <w:rPr>
                <w:color w:val="000000"/>
                <w:sz w:val="20"/>
                <w:szCs w:val="20"/>
              </w:rPr>
              <w:t xml:space="preserve">Прикамье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4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в рамках реализации ГП города Перми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30 802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55 918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2 579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50 580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0" w:type="pct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335 829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9" w:type="pct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475 708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2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75" w:type="pct"/>
            <w:textDirection w:val="lrTb"/>
            <w:noWrap w:val="false"/>
          </w:tcPr>
          <w:p>
            <w:pPr>
              <w:ind w:left="-111" w:right="-1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«НОВОГОР-</w:t>
            </w:r>
            <w:r>
              <w:rPr>
                <w:color w:val="000000"/>
                <w:sz w:val="20"/>
                <w:szCs w:val="20"/>
              </w:rPr>
              <w:t xml:space="preserve">Прикамье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4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Мероприятия, предусматривающие подключение к ЦВС земельных участков, выделенных многодетным семьям, военнослужащим и членам их семей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122 314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274 905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237 505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1 141 181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41 998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0" w:type="pct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9" w:type="pct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1 817 903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2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75" w:type="pct"/>
            <w:textDirection w:val="lrTb"/>
            <w:noWrap w:val="false"/>
          </w:tcPr>
          <w:p>
            <w:pPr>
              <w:ind w:left="-111" w:right="-1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«НОВОГОР-</w:t>
            </w:r>
            <w:r>
              <w:rPr>
                <w:color w:val="000000"/>
                <w:sz w:val="20"/>
                <w:szCs w:val="20"/>
              </w:rPr>
              <w:t xml:space="preserve">Прикамье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4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Мероприятия, предусмотренные для комплексного развития территорий города Перми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221 996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114 639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71 319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123 030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2 117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390" w:type="pct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20 608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389" w:type="pct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553 710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2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75" w:type="pct"/>
            <w:textDirection w:val="lrTb"/>
            <w:noWrap w:val="false"/>
          </w:tcPr>
          <w:p>
            <w:pPr>
              <w:ind w:left="-111" w:right="-1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«НОВОГОР-</w:t>
            </w:r>
            <w:r>
              <w:rPr>
                <w:color w:val="000000"/>
                <w:sz w:val="20"/>
                <w:szCs w:val="20"/>
              </w:rPr>
              <w:t xml:space="preserve">Прикамье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4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Мероприятия, предусмотренные проектами планировки территории города Перми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230 386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164 255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314 811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44 991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222 695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0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105 475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1 082 612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2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75" w:type="pct"/>
            <w:textDirection w:val="lrTb"/>
            <w:noWrap w:val="false"/>
          </w:tcPr>
          <w:p>
            <w:pPr>
              <w:ind w:left="-111" w:right="-1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«НОВОГОР-</w:t>
            </w:r>
            <w:r>
              <w:rPr>
                <w:color w:val="000000"/>
                <w:sz w:val="20"/>
                <w:szCs w:val="20"/>
              </w:rPr>
              <w:t xml:space="preserve">Прикамье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4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Мероприятия, предусматривающие подключение к ЦВС объектов точечной застройки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479 524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345 807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618 448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155 966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31 585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0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25 552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1 656 882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2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75" w:type="pct"/>
            <w:textDirection w:val="lrTb"/>
            <w:noWrap w:val="false"/>
          </w:tcPr>
          <w:p>
            <w:pPr>
              <w:ind w:left="-111" w:right="-1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«НОВОГОР-</w:t>
            </w:r>
            <w:r>
              <w:rPr>
                <w:color w:val="000000"/>
                <w:sz w:val="20"/>
                <w:szCs w:val="20"/>
              </w:rPr>
              <w:t xml:space="preserve">Прикамье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4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по подключению объектов капитального строительства к ЦВС, предусмотренных инвестиционной программой ООО «НОВОГОР-</w:t>
            </w:r>
            <w:r>
              <w:rPr>
                <w:sz w:val="20"/>
                <w:szCs w:val="20"/>
              </w:rPr>
              <w:t xml:space="preserve">Прикамье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716 790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294 498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763 639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302 344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0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9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2 077 272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2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1.6.1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75" w:type="pct"/>
            <w:textDirection w:val="lrTb"/>
            <w:noWrap w:val="false"/>
          </w:tcPr>
          <w:p>
            <w:pPr>
              <w:ind w:left="-111" w:right="-1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«НОВОГОР-</w:t>
            </w:r>
            <w:r>
              <w:rPr>
                <w:color w:val="000000"/>
                <w:sz w:val="20"/>
                <w:szCs w:val="20"/>
              </w:rPr>
              <w:t xml:space="preserve">Прикамье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4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Мероприятия, </w:t>
            </w:r>
            <w:r>
              <w:rPr>
                <w:sz w:val="20"/>
                <w:szCs w:val="20"/>
              </w:rPr>
              <w:t xml:space="preserve">предусматривающие присоединение к ЦВС объектов, подключение которых наиболее вероятно, обеспечено в большинстве случаев подписанными договорами и по которым четко обозначены намерения по состоянию на дату корректировки инвестиционной программы (Группа № 1)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167 423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66 672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115 148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116 456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0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9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465 699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27" w:type="pct"/>
            <w:textDirection w:val="lrTb"/>
            <w:noWrap w:val="false"/>
          </w:tcPr>
          <w:p>
            <w:pPr>
              <w:ind w:left="-117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1.6.1.1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75" w:type="pct"/>
            <w:textDirection w:val="lrTb"/>
            <w:noWrap w:val="false"/>
          </w:tcPr>
          <w:p>
            <w:pPr>
              <w:ind w:left="-111" w:right="-1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«НОВОГОР-</w:t>
            </w:r>
            <w:r>
              <w:rPr>
                <w:color w:val="000000"/>
                <w:sz w:val="20"/>
                <w:szCs w:val="20"/>
              </w:rPr>
              <w:t xml:space="preserve">Прикамье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4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ликвидации технологических разрывов (протяженность) на системе водоснабжения (Группа № 1)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70 059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15 703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49 173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77 193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0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9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212 128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27" w:type="pct"/>
            <w:textDirection w:val="lrTb"/>
            <w:noWrap w:val="false"/>
          </w:tcPr>
          <w:p>
            <w:pPr>
              <w:ind w:left="-117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1.6.1.2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75" w:type="pct"/>
            <w:textDirection w:val="lrTb"/>
            <w:noWrap w:val="false"/>
          </w:tcPr>
          <w:p>
            <w:pPr>
              <w:ind w:left="-111" w:right="-1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«НОВОГОР-</w:t>
            </w:r>
            <w:r>
              <w:rPr>
                <w:color w:val="000000"/>
                <w:sz w:val="20"/>
                <w:szCs w:val="20"/>
              </w:rPr>
              <w:t xml:space="preserve">Прикамье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4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увеличению мощности (пропускной способности) на системе водоснабжения (Группа № 1)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97 364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50 969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65 975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39 263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0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9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253 571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2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1.6.2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75" w:type="pct"/>
            <w:textDirection w:val="lrTb"/>
            <w:noWrap w:val="false"/>
          </w:tcPr>
          <w:p>
            <w:pPr>
              <w:ind w:left="-111" w:right="-1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«НОВОГОР-</w:t>
            </w:r>
            <w:r>
              <w:rPr>
                <w:color w:val="000000"/>
                <w:sz w:val="20"/>
                <w:szCs w:val="20"/>
              </w:rPr>
              <w:t xml:space="preserve">Прикамье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4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Мероприятия, предусматривающие присоединение к ЦВС объектов</w:t>
            </w:r>
            <w:r>
              <w:rPr>
                <w:sz w:val="20"/>
                <w:szCs w:val="20"/>
              </w:rPr>
              <w:t xml:space="preserve">, подключение которых под сомнением в указанные сроки с заявленными параметрами подключения. Даже заключенные договоры могут быть изменены по инициативе заказчиков путем переноса сроков подключения, оплаты, изменения очередности ввода нагрузок (Группа № 2)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549 367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227 826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648 491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185 888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0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9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1 611 572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27" w:type="pct"/>
            <w:textDirection w:val="lrTb"/>
            <w:noWrap w:val="false"/>
          </w:tcPr>
          <w:p>
            <w:pPr>
              <w:ind w:left="-117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1.6.2.1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75" w:type="pct"/>
            <w:textDirection w:val="lrTb"/>
            <w:noWrap w:val="false"/>
          </w:tcPr>
          <w:p>
            <w:pPr>
              <w:ind w:left="-111" w:right="-1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«НОВОГОР-</w:t>
            </w:r>
            <w:r>
              <w:rPr>
                <w:color w:val="000000"/>
                <w:sz w:val="20"/>
                <w:szCs w:val="20"/>
              </w:rPr>
              <w:t xml:space="preserve">Прикамье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4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ликвидации технологических разрывов (протяженность) на системе водоснабжения (Группа № 2)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539 529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134 486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517 581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185 888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0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9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1 377 484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27" w:type="pct"/>
            <w:textDirection w:val="lrTb"/>
            <w:noWrap w:val="false"/>
          </w:tcPr>
          <w:p>
            <w:pPr>
              <w:ind w:left="-117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1.6.2.2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75" w:type="pct"/>
            <w:textDirection w:val="lrTb"/>
            <w:noWrap w:val="false"/>
          </w:tcPr>
          <w:p>
            <w:pPr>
              <w:ind w:left="-111" w:right="-1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«НОВОГОР-</w:t>
            </w:r>
            <w:r>
              <w:rPr>
                <w:color w:val="000000"/>
                <w:sz w:val="20"/>
                <w:szCs w:val="20"/>
              </w:rPr>
              <w:t xml:space="preserve">Прикамье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4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увеличению мощности (пропускной способности) на системе водоснабжения (Группа № 2)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9 838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93 340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130 910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0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9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234 089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2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75" w:type="pct"/>
            <w:textDirection w:val="lrTb"/>
            <w:noWrap w:val="false"/>
          </w:tcPr>
          <w:p>
            <w:pPr>
              <w:ind w:left="-111" w:right="-1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«НОВОГОР-</w:t>
            </w:r>
            <w:r>
              <w:rPr>
                <w:color w:val="000000"/>
                <w:sz w:val="20"/>
                <w:szCs w:val="20"/>
              </w:rPr>
              <w:t xml:space="preserve">Прикамье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4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Строительство, модернизация и (или) реконструкция объектов ЦВС, не связанных с подключением (технологическим присоединением) новых объектов капитального строительства абонентов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927 058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4 204 733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4 276 550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4 448 792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4 345 406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390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33 054 953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389" w:type="pct"/>
            <w:textDirection w:val="lrTb"/>
            <w:noWrap/>
          </w:tcPr>
          <w:p>
            <w:pPr>
              <w:ind w:left="-112" w:right="-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51 257 492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2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75" w:type="pct"/>
            <w:textDirection w:val="lrTb"/>
            <w:noWrap w:val="false"/>
          </w:tcPr>
          <w:p>
            <w:pPr>
              <w:ind w:left="-111" w:right="-1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«НОВОГОР-</w:t>
            </w:r>
            <w:r>
              <w:rPr>
                <w:color w:val="000000"/>
                <w:sz w:val="20"/>
                <w:szCs w:val="20"/>
              </w:rPr>
              <w:t xml:space="preserve">Прикамье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44" w:type="pct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обеспечению ЦВС объектов капитального строительства на территориях существующей застройки, а также строительство/реконструкция существующих сетей водоснабжения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809 652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3 606 902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3 732 863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3 868 312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3 945 461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0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31 618 028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/>
          </w:tcPr>
          <w:p>
            <w:pPr>
              <w:ind w:left="-112" w:right="-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47 581 218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2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75" w:type="pct"/>
            <w:textDirection w:val="lrTb"/>
            <w:noWrap w:val="false"/>
          </w:tcPr>
          <w:p>
            <w:pPr>
              <w:ind w:left="-111" w:right="-1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МП «</w:t>
            </w:r>
            <w:r>
              <w:rPr>
                <w:color w:val="000000"/>
                <w:sz w:val="20"/>
                <w:szCs w:val="20"/>
              </w:rPr>
              <w:t xml:space="preserve">Пермводоканал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44" w:type="pct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392</w:t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11 478</w:t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16 549</w:t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0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89" w:type="pct"/>
            <w:textDirection w:val="lrTb"/>
            <w:noWrap/>
          </w:tcPr>
          <w:p>
            <w:pPr>
              <w:ind w:left="-112" w:right="-15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28 419</w:t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2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75" w:type="pct"/>
            <w:textDirection w:val="lrTb"/>
            <w:noWrap w:val="false"/>
          </w:tcPr>
          <w:p>
            <w:pPr>
              <w:ind w:left="-111" w:right="-1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«НОВОГОР-</w:t>
            </w:r>
            <w:r>
              <w:rPr>
                <w:color w:val="000000"/>
                <w:sz w:val="20"/>
                <w:szCs w:val="20"/>
              </w:rPr>
              <w:t xml:space="preserve">Прикамье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4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обеспечению требуемого качества питьевой воды, необходимой производительности и нормативного функционирования основных объектов ЦВС (водозаборы, водопроводные очистные сооружения)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16 469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59 233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51 465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57 722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251 413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0" w:type="pct"/>
            <w:textDirection w:val="lrTb"/>
            <w:noWrap/>
          </w:tcPr>
          <w:p>
            <w:pPr>
              <w:ind w:left="-104" w:right="-116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1 328 755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9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1 765 057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2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75" w:type="pct"/>
            <w:textDirection w:val="lrTb"/>
            <w:noWrap w:val="false"/>
          </w:tcPr>
          <w:p>
            <w:pPr>
              <w:ind w:left="-111" w:right="-1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«НОВОГОР-</w:t>
            </w:r>
            <w:r>
              <w:rPr>
                <w:color w:val="000000"/>
                <w:sz w:val="20"/>
                <w:szCs w:val="20"/>
              </w:rPr>
              <w:t xml:space="preserve">Прикамье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44" w:type="pct"/>
            <w:textDirection w:val="lrTb"/>
            <w:noWrap w:val="false"/>
          </w:tcPr>
          <w:p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восстановлению эксплуатационного ресурса и повышению </w:t>
            </w:r>
            <w:r>
              <w:rPr>
                <w:sz w:val="20"/>
                <w:szCs w:val="20"/>
              </w:rPr>
              <w:t xml:space="preserve">энергоэффективности</w:t>
            </w:r>
            <w:r>
              <w:rPr>
                <w:sz w:val="20"/>
                <w:szCs w:val="20"/>
              </w:rPr>
              <w:t xml:space="preserve"> объектов и сетей ЦВС, строительство новых объектов транспортировки и хранения воды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39 565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464 407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492 222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506 209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148 531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0" w:type="pct"/>
            <w:textDirection w:val="lrTb"/>
            <w:noWrap/>
          </w:tcPr>
          <w:p>
            <w:pPr>
              <w:ind w:left="-104" w:right="-116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14 803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9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1 665 737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2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75" w:type="pct"/>
            <w:textDirection w:val="lrTb"/>
            <w:noWrap w:val="false"/>
          </w:tcPr>
          <w:p>
            <w:pPr>
              <w:ind w:left="-111" w:right="-1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«НОВОГОР-</w:t>
            </w:r>
            <w:r>
              <w:rPr>
                <w:color w:val="000000"/>
                <w:sz w:val="20"/>
                <w:szCs w:val="20"/>
              </w:rPr>
              <w:t xml:space="preserve">Прикамье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44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60 981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62 713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0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50 605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9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174 299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</w:tr>
      <w:tr>
        <w:tblPrEx/>
        <w:trPr>
          <w:cantSplit/>
          <w:trHeight w:val="77"/>
        </w:trPr>
        <w:tc>
          <w:tcPr>
            <w:gridSpan w:val="3"/>
            <w:shd w:val="clear" w:color="auto" w:fill="auto"/>
            <w:tcW w:w="1" w:type="pct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ind w:hanging="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2 728 870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ind w:hanging="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5 454 755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ind w:hanging="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6 284 853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ind w:hanging="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6 266 884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ind w:hanging="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4 643 801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0" w:type="pct"/>
            <w:textDirection w:val="lrTb"/>
            <w:noWrap/>
          </w:tcPr>
          <w:p>
            <w:pPr>
              <w:ind w:hanging="10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33 542 416</w:t>
            </w:r>
            <w:r>
              <w:rPr>
                <w:sz w:val="19"/>
                <w:szCs w:val="19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9" w:type="pct"/>
            <w:textDirection w:val="lrTb"/>
            <w:noWrap/>
          </w:tcPr>
          <w:p>
            <w:pPr>
              <w:ind w:hanging="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58 921 580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1570"/>
        <w:rPr>
          <w:sz w:val="28"/>
          <w:szCs w:val="28"/>
        </w:rPr>
      </w:pPr>
      <w:r/>
      <w:bookmarkStart w:id="527" w:name="_Hlk168482549"/>
      <w:r/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Для группы меро</w:t>
      </w:r>
      <w:r>
        <w:rPr>
          <w:sz w:val="28"/>
          <w:szCs w:val="28"/>
        </w:rPr>
        <w:t xml:space="preserve">приятий «Строительство, модернизация и (или) реконструкция объектов ЦВС в целях подключения объектов капитального строительства абонентов» необходим дополнительный анализ, в том числе оценка состояния сетей и сооружений, режимов их работы и гидравлический </w:t>
      </w:r>
      <w:r>
        <w:rPr>
          <w:sz w:val="28"/>
          <w:szCs w:val="28"/>
        </w:rPr>
        <w:t xml:space="preserve">расчет. Данный анализ должен быть выполнен в рамках Схемы водоснабжения и водоотведения города Перми, по результатам которого необходимо внести корректировки в мероприятия, обеспечивающие техническую возможность подключения объектов перспективной застройки</w:t>
      </w:r>
      <w:bookmarkEnd w:id="527"/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3098" w:leader="none"/>
        </w:tabs>
        <w:rPr>
          <w:b/>
          <w:bCs/>
          <w:sz w:val="28"/>
          <w:szCs w:val="28"/>
        </w:rPr>
      </w:pPr>
      <w:r/>
      <w:bookmarkStart w:id="528" w:name="_Toc119947528"/>
      <w:r/>
      <w:bookmarkStart w:id="529" w:name="_Toc175216057"/>
      <w:r>
        <w:rPr>
          <w:b/>
          <w:bCs/>
          <w:sz w:val="28"/>
          <w:szCs w:val="28"/>
        </w:rPr>
        <w:t xml:space="preserve">5.3. Программа инвестиционных проектов в системе водоотведения</w:t>
      </w:r>
      <w:bookmarkEnd w:id="528"/>
      <w:r/>
      <w:bookmarkEnd w:id="529"/>
      <w:r/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464"/>
        <w:jc w:val="right"/>
        <w:rPr>
          <w:b/>
          <w:bCs/>
          <w:sz w:val="28"/>
          <w:szCs w:val="28"/>
        </w:rPr>
      </w:pPr>
      <w:r/>
      <w:bookmarkStart w:id="530" w:name="_Toc175216141"/>
      <w:r>
        <w:rPr>
          <w:b/>
          <w:bCs/>
          <w:sz w:val="28"/>
          <w:szCs w:val="28"/>
        </w:rPr>
        <w:t xml:space="preserve">Таблица 5.3</w:t>
      </w:r>
      <w:r>
        <w:rPr>
          <w:b/>
          <w:bCs/>
          <w:sz w:val="28"/>
          <w:szCs w:val="28"/>
        </w:rPr>
      </w:r>
    </w:p>
    <w:p>
      <w:pPr>
        <w:pStyle w:val="146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инвестиционных проектов в системе водоотведения</w:t>
      </w:r>
      <w:bookmarkEnd w:id="530"/>
      <w:r/>
      <w:r>
        <w:rPr>
          <w:b/>
          <w:bCs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84"/>
        <w:gridCol w:w="1691"/>
        <w:gridCol w:w="4994"/>
        <w:gridCol w:w="1070"/>
        <w:gridCol w:w="1070"/>
        <w:gridCol w:w="1070"/>
        <w:gridCol w:w="1070"/>
        <w:gridCol w:w="1070"/>
        <w:gridCol w:w="1178"/>
        <w:gridCol w:w="1172"/>
      </w:tblGrid>
      <w:tr>
        <w:tblPrEx/>
        <w:trPr>
          <w:trHeight w:val="20"/>
          <w:tblHeader/>
        </w:trPr>
        <w:tc>
          <w:tcPr>
            <w:shd w:val="clear" w:color="auto" w:fill="auto"/>
            <w:tcW w:w="227" w:type="pct"/>
            <w:vMerge w:val="restart"/>
            <w:textDirection w:val="lrTb"/>
            <w:noWrap w:val="false"/>
          </w:tcPr>
          <w:p>
            <w:pPr>
              <w:ind w:left="-117" w:right="-10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№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61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РСО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57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Наименование группы мероприятий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gridSpan w:val="6"/>
            <w:shd w:val="clear" w:color="auto" w:fill="auto"/>
            <w:tcW w:w="216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Объемы финансовых потребностей и капитальных затрат на реализацию мероприятий в прогнозных ценах (без НДС), тыс. руб.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90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Итого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  <w:tblHeader/>
        </w:trPr>
        <w:tc>
          <w:tcPr>
            <w:tcW w:w="227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561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1657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2024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2025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2026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2027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2028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91" w:type="pct"/>
            <w:vAlign w:val="center"/>
            <w:textDirection w:val="lrTb"/>
            <w:noWrap w:val="false"/>
          </w:tcPr>
          <w:p>
            <w:pPr>
              <w:ind w:left="-100" w:right="-10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2029-2034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90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</w:tr>
    </w:tbl>
    <w:p>
      <w:pPr>
        <w:spacing w:line="48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84"/>
        <w:gridCol w:w="1691"/>
        <w:gridCol w:w="4994"/>
        <w:gridCol w:w="1070"/>
        <w:gridCol w:w="1070"/>
        <w:gridCol w:w="1070"/>
        <w:gridCol w:w="1070"/>
        <w:gridCol w:w="1070"/>
        <w:gridCol w:w="1178"/>
        <w:gridCol w:w="1172"/>
      </w:tblGrid>
      <w:tr>
        <w:tblPrEx/>
        <w:trPr>
          <w:cantSplit/>
          <w:trHeight w:val="20"/>
          <w:tblHeader/>
        </w:trPr>
        <w:tc>
          <w:tcPr>
            <w:tcW w:w="2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56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165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91" w:type="pct"/>
            <w:vAlign w:val="center"/>
            <w:textDirection w:val="lrTb"/>
            <w:noWrap w:val="false"/>
          </w:tcPr>
          <w:p>
            <w:pPr>
              <w:ind w:left="-100" w:right="-10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561" w:type="pct"/>
            <w:textDirection w:val="lrTb"/>
            <w:noWrap w:val="false"/>
          </w:tcPr>
          <w:p>
            <w:pPr>
              <w:ind w:left="-153" w:right="-11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ООО «НОВОГОР-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Прикамье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Строительство, модернизация и (или) реконструкция объектов ЦВО в целях подключения объектов капитального строительства абонентов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1 353 213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1 482 353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1 500 533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2 372 984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511 258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1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1 014 412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0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8 234 754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561" w:type="pct"/>
            <w:textDirection w:val="lrTb"/>
            <w:noWrap w:val="false"/>
          </w:tcPr>
          <w:p>
            <w:pPr>
              <w:ind w:left="-153" w:right="-11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ООО «НОВОГОР-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Прикамье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в рамках реализации ГП города Перми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34 630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46 457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9 932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32 370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1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205 052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0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328 441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561" w:type="pct"/>
            <w:textDirection w:val="lrTb"/>
            <w:noWrap w:val="false"/>
          </w:tcPr>
          <w:p>
            <w:pPr>
              <w:ind w:left="-153" w:right="-11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ООО «НОВОГОР-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Прикамье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Мероприятия, предусматривающие подключение к ЦВО земельных участков, выделенных многодетным семьям, военнослужащим и членам их семей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227 122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419 533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318 975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1 547 822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308 897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391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0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2 822 349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561" w:type="pct"/>
            <w:textDirection w:val="lrTb"/>
            <w:noWrap w:val="false"/>
          </w:tcPr>
          <w:p>
            <w:pPr>
              <w:ind w:left="-153" w:right="-11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ООО «НОВОГОР-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Прикамье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Мероприятия, предусмотренные для комплексного развития территорий города Перми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31 242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50 999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47 184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106 821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20 155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115 067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0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371 468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561" w:type="pct"/>
            <w:textDirection w:val="lrTb"/>
            <w:noWrap w:val="false"/>
          </w:tcPr>
          <w:p>
            <w:pPr>
              <w:ind w:left="-153" w:right="-11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ООО «НОВОГОР-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Прикамье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Мероприятия, предусмотренные проектами планировки территории города Перми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181 590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400 293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602 906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356 795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140 495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608 257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0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2 290 336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561" w:type="pct"/>
            <w:textDirection w:val="lrTb"/>
            <w:noWrap w:val="false"/>
          </w:tcPr>
          <w:p>
            <w:pPr>
              <w:ind w:left="-153" w:right="-11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ООО «НОВОГОР-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Прикамье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Мероприятия, предусматривающие подключение к ЦВО объектов точечной застройки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563 335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264 007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326 759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50 825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41 712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86 036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90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1 332 674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561" w:type="pct"/>
            <w:textDirection w:val="lrTb"/>
            <w:noWrap w:val="false"/>
          </w:tcPr>
          <w:p>
            <w:pPr>
              <w:ind w:left="-153" w:right="-11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ООО «НОВОГОР-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Прикамье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Прочие мероприятия по подключению объектов капитального строительства к ЦВО, предусмотренных инвестиционной программой ООО «НОВОГОР-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Прикамье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»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315 294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301 064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194 777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278 351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0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1 089 486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1.6.1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561" w:type="pct"/>
            <w:textDirection w:val="lrTb"/>
            <w:noWrap w:val="false"/>
          </w:tcPr>
          <w:p>
            <w:pPr>
              <w:ind w:left="-153" w:right="-11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ООО «НОВОГОР-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Прикамье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Мероприятия,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предусматривающие присоединение к ЦВО объектов, подключение которых наиболее вероятно, обеспечено в большинстве случаев подписанными договорами и по которым четко обозначены намерения по состоянию на дату корректировки инвестиционной программы (Группа № 1)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121 925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163 373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67 815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30 475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1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0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383 588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27" w:type="pct"/>
            <w:textDirection w:val="lrTb"/>
            <w:noWrap w:val="false"/>
          </w:tcPr>
          <w:p>
            <w:pPr>
              <w:ind w:left="-117" w:right="-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1.6.1.1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561" w:type="pct"/>
            <w:textDirection w:val="lrTb"/>
            <w:noWrap w:val="false"/>
          </w:tcPr>
          <w:p>
            <w:pPr>
              <w:ind w:left="-153" w:right="-11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ООО «НОВОГОР-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Прикамье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Мероприятия по ликвидации технологических разрывов (протяженность) на системе водоотведения (Группа № 1)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59 376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12 664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39 815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23 475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1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0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135 330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27" w:type="pct"/>
            <w:textDirection w:val="lrTb"/>
            <w:noWrap w:val="false"/>
          </w:tcPr>
          <w:p>
            <w:pPr>
              <w:ind w:left="-117" w:right="-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1.6.1.2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561" w:type="pct"/>
            <w:textDirection w:val="lrTb"/>
            <w:noWrap w:val="false"/>
          </w:tcPr>
          <w:p>
            <w:pPr>
              <w:ind w:left="-153" w:right="-11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ООО «НОВОГОР-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Прикамье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Мероприятия по увеличению мощности (пропускной способности) на системе водоотведения (Группа № 1)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62 549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150 709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28 000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7 000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1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0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248 258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27" w:type="pct"/>
            <w:textDirection w:val="lrTb"/>
            <w:noWrap w:val="false"/>
          </w:tcPr>
          <w:p>
            <w:pPr>
              <w:ind w:left="-117" w:right="-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1.6.2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561" w:type="pct"/>
            <w:textDirection w:val="lrTb"/>
            <w:noWrap w:val="false"/>
          </w:tcPr>
          <w:p>
            <w:pPr>
              <w:ind w:left="-153" w:right="-11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ООО «НОВОГОР-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Прикамье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Мероприятия, предусматривающие присоединение к ЦВО объектов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подключение которых под сомнением в указанные сроки с заявленными параметрами подключения. Даже заключенные договоры могут быть изменены по инициативе заказчиков путем переноса сроков подключения, оплаты, изменения очередности ввода нагрузок (Группа № 2)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193 369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137 691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126 962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247 876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1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0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705 898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27" w:type="pct"/>
            <w:textDirection w:val="lrTb"/>
            <w:noWrap w:val="false"/>
          </w:tcPr>
          <w:p>
            <w:pPr>
              <w:ind w:left="-117" w:right="-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1.6.2.1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561" w:type="pct"/>
            <w:textDirection w:val="lrTb"/>
            <w:noWrap w:val="false"/>
          </w:tcPr>
          <w:p>
            <w:pPr>
              <w:ind w:left="-153" w:right="-11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ООО «НОВОГОР-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Прикамье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Мероприятия по ликвидации технологических разрывов (протяженность) на системе водоотведения (Группа № 2)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188 580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94 350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105 437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222 449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1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0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610 816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27" w:type="pct"/>
            <w:textDirection w:val="lrTb"/>
            <w:noWrap w:val="false"/>
          </w:tcPr>
          <w:p>
            <w:pPr>
              <w:ind w:left="-117" w:right="-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1.6.2.2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561" w:type="pct"/>
            <w:textDirection w:val="lrTb"/>
            <w:noWrap w:val="false"/>
          </w:tcPr>
          <w:p>
            <w:pPr>
              <w:ind w:left="-153" w:right="-11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ООО «НОВОГОР-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Прикамье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Мероприятия по увеличению мощности (пропускной способности) на системе водоотведения (Группа № 2)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4 788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43 342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21 525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25 427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1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0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95 082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561" w:type="pct"/>
            <w:textDirection w:val="lrTb"/>
            <w:noWrap w:val="false"/>
          </w:tcPr>
          <w:p>
            <w:pPr>
              <w:ind w:left="-153" w:right="-11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ООО «НОВОГОР-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Прикамье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Строительство, модернизация и (или) реконструкция объектов ЦВО, не связанных с подключением (технологическим присоединением) новых объектов капитального строительства абонентов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832 134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2 956 206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3 331 132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4 348 165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4 140 523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1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37 823 761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0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53 431 920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561" w:type="pct"/>
            <w:textDirection w:val="lrTb"/>
            <w:noWrap w:val="false"/>
          </w:tcPr>
          <w:p>
            <w:pPr>
              <w:ind w:left="-153" w:right="-11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ООО «НОВОГОР-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Прикамье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57" w:type="pct"/>
            <w:textDirection w:val="lrTb"/>
            <w:noWrap w:val="false"/>
          </w:tcPr>
          <w:p>
            <w:pPr>
              <w:ind w:right="-11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Мероприятия по обеспечению ЦВО объектов капитального строительства на территориях существующей застройки, а также строительство/реконструкция существующих сетей водоотведения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305 162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1 698 751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2 155 257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2 756 418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2 514 171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1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30 356 637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0" w:type="pct"/>
            <w:textDirection w:val="lrTb"/>
            <w:noWrap/>
          </w:tcPr>
          <w:p>
            <w:pPr>
              <w:ind w:left="-112" w:right="-15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39 786 395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561" w:type="pct"/>
            <w:textDirection w:val="lrTb"/>
            <w:noWrap w:val="false"/>
          </w:tcPr>
          <w:p>
            <w:pPr>
              <w:ind w:left="-153" w:right="-11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ООО «НОВОГОР-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Прикамье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Мероприятия по обеспечению требуемого качества очистки сточных вод, необходимой производительности и нормативного функционирования основных объектов ЦВО (ОСК)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236 039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839 794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461 377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293 077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257 000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391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4 107 663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0" w:type="pct"/>
            <w:textDirection w:val="lrTb"/>
            <w:noWrap/>
          </w:tcPr>
          <w:p>
            <w:pPr>
              <w:ind w:left="-112" w:right="-15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6 194 950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27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561" w:type="pct"/>
            <w:textDirection w:val="lrTb"/>
            <w:noWrap w:val="false"/>
          </w:tcPr>
          <w:p>
            <w:pPr>
              <w:ind w:left="-153" w:right="-11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ООО «НОВОГОР-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Прикамье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57" w:type="pct"/>
            <w:vMerge w:val="restar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Мероприятия по восстановлению эксплуатационного ресурса объектов и сетей ЦВО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290 659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343 443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712 237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1 298 670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1 340 781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3 188 032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0" w:type="pct"/>
            <w:textDirection w:val="lrTb"/>
            <w:noWrap/>
          </w:tcPr>
          <w:p>
            <w:pPr>
              <w:ind w:left="-112" w:right="-15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7 173 821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2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561" w:type="pct"/>
            <w:textDirection w:val="lrTb"/>
            <w:noWrap w:val="false"/>
          </w:tcPr>
          <w:p>
            <w:pPr>
              <w:ind w:left="-153" w:right="-11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МП «</w:t>
            </w:r>
            <w:r>
              <w:rPr>
                <w:color w:val="000000"/>
                <w:sz w:val="20"/>
                <w:szCs w:val="20"/>
              </w:rPr>
              <w:t xml:space="preserve">Пермводоканал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57" w:type="pct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274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2 262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90" w:type="pct"/>
            <w:textDirection w:val="lrTb"/>
            <w:noWrap/>
          </w:tcPr>
          <w:p>
            <w:pPr>
              <w:ind w:left="-112" w:right="-15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2 536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561" w:type="pct"/>
            <w:textDirection w:val="lrTb"/>
            <w:noWrap w:val="false"/>
          </w:tcPr>
          <w:p>
            <w:pPr>
              <w:ind w:left="-153" w:right="-11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ООО «НОВОГОР-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Прикамье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Прочие мероприятия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74 218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28 571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1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171 429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0" w:type="pct"/>
            <w:textDirection w:val="lrTb"/>
            <w:noWrap/>
          </w:tcPr>
          <w:p>
            <w:pPr>
              <w:ind w:left="-112" w:right="-15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274 218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</w:tr>
      <w:tr>
        <w:tblPrEx/>
        <w:trPr>
          <w:cantSplit/>
          <w:trHeight w:val="20"/>
        </w:trPr>
        <w:tc>
          <w:tcPr>
            <w:gridSpan w:val="3"/>
            <w:shd w:val="clear" w:color="auto" w:fill="auto"/>
            <w:tcW w:w="1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Итого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2 185 346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4 438 560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4 831 666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6 721 149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4 651 781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1" w:type="pct"/>
            <w:textDirection w:val="lrTb"/>
            <w:noWrap/>
          </w:tcPr>
          <w:p>
            <w:pPr>
              <w:ind w:left="-100" w:right="-10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38 838 173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0" w:type="pct"/>
            <w:textDirection w:val="lrTb"/>
            <w:noWrap/>
          </w:tcPr>
          <w:p>
            <w:pPr>
              <w:ind w:left="-112" w:right="-15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61 666 675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</w:tbl>
    <w:p>
      <w:pPr>
        <w:pStyle w:val="1570"/>
        <w:rPr>
          <w:sz w:val="28"/>
          <w:szCs w:val="28"/>
        </w:rPr>
      </w:pPr>
      <w:r/>
      <w:bookmarkStart w:id="531" w:name="_Hlk168482489"/>
      <w:r/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Для группы меропр</w:t>
      </w:r>
      <w:r>
        <w:rPr>
          <w:sz w:val="28"/>
          <w:szCs w:val="28"/>
        </w:rPr>
        <w:t xml:space="preserve">иятий «Строительство, модернизация и (или) реконструкция объектов ЦВО в целях подключения объектов капитального строительства абонентов» необходим дополнительный анализ, в том числе оценка состояния сетей и сооружений, режимов их работы и гидравлический ра</w:t>
      </w:r>
      <w:r>
        <w:rPr>
          <w:sz w:val="28"/>
          <w:szCs w:val="28"/>
        </w:rPr>
        <w:t xml:space="preserve">счет. Данный анализ должен быть выполнен в рамках Схемы водоснабжения и водоотведения города Перми, по результатам которого необходимо внести корректировки в мероприятия, обеспечивающие техническую возможность подключения объектов перспективной застройки.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Ввиду высокой стоимости мероприятий по строительству систем водоотведения </w:t>
      </w:r>
      <w:r>
        <w:rPr>
          <w:sz w:val="28"/>
          <w:szCs w:val="28"/>
        </w:rPr>
        <w:t xml:space="preserve">к отдельным отдаленным территориям с земельными участками, выделенными многодетным семьям, военнослужащим и членам их семей, возможно устройство на данных территориях локальной системы водоотведения с обустройством индивидуальных или общественных септиков.</w:t>
      </w:r>
      <w:bookmarkEnd w:id="531"/>
      <w:r>
        <w:rPr>
          <w:sz w:val="28"/>
          <w:szCs w:val="28"/>
        </w:rPr>
      </w:r>
    </w:p>
    <w:p>
      <w:pPr>
        <w:pStyle w:val="1570"/>
      </w:pPr>
      <w:r/>
      <w:r/>
    </w:p>
    <w:p>
      <w:pPr>
        <w:pStyle w:val="1570"/>
        <w:sectPr>
          <w:footnotePr/>
          <w:endnotePr/>
          <w:type w:val="nextPage"/>
          <w:pgSz w:w="16838" w:h="11906" w:orient="landscape"/>
          <w:pgMar w:top="1134" w:right="567" w:bottom="1134" w:left="1418" w:header="567" w:footer="567" w:gutter="0"/>
          <w:cols w:num="1" w:sep="0" w:space="708" w:equalWidth="1"/>
          <w:docGrid w:linePitch="360"/>
        </w:sectPr>
      </w:pPr>
      <w:r/>
      <w:r/>
    </w:p>
    <w:p>
      <w:pPr>
        <w:pStyle w:val="1544"/>
        <w:rPr>
          <w:b/>
          <w:bCs/>
          <w:sz w:val="28"/>
          <w:szCs w:val="28"/>
        </w:rPr>
      </w:pPr>
      <w:r/>
      <w:bookmarkStart w:id="532" w:name="_Toc119947529"/>
      <w:r/>
      <w:bookmarkStart w:id="533" w:name="_Toc175216058"/>
      <w:r>
        <w:rPr>
          <w:b/>
          <w:bCs/>
          <w:sz w:val="28"/>
          <w:szCs w:val="28"/>
        </w:rPr>
        <w:t xml:space="preserve">5.4. Программа инвестиционных проектов в системе электроснабжения</w:t>
      </w:r>
      <w:bookmarkEnd w:id="532"/>
      <w:r/>
      <w:bookmarkEnd w:id="533"/>
      <w:r/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44"/>
        <w:jc w:val="right"/>
        <w:rPr>
          <w:b/>
          <w:bCs/>
          <w:sz w:val="28"/>
          <w:szCs w:val="28"/>
        </w:rPr>
      </w:pPr>
      <w:r/>
      <w:bookmarkStart w:id="534" w:name="_Toc175216142"/>
      <w:r>
        <w:rPr>
          <w:b/>
          <w:bCs/>
          <w:sz w:val="28"/>
          <w:szCs w:val="28"/>
        </w:rPr>
        <w:t xml:space="preserve">Таблица 5.4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инвестиционных проектов в системе электроснабжения</w:t>
      </w:r>
      <w:bookmarkEnd w:id="534"/>
      <w:r/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9"/>
        <w:gridCol w:w="2495"/>
        <w:gridCol w:w="5136"/>
        <w:gridCol w:w="1028"/>
        <w:gridCol w:w="880"/>
        <w:gridCol w:w="880"/>
        <w:gridCol w:w="880"/>
        <w:gridCol w:w="880"/>
        <w:gridCol w:w="1172"/>
        <w:gridCol w:w="989"/>
      </w:tblGrid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" w:type="pct"/>
            <w:vMerge w:val="restart"/>
            <w:textDirection w:val="lrTb"/>
            <w:noWrap w:val="false"/>
          </w:tcPr>
          <w:p>
            <w:pPr>
              <w:ind w:left="-112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8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РСО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4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группы мероприятий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98" w:type="pct"/>
            <w:textDirection w:val="lrTb"/>
            <w:noWrap w:val="false"/>
          </w:tcPr>
          <w:p>
            <w:pPr>
              <w:ind w:left="-100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Объемы финансовых потребностей и капитальных затрат на реализацию мероприятий в прогнозных ценах (без НДС),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0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тыс. руб.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8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4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vAlign w:val="center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2029-2034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1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Строительство, модернизация и (или) реконструкция объектов электроснабжения в целях осуществления технологического присоединения объектов капитального строительства абонентов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66 614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47 584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4 000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101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1 911 020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ind w:left="-100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2 029 218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8" w:type="pct"/>
            <w:textDirection w:val="lrTb"/>
            <w:noWrap w:val="false"/>
          </w:tcPr>
          <w:p>
            <w:pPr>
              <w:ind w:left="1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ПАО «</w:t>
            </w:r>
            <w:r>
              <w:rPr>
                <w:color w:val="000000"/>
                <w:sz w:val="20"/>
                <w:szCs w:val="20"/>
              </w:rPr>
              <w:t xml:space="preserve">Россети</w:t>
            </w:r>
            <w:r>
              <w:rPr>
                <w:color w:val="000000"/>
                <w:sz w:val="20"/>
                <w:szCs w:val="20"/>
              </w:rPr>
              <w:t xml:space="preserve"> Урал»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4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 КЛ 10 </w:t>
            </w:r>
            <w:r>
              <w:rPr>
                <w:color w:val="000000"/>
                <w:sz w:val="20"/>
                <w:szCs w:val="20"/>
              </w:rPr>
              <w:t xml:space="preserve">кВ</w:t>
            </w:r>
            <w:r>
              <w:rPr>
                <w:color w:val="000000"/>
                <w:sz w:val="20"/>
                <w:szCs w:val="20"/>
              </w:rPr>
              <w:t xml:space="preserve">, КЛ 6 </w:t>
            </w:r>
            <w:r>
              <w:rPr>
                <w:color w:val="000000"/>
                <w:sz w:val="20"/>
                <w:szCs w:val="20"/>
              </w:rPr>
              <w:t xml:space="preserve">кВ</w:t>
            </w:r>
            <w:r>
              <w:rPr>
                <w:color w:val="000000"/>
                <w:sz w:val="20"/>
                <w:szCs w:val="20"/>
              </w:rPr>
              <w:t xml:space="preserve">, КТПП 6/0,4 </w:t>
            </w:r>
            <w:r>
              <w:rPr>
                <w:color w:val="000000"/>
                <w:sz w:val="20"/>
                <w:szCs w:val="20"/>
              </w:rPr>
              <w:t xml:space="preserve">кВ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60 614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38 873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ind w:left="-113" w:right="-1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4 000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101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363 000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ind w:left="-100" w:right="-1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466 486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8" w:type="pct"/>
            <w:textDirection w:val="lrTb"/>
            <w:noWrap w:val="false"/>
          </w:tcPr>
          <w:p>
            <w:pPr>
              <w:ind w:left="1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ПАО «Т Плюс» Филиал «Пермский»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4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Модернизация Пермской ТЭЦ-9 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6 000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8 712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1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ind w:left="-100" w:right="-1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14 712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8" w:type="pct"/>
            <w:textDirection w:val="lrTb"/>
            <w:noWrap w:val="false"/>
          </w:tcPr>
          <w:p>
            <w:pPr>
              <w:ind w:left="1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ПАО «</w:t>
            </w:r>
            <w:r>
              <w:rPr>
                <w:color w:val="000000"/>
                <w:sz w:val="20"/>
                <w:szCs w:val="20"/>
              </w:rPr>
              <w:t xml:space="preserve">Россети</w:t>
            </w:r>
            <w:r>
              <w:rPr>
                <w:color w:val="000000"/>
                <w:sz w:val="20"/>
                <w:szCs w:val="20"/>
              </w:rPr>
              <w:t xml:space="preserve"> Урал»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4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Реконструкция ПС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ind w:left="-113" w:right="-1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101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1 548 020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ind w:left="-100" w:right="-1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1 548 020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1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Реконструкция, модернизация, техническое перевооружение объектов электроснабжения, не связанных с осуществлением технологического присоединения объектов капитального строительства абонентов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795 248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ind w:left="-99" w:right="-1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342 407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82 544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ind w:left="-100" w:right="-1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118 053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ind w:left="-108"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107 131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101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944 000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ind w:left="-100" w:right="-1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2 389 384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8" w:type="pct"/>
            <w:textDirection w:val="lrTb"/>
            <w:noWrap w:val="false"/>
          </w:tcPr>
          <w:p>
            <w:pPr>
              <w:ind w:left="1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ПАО «</w:t>
            </w:r>
            <w:r>
              <w:rPr>
                <w:color w:val="000000"/>
                <w:sz w:val="20"/>
                <w:szCs w:val="20"/>
              </w:rPr>
              <w:t xml:space="preserve">Россети</w:t>
            </w:r>
            <w:r>
              <w:rPr>
                <w:color w:val="000000"/>
                <w:sz w:val="20"/>
                <w:szCs w:val="20"/>
              </w:rPr>
              <w:t xml:space="preserve"> Урал»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4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реконструкции и модернизации объектов электросетевого хозяйства 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536 248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ind w:left="-99" w:right="-1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200 396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7 359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ind w:left="-110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41 657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ind w:left="-108"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107 131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101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944 000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ind w:left="-100" w:right="-1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1 836 792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8" w:type="pct"/>
            <w:textDirection w:val="lrTb"/>
            <w:noWrap w:val="false"/>
          </w:tcPr>
          <w:p>
            <w:pPr>
              <w:ind w:left="1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ПАО «</w:t>
            </w:r>
            <w:r>
              <w:rPr>
                <w:color w:val="000000"/>
                <w:sz w:val="20"/>
                <w:szCs w:val="20"/>
              </w:rPr>
              <w:t xml:space="preserve">Россети</w:t>
            </w:r>
            <w:r>
              <w:rPr>
                <w:color w:val="000000"/>
                <w:sz w:val="20"/>
                <w:szCs w:val="20"/>
              </w:rPr>
              <w:t xml:space="preserve"> Урал»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4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Реконструкция, модернизация ВЛ 6 </w:t>
            </w:r>
            <w:r>
              <w:rPr>
                <w:color w:val="000000"/>
                <w:sz w:val="20"/>
                <w:szCs w:val="20"/>
              </w:rPr>
              <w:t xml:space="preserve">кВ</w:t>
            </w:r>
            <w:r>
              <w:rPr>
                <w:color w:val="000000"/>
                <w:sz w:val="20"/>
                <w:szCs w:val="20"/>
              </w:rPr>
              <w:t xml:space="preserve">, 35 </w:t>
            </w:r>
            <w:r>
              <w:rPr>
                <w:color w:val="000000"/>
                <w:sz w:val="20"/>
                <w:szCs w:val="20"/>
              </w:rPr>
              <w:t xml:space="preserve">кВ</w:t>
            </w:r>
            <w:r>
              <w:rPr>
                <w:color w:val="000000"/>
                <w:sz w:val="20"/>
                <w:szCs w:val="20"/>
              </w:rPr>
              <w:t xml:space="preserve">, 110 </w:t>
            </w:r>
            <w:r>
              <w:rPr>
                <w:color w:val="000000"/>
                <w:sz w:val="20"/>
                <w:szCs w:val="20"/>
              </w:rPr>
              <w:t xml:space="preserve">кВ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9 017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36 027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37 093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41 044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1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ind w:left="-100" w:right="-1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123 181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8" w:type="pct"/>
            <w:textDirection w:val="lrTb"/>
            <w:noWrap w:val="false"/>
          </w:tcPr>
          <w:p>
            <w:pPr>
              <w:ind w:left="1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ПАО «</w:t>
            </w:r>
            <w:r>
              <w:rPr>
                <w:color w:val="000000"/>
                <w:sz w:val="20"/>
                <w:szCs w:val="20"/>
              </w:rPr>
              <w:t xml:space="preserve">Россети</w:t>
            </w:r>
            <w:r>
              <w:rPr>
                <w:color w:val="000000"/>
                <w:sz w:val="20"/>
                <w:szCs w:val="20"/>
              </w:rPr>
              <w:t xml:space="preserve"> Урал»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4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Реконструкция, модернизация КЛ 6 </w:t>
            </w:r>
            <w:r>
              <w:rPr>
                <w:color w:val="000000"/>
                <w:sz w:val="20"/>
                <w:szCs w:val="20"/>
              </w:rPr>
              <w:t xml:space="preserve">кВ</w:t>
            </w:r>
            <w:r>
              <w:rPr>
                <w:color w:val="000000"/>
                <w:sz w:val="20"/>
                <w:szCs w:val="20"/>
              </w:rPr>
              <w:t xml:space="preserve">, 35 </w:t>
            </w:r>
            <w:r>
              <w:rPr>
                <w:color w:val="000000"/>
                <w:sz w:val="20"/>
                <w:szCs w:val="20"/>
              </w:rPr>
              <w:t xml:space="preserve">кВ</w:t>
            </w:r>
            <w:r>
              <w:rPr>
                <w:color w:val="000000"/>
                <w:sz w:val="20"/>
                <w:szCs w:val="20"/>
              </w:rPr>
              <w:t xml:space="preserve">, 110 </w:t>
            </w:r>
            <w:r>
              <w:rPr>
                <w:color w:val="000000"/>
                <w:sz w:val="20"/>
                <w:szCs w:val="20"/>
              </w:rPr>
              <w:t xml:space="preserve">кВ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85 961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ind w:left="-99" w:right="-1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105 985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38 092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35 352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1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ind w:left="-100" w:right="-1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265 389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8" w:type="pct"/>
            <w:textDirection w:val="lrTb"/>
            <w:noWrap w:val="false"/>
          </w:tcPr>
          <w:p>
            <w:pPr>
              <w:ind w:left="184" w:right="-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Филиал ПАО «</w:t>
            </w:r>
            <w:r>
              <w:rPr>
                <w:color w:val="000000"/>
                <w:sz w:val="20"/>
                <w:szCs w:val="20"/>
              </w:rPr>
              <w:t xml:space="preserve">РусГидро</w:t>
            </w:r>
            <w:r>
              <w:rPr>
                <w:color w:val="000000"/>
                <w:sz w:val="20"/>
                <w:szCs w:val="20"/>
              </w:rPr>
              <w:t xml:space="preserve">»-</w:t>
            </w:r>
            <w:r>
              <w:rPr>
                <w:color w:val="000000"/>
                <w:sz w:val="20"/>
                <w:szCs w:val="20"/>
              </w:rPr>
              <w:t xml:space="preserve">«Камская ГЭС»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4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Программа комплексной модернизации Камской ГЭС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164 022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1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ind w:left="-100" w:right="-1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164 022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861 862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ind w:left="-99" w:right="-1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389 991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ind w:left="-104" w:right="-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82 544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ind w:left="-100" w:right="-1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118 053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ind w:left="-108"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111 131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101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2 855 020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ind w:left="-100" w:right="-1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4 418 602</w:t>
            </w: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1570"/>
      </w:pPr>
      <w:r/>
      <w:r/>
    </w:p>
    <w:p>
      <w:pPr>
        <w:pStyle w:val="1570"/>
        <w:sectPr>
          <w:footnotePr/>
          <w:endnotePr/>
          <w:type w:val="nextPage"/>
          <w:pgSz w:w="16838" w:h="11906" w:orient="landscape"/>
          <w:pgMar w:top="1134" w:right="567" w:bottom="1134" w:left="1418" w:header="567" w:footer="567" w:gutter="0"/>
          <w:cols w:num="1" w:sep="0" w:space="708" w:equalWidth="1"/>
          <w:docGrid w:linePitch="360"/>
        </w:sectPr>
      </w:pPr>
      <w:r/>
      <w:r/>
    </w:p>
    <w:p>
      <w:pPr>
        <w:pStyle w:val="1544"/>
        <w:rPr>
          <w:b/>
          <w:bCs/>
          <w:sz w:val="28"/>
          <w:szCs w:val="28"/>
        </w:rPr>
      </w:pPr>
      <w:r/>
      <w:bookmarkStart w:id="535" w:name="_Toc119947530"/>
      <w:r/>
      <w:bookmarkStart w:id="536" w:name="_Toc175216059"/>
      <w:r>
        <w:rPr>
          <w:b/>
          <w:bCs/>
          <w:sz w:val="28"/>
          <w:szCs w:val="28"/>
        </w:rPr>
        <w:t xml:space="preserve">5.5. Программа инвестиционных проектов в системе газоснабжения</w:t>
      </w:r>
      <w:bookmarkEnd w:id="535"/>
      <w:r/>
      <w:bookmarkEnd w:id="536"/>
      <w:r/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44"/>
        <w:jc w:val="right"/>
        <w:rPr>
          <w:b/>
          <w:bCs/>
          <w:sz w:val="28"/>
          <w:szCs w:val="28"/>
        </w:rPr>
      </w:pPr>
      <w:r/>
      <w:bookmarkStart w:id="537" w:name="_Toc175216143"/>
      <w:r>
        <w:rPr>
          <w:b/>
          <w:bCs/>
          <w:sz w:val="28"/>
          <w:szCs w:val="28"/>
        </w:rPr>
        <w:t xml:space="preserve">Таблица 5.5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инвестиционных проектов в системе газоснабжения</w:t>
      </w:r>
      <w:bookmarkEnd w:id="537"/>
      <w:r/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29"/>
        <w:gridCol w:w="2935"/>
        <w:gridCol w:w="5136"/>
        <w:gridCol w:w="880"/>
        <w:gridCol w:w="880"/>
        <w:gridCol w:w="880"/>
        <w:gridCol w:w="880"/>
        <w:gridCol w:w="880"/>
        <w:gridCol w:w="1031"/>
        <w:gridCol w:w="838"/>
      </w:tblGrid>
      <w:tr>
        <w:tblPrEx/>
        <w:trPr>
          <w:trHeight w:val="20"/>
          <w:tblHeader/>
        </w:trPr>
        <w:tc>
          <w:tcPr>
            <w:shd w:val="clear" w:color="auto" w:fill="auto"/>
            <w:tcW w:w="242" w:type="pct"/>
            <w:vMerge w:val="restart"/>
            <w:textDirection w:val="lrTb"/>
            <w:noWrap w:val="false"/>
          </w:tcPr>
          <w:p>
            <w:pPr>
              <w:ind w:left="-112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74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РСО/Исполнитель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704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группы мероприятий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6"/>
            <w:shd w:val="clear" w:color="auto" w:fill="auto"/>
            <w:tcW w:w="1802" w:type="pct"/>
            <w:textDirection w:val="lrTb"/>
            <w:noWrap w:val="false"/>
          </w:tcPr>
          <w:p>
            <w:pPr>
              <w:ind w:left="-115" w:right="-11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Объемы финансовых потребностей и капитальных затрат на реализацию мероприятий в прогнозных ценах (без НДС),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15" w:right="-11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тыс. руб.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79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  <w:tblHeader/>
        </w:trPr>
        <w:tc>
          <w:tcPr>
            <w:tcW w:w="24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74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04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9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9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9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9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9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1" w:type="pct"/>
            <w:vAlign w:val="center"/>
            <w:textDirection w:val="lrTb"/>
            <w:noWrap w:val="false"/>
          </w:tcPr>
          <w:p>
            <w:pPr>
              <w:ind w:left="-108" w:right="-11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2029-2034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79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</w:tr>
    </w:tbl>
    <w:p>
      <w:pPr>
        <w:spacing w:line="48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29"/>
        <w:gridCol w:w="2935"/>
        <w:gridCol w:w="5136"/>
        <w:gridCol w:w="880"/>
        <w:gridCol w:w="880"/>
        <w:gridCol w:w="880"/>
        <w:gridCol w:w="880"/>
        <w:gridCol w:w="880"/>
        <w:gridCol w:w="1028"/>
        <w:gridCol w:w="841"/>
      </w:tblGrid>
      <w:tr>
        <w:tblPrEx/>
        <w:trPr>
          <w:trHeight w:val="20"/>
          <w:tblHeader/>
        </w:trPr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7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0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9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9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9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9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9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1" w:type="pct"/>
            <w:vAlign w:val="center"/>
            <w:textDirection w:val="lrTb"/>
            <w:noWrap w:val="false"/>
          </w:tcPr>
          <w:p>
            <w:pPr>
              <w:ind w:left="-108" w:right="-11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10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2678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Строительство, модернизация и (или) реконструкция объектов централизованных систем газоснабжения в целях подключения объектов капитального строительства абонентов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75 748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ind w:left="-106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134 689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27 599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40 810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65 256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pct"/>
            <w:textDirection w:val="lrTb"/>
            <w:noWrap w:val="false"/>
          </w:tcPr>
          <w:p>
            <w:pPr>
              <w:ind w:left="-107" w:right="-14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344 102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74" w:type="pct"/>
            <w:textDirection w:val="lrTb"/>
            <w:noWrap w:val="false"/>
          </w:tcPr>
          <w:p>
            <w:pPr>
              <w:ind w:left="184" w:right="-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АО «Газпром газораспределение Пермь»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4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 газопровода среднего давления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55 000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55 000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74" w:type="pct"/>
            <w:textDirection w:val="lrTb"/>
            <w:noWrap w:val="false"/>
          </w:tcPr>
          <w:p>
            <w:pPr>
              <w:ind w:left="184" w:right="-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АО «Газпром газораспределение Пермь»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4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 газопровода к новым котельным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20 748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14 512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7 599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65 256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pct"/>
            <w:textDirection w:val="lrTb"/>
            <w:noWrap w:val="false"/>
          </w:tcPr>
          <w:p>
            <w:pPr>
              <w:ind w:left="-107" w:right="-14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108 115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74" w:type="pct"/>
            <w:textDirection w:val="lrTb"/>
            <w:noWrap w:val="false"/>
          </w:tcPr>
          <w:p>
            <w:pPr>
              <w:ind w:left="1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определена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4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 ГРП, газопроводов высокого, среднего и низкого давления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ind w:left="-112" w:right="-11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ind w:left="-112" w:right="-11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120 177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ind w:left="-112" w:right="-11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20 000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ind w:left="-112" w:right="-11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ind w:left="-112" w:right="-11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40 810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textDirection w:val="lrTb"/>
            <w:noWrap w:val="false"/>
          </w:tcPr>
          <w:p>
            <w:pPr>
              <w:ind w:left="-112" w:right="-11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pct"/>
            <w:textDirection w:val="lrTb"/>
            <w:noWrap w:val="false"/>
          </w:tcPr>
          <w:p>
            <w:pPr>
              <w:ind w:left="-112" w:right="-11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180 987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2678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Строительство, модернизация и (или) реконструкция объектов централизованных систем газоснабжения, не связанных с подключением объектов капитального строительства абонентов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374 101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pct"/>
            <w:textDirection w:val="lrTb"/>
            <w:noWrap w:val="false"/>
          </w:tcPr>
          <w:p>
            <w:pPr>
              <w:ind w:left="-107" w:right="-14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374 101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4" w:type="pct"/>
            <w:textDirection w:val="lrTb"/>
            <w:noWrap w:val="false"/>
          </w:tcPr>
          <w:p>
            <w:pPr>
              <w:ind w:left="184" w:right="-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определена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4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газопровода высокого давления для объединения ГРС-1 и ГРС-3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323 503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pct"/>
            <w:textDirection w:val="lrTb"/>
            <w:noWrap w:val="false"/>
          </w:tcPr>
          <w:p>
            <w:pPr>
              <w:ind w:left="-111" w:right="-137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323 503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4" w:type="pct"/>
            <w:textDirection w:val="lrTb"/>
            <w:noWrap w:val="false"/>
          </w:tcPr>
          <w:p>
            <w:pPr>
              <w:ind w:left="184" w:right="-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определена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4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 газопровода высокого давления с переходом через р. Каму для объединения левобережной и правобережной частей систем газоснабжения города Перми с перемычкой в районе Мотовилихинских заводов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50 598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50 598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2678" w:type="pct"/>
            <w:textDirection w:val="lrTb"/>
            <w:noWrap w:val="false"/>
          </w:tcPr>
          <w:p>
            <w:pPr>
              <w:ind w:left="1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Реконструкция или модернизация существующих объектов централизованного газоснабжения в целях снижения уровня износа существующих объектов системы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23 809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18 667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47 921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50 130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63 088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262 627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pct"/>
            <w:textDirection w:val="lrTb"/>
            <w:noWrap w:val="false"/>
          </w:tcPr>
          <w:p>
            <w:pPr>
              <w:ind w:left="-107" w:right="-145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466 242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4" w:type="pct"/>
            <w:textDirection w:val="lrTb"/>
            <w:noWrap w:val="false"/>
          </w:tcPr>
          <w:p>
            <w:pPr>
              <w:ind w:left="184" w:right="-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АО «Газпром газораспределение Пермь»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4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Техническое перевооружение пунктов ГРП/ШРП/ГРПШ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19 201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8 672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2 849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22 816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53 538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pct"/>
            <w:textDirection w:val="lrTb"/>
            <w:noWrap w:val="false"/>
          </w:tcPr>
          <w:p>
            <w:pPr>
              <w:ind w:left="184" w:right="-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АО «Газпром газораспределение Пермь»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4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Техническое перевооружение станций катодной защиты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2 400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1 603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17 363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13 272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44 036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78 674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4" w:type="pct"/>
            <w:textDirection w:val="lrTb"/>
            <w:noWrap w:val="false"/>
          </w:tcPr>
          <w:p>
            <w:pPr>
              <w:ind w:left="184" w:right="-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АО «Газпром газораспределение Пермь»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4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Перекладка газопроводов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13 162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15 979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18 134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21 646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195 775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9" w:type="pct"/>
            <w:textDirection w:val="lrTb"/>
            <w:noWrap w:val="false"/>
          </w:tcPr>
          <w:p>
            <w:pPr>
              <w:ind w:left="-111" w:right="-137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264 696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4" w:type="pct"/>
            <w:textDirection w:val="lrTb"/>
            <w:noWrap w:val="false"/>
          </w:tcPr>
          <w:p>
            <w:pPr>
              <w:ind w:left="184" w:right="-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АО «Газпром газораспределение Пермь»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4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Техническое перевооружение газопровода 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2 208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3 902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5 907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31 996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25 321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69 334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2678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Мероприятия, предусматривающие капитальные вложения в объекты основных средств </w:t>
            </w:r>
            <w:r>
              <w:rPr>
                <w:color w:val="000000"/>
                <w:sz w:val="20"/>
                <w:szCs w:val="20"/>
              </w:rPr>
              <w:t xml:space="preserve">и нематериальные активы регулируемой организации, обусловленные необходимостью соблюдения регулируемыми организациями обязательных требований, установленных законодательством Российской Фе</w:t>
            </w:r>
            <w:r>
              <w:rPr>
                <w:color w:val="000000"/>
                <w:sz w:val="20"/>
                <w:szCs w:val="20"/>
              </w:rPr>
              <w:t xml:space="preserve">дерации и связанных с осуществлением деятельности в сфере газоснабжения, включая мероприятия по обеспечению безопасности и антитеррористической защищенности объектов топливно-энергетического комплекса, безопасности критической информационной инфраструктуры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38 600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38 800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4" w:type="pct"/>
            <w:textDirection w:val="lrTb"/>
            <w:noWrap w:val="false"/>
          </w:tcPr>
          <w:p>
            <w:pPr>
              <w:ind w:left="184" w:right="-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АО «Газпром газораспределение Пермь»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4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Догазификация</w:t>
            </w:r>
            <w:r>
              <w:rPr>
                <w:color w:val="000000"/>
                <w:sz w:val="20"/>
                <w:szCs w:val="20"/>
              </w:rPr>
              <w:t xml:space="preserve"> домовладений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38 600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38 800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74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704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ind w:left="-115" w:right="-99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138 157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ind w:left="-106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153 556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75 520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50 130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ind w:left="-105" w:right="-99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103 898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701 984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pct"/>
            <w:textDirection w:val="lrTb"/>
            <w:noWrap w:val="false"/>
          </w:tcPr>
          <w:p>
            <w:pPr>
              <w:ind w:left="-107" w:right="-1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1 223 245</w:t>
            </w: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jc w:val="center"/>
        <w:rPr>
          <w:b/>
          <w:bCs/>
          <w:sz w:val="28"/>
          <w:szCs w:val="28"/>
        </w:rPr>
      </w:pPr>
      <w:r/>
      <w:bookmarkStart w:id="538" w:name="_Toc119947531"/>
      <w:r/>
      <w:bookmarkStart w:id="539" w:name="_Toc175216060"/>
      <w:r>
        <w:rPr>
          <w:b/>
          <w:bCs/>
          <w:sz w:val="28"/>
          <w:szCs w:val="28"/>
        </w:rPr>
        <w:t xml:space="preserve">5.6. Программа инвестиционных проектов в системе обращения с ТКО</w:t>
      </w:r>
      <w:bookmarkEnd w:id="538"/>
      <w:r/>
      <w:bookmarkEnd w:id="539"/>
      <w:r/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/>
      <w:bookmarkStart w:id="540" w:name="_Toc175216144"/>
      <w:r/>
      <w:r>
        <w:rPr>
          <w:b/>
          <w:bCs/>
          <w:sz w:val="28"/>
          <w:szCs w:val="28"/>
        </w:rPr>
      </w:r>
    </w:p>
    <w:p>
      <w:pPr>
        <w:pStyle w:val="1544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Таблица 5.6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инвестиционных проектов в системе обращения с ТКО</w:t>
      </w:r>
      <w:bookmarkEnd w:id="540"/>
      <w:r/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29"/>
        <w:gridCol w:w="3960"/>
        <w:gridCol w:w="3963"/>
        <w:gridCol w:w="880"/>
        <w:gridCol w:w="880"/>
        <w:gridCol w:w="880"/>
        <w:gridCol w:w="880"/>
        <w:gridCol w:w="880"/>
        <w:gridCol w:w="1031"/>
        <w:gridCol w:w="986"/>
      </w:tblGrid>
      <w:tr>
        <w:tblPrEx/>
        <w:trPr>
          <w:trHeight w:val="20"/>
        </w:trPr>
        <w:tc>
          <w:tcPr>
            <w:shd w:val="clear" w:color="auto" w:fill="auto"/>
            <w:tcW w:w="242" w:type="pct"/>
            <w:vMerge w:val="restart"/>
            <w:textDirection w:val="lrTb"/>
            <w:noWrap w:val="false"/>
          </w:tcPr>
          <w:p>
            <w:pPr>
              <w:ind w:left="-112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14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РСО/Исполнитель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15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мероприятия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6"/>
            <w:shd w:val="clear" w:color="auto" w:fill="auto"/>
            <w:tcW w:w="1802" w:type="pct"/>
            <w:textDirection w:val="lrTb"/>
            <w:noWrap w:val="false"/>
          </w:tcPr>
          <w:p>
            <w:pPr>
              <w:ind w:left="-107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Объемы финансовых потребностей и капитальных затрат на реализацию мероприятий в прогнозных ценах (без НДС),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07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тыс. руб.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8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42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14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15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9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9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9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9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9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1" w:type="pct"/>
            <w:vAlign w:val="center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2029-2034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28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spacing w:line="48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30"/>
        <w:gridCol w:w="3960"/>
        <w:gridCol w:w="3978"/>
        <w:gridCol w:w="880"/>
        <w:gridCol w:w="880"/>
        <w:gridCol w:w="880"/>
        <w:gridCol w:w="880"/>
        <w:gridCol w:w="880"/>
        <w:gridCol w:w="1028"/>
        <w:gridCol w:w="973"/>
      </w:tblGrid>
      <w:tr>
        <w:tblPrEx/>
        <w:trPr>
          <w:trHeight w:val="20"/>
          <w:tblHeader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1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2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1" w:type="pct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14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«Полигон»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20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работ по сбору, транспортированию и размещению бесхозяйных отходов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92" w:type="pct"/>
            <w:textDirection w:val="lrTb"/>
            <w:noWrap w:val="false"/>
          </w:tcPr>
          <w:p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9 999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92" w:type="pct"/>
            <w:textDirection w:val="lrTb"/>
            <w:noWrap w:val="false"/>
          </w:tcPr>
          <w:p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10 128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92" w:type="pct"/>
            <w:textDirection w:val="lrTb"/>
            <w:noWrap w:val="false"/>
          </w:tcPr>
          <w:p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10 128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92" w:type="pct"/>
            <w:textDirection w:val="lrTb"/>
            <w:noWrap w:val="false"/>
          </w:tcPr>
          <w:p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92" w:type="pct"/>
            <w:textDirection w:val="lrTb"/>
            <w:noWrap w:val="false"/>
          </w:tcPr>
          <w:p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1" w:type="pct"/>
            <w:textDirection w:val="lrTb"/>
            <w:noWrap w:val="false"/>
          </w:tcPr>
          <w:p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3" w:type="pct"/>
            <w:textDirection w:val="lrTb"/>
            <w:noWrap w:val="false"/>
          </w:tcPr>
          <w:p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30 256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14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Администрации районов города Перми и поселка Новые </w:t>
            </w:r>
            <w:r>
              <w:rPr>
                <w:color w:val="000000"/>
                <w:sz w:val="20"/>
                <w:szCs w:val="20"/>
              </w:rPr>
              <w:t xml:space="preserve">Ляды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20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работ по созданию и содержанию площадок накопления твердых коммунальных отходов на территории индивидуальной жилой застройки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92" w:type="pct"/>
            <w:textDirection w:val="lrTb"/>
            <w:noWrap w:val="false"/>
          </w:tcPr>
          <w:p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40 733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92" w:type="pct"/>
            <w:textDirection w:val="lrTb"/>
            <w:noWrap w:val="false"/>
          </w:tcPr>
          <w:p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28 665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92" w:type="pct"/>
            <w:textDirection w:val="lrTb"/>
            <w:noWrap w:val="false"/>
          </w:tcPr>
          <w:p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28 665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92" w:type="pct"/>
            <w:textDirection w:val="lrTb"/>
            <w:noWrap w:val="false"/>
          </w:tcPr>
          <w:p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92" w:type="pct"/>
            <w:textDirection w:val="lrTb"/>
            <w:noWrap w:val="false"/>
          </w:tcPr>
          <w:p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1" w:type="pct"/>
            <w:textDirection w:val="lrTb"/>
            <w:noWrap w:val="false"/>
          </w:tcPr>
          <w:p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3" w:type="pct"/>
            <w:textDirection w:val="lrTb"/>
            <w:noWrap w:val="false"/>
          </w:tcPr>
          <w:p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98 062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14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Администрации районов города Перми и поселка Новые </w:t>
            </w:r>
            <w:r>
              <w:rPr>
                <w:color w:val="000000"/>
                <w:sz w:val="20"/>
                <w:szCs w:val="20"/>
              </w:rPr>
              <w:t xml:space="preserve">Ляды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20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Приведение контейнерных площадок в соответствие с требованиями (многоквартирные и индивидуальные дома, бюджетные учреждения)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98 007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25 000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24 500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79 505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28 481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997 788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3" w:type="pct"/>
            <w:textDirection w:val="lrTb"/>
            <w:noWrap w:val="false"/>
          </w:tcPr>
          <w:p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1 253 281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14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Собственники контейнерных площадок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20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Приведение контейнерных площадок в соответствие с требованиями (находящиеся на балансе у прочих лиц, кроме бюджетных учреждений)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92" w:type="pct"/>
            <w:textDirection w:val="lrTb"/>
            <w:noWrap w:val="false"/>
          </w:tcPr>
          <w:p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92" w:type="pct"/>
            <w:textDirection w:val="lrTb"/>
            <w:noWrap w:val="false"/>
          </w:tcPr>
          <w:p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92" w:type="pct"/>
            <w:textDirection w:val="lrTb"/>
            <w:noWrap w:val="false"/>
          </w:tcPr>
          <w:p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16 434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39 873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841 832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3" w:type="pct"/>
            <w:textDirection w:val="lrTb"/>
            <w:noWrap w:val="false"/>
          </w:tcPr>
          <w:p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898 139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14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Региональный оператор, собственники </w:t>
            </w:r>
            <w:r>
              <w:rPr>
                <w:color w:val="000000"/>
                <w:sz w:val="20"/>
                <w:szCs w:val="20"/>
              </w:rPr>
              <w:t xml:space="preserve">площадок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20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Замена контейнеров</w:t>
            </w:r>
            <w:r>
              <w:rPr>
                <w:color w:val="000000"/>
                <w:sz w:val="20"/>
                <w:szCs w:val="20"/>
                <w:vertAlign w:val="superscript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92" w:type="pct"/>
            <w:textDirection w:val="lrTb"/>
            <w:noWrap w:val="false"/>
          </w:tcPr>
          <w:p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14 760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92" w:type="pct"/>
            <w:textDirection w:val="lrTb"/>
            <w:noWrap w:val="false"/>
          </w:tcPr>
          <w:p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15 351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92" w:type="pct"/>
            <w:textDirection w:val="lrTb"/>
            <w:noWrap w:val="false"/>
          </w:tcPr>
          <w:p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15 965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92" w:type="pct"/>
            <w:textDirection w:val="lrTb"/>
            <w:noWrap w:val="false"/>
          </w:tcPr>
          <w:p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16 603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92" w:type="pct"/>
            <w:textDirection w:val="lrTb"/>
            <w:noWrap w:val="false"/>
          </w:tcPr>
          <w:p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17 264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1" w:type="pct"/>
            <w:textDirection w:val="lrTb"/>
            <w:noWrap w:val="false"/>
          </w:tcPr>
          <w:p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118 932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3" w:type="pct"/>
            <w:textDirection w:val="lrTb"/>
            <w:noWrap w:val="false"/>
          </w:tcPr>
          <w:p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198 875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14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Собственники контейнерных площадок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20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Обустройство новых контейнерных площадок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45 778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86 613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50 569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52 590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54 684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396 228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3" w:type="pct"/>
            <w:textDirection w:val="lrTb"/>
            <w:noWrap w:val="false"/>
          </w:tcPr>
          <w:p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686 462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14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Региональный оператор, собственники площадок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20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Установка контейнеров и бункеров на новых площадках</w:t>
            </w:r>
            <w:r>
              <w:rPr>
                <w:color w:val="000000"/>
                <w:sz w:val="20"/>
                <w:szCs w:val="20"/>
                <w:vertAlign w:val="superscript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92" w:type="pct"/>
            <w:textDirection w:val="lrTb"/>
            <w:noWrap w:val="false"/>
          </w:tcPr>
          <w:p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4 086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92" w:type="pct"/>
            <w:textDirection w:val="lrTb"/>
            <w:noWrap w:val="false"/>
          </w:tcPr>
          <w:p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5 710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92" w:type="pct"/>
            <w:textDirection w:val="lrTb"/>
            <w:noWrap w:val="false"/>
          </w:tcPr>
          <w:p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4 517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92" w:type="pct"/>
            <w:textDirection w:val="lrTb"/>
            <w:noWrap w:val="false"/>
          </w:tcPr>
          <w:p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4 697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92" w:type="pct"/>
            <w:textDirection w:val="lrTb"/>
            <w:noWrap w:val="false"/>
          </w:tcPr>
          <w:p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4 885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1" w:type="pct"/>
            <w:textDirection w:val="lrTb"/>
            <w:noWrap w:val="false"/>
          </w:tcPr>
          <w:p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35 366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3" w:type="pct"/>
            <w:textDirection w:val="lrTb"/>
            <w:noWrap w:val="false"/>
          </w:tcPr>
          <w:p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59 261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14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определен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20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Вывод из эксплуатации (рекультивация) полигона ТКО «</w:t>
            </w:r>
            <w:r>
              <w:rPr>
                <w:color w:val="000000"/>
                <w:sz w:val="20"/>
                <w:szCs w:val="20"/>
              </w:rPr>
              <w:t xml:space="preserve">Софроны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92" w:type="pct"/>
            <w:textDirection w:val="lrTb"/>
            <w:noWrap w:val="false"/>
          </w:tcPr>
          <w:p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92" w:type="pct"/>
            <w:textDirection w:val="lrTb"/>
            <w:noWrap w:val="false"/>
          </w:tcPr>
          <w:p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92" w:type="pct"/>
            <w:textDirection w:val="lrTb"/>
            <w:noWrap w:val="false"/>
          </w:tcPr>
          <w:p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92" w:type="pct"/>
            <w:textDirection w:val="lrTb"/>
            <w:noWrap w:val="false"/>
          </w:tcPr>
          <w:p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873 110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92" w:type="pct"/>
            <w:textDirection w:val="lrTb"/>
            <w:noWrap w:val="false"/>
          </w:tcPr>
          <w:p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1 000 000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1" w:type="pct"/>
            <w:textDirection w:val="lrTb"/>
            <w:noWrap w:val="false"/>
          </w:tcPr>
          <w:p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1 000 000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3" w:type="pct"/>
            <w:textDirection w:val="lrTb"/>
            <w:noWrap w:val="false"/>
          </w:tcPr>
          <w:p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2 873 110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14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«</w:t>
            </w:r>
            <w:r>
              <w:rPr>
                <w:color w:val="000000"/>
                <w:sz w:val="20"/>
                <w:szCs w:val="20"/>
              </w:rPr>
              <w:t xml:space="preserve">Энвиком</w:t>
            </w:r>
            <w:r>
              <w:rPr>
                <w:color w:val="000000"/>
                <w:sz w:val="20"/>
                <w:szCs w:val="20"/>
              </w:rPr>
              <w:t xml:space="preserve">-Пермь»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20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 </w:t>
            </w:r>
            <w:r>
              <w:rPr>
                <w:color w:val="000000"/>
                <w:sz w:val="20"/>
                <w:szCs w:val="20"/>
              </w:rPr>
              <w:t xml:space="preserve">экотехнопарка</w:t>
            </w:r>
            <w:r>
              <w:rPr>
                <w:color w:val="000000"/>
                <w:sz w:val="20"/>
                <w:szCs w:val="20"/>
              </w:rPr>
              <w:t xml:space="preserve"> в районе полигона ТКО «</w:t>
            </w:r>
            <w:r>
              <w:rPr>
                <w:color w:val="000000"/>
                <w:sz w:val="20"/>
                <w:szCs w:val="20"/>
              </w:rPr>
              <w:t xml:space="preserve">Софроны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92" w:type="pct"/>
            <w:textDirection w:val="lrTb"/>
            <w:noWrap w:val="false"/>
          </w:tcPr>
          <w:p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694 000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92" w:type="pct"/>
            <w:textDirection w:val="lrTb"/>
            <w:noWrap w:val="false"/>
          </w:tcPr>
          <w:p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1 000 000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92" w:type="pct"/>
            <w:textDirection w:val="lrTb"/>
            <w:noWrap w:val="false"/>
          </w:tcPr>
          <w:p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1 000 000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92" w:type="pct"/>
            <w:textDirection w:val="lrTb"/>
            <w:noWrap w:val="false"/>
          </w:tcPr>
          <w:p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1 000 000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92" w:type="pct"/>
            <w:textDirection w:val="lrTb"/>
            <w:noWrap w:val="false"/>
          </w:tcPr>
          <w:p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1 000 000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1" w:type="pct"/>
            <w:textDirection w:val="lrTb"/>
            <w:noWrap w:val="false"/>
          </w:tcPr>
          <w:p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3" w:type="pct"/>
            <w:textDirection w:val="lrTb"/>
            <w:noWrap w:val="false"/>
          </w:tcPr>
          <w:p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4 694 000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14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АО «ПРО ТКО»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20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 модульного здания «</w:t>
            </w:r>
            <w:r>
              <w:rPr>
                <w:color w:val="000000"/>
                <w:sz w:val="20"/>
                <w:szCs w:val="20"/>
              </w:rPr>
              <w:t xml:space="preserve">Экопункт</w:t>
            </w:r>
            <w:r>
              <w:rPr>
                <w:color w:val="000000"/>
                <w:sz w:val="20"/>
                <w:szCs w:val="20"/>
              </w:rPr>
              <w:t xml:space="preserve">» по адресу: г. Пермь, Индустриальный район, шоссе Космонавтов, территория ТРЦ «Планета»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92" w:type="pct"/>
            <w:textDirection w:val="lrTb"/>
            <w:noWrap w:val="false"/>
          </w:tcPr>
          <w:p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5 215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92" w:type="pct"/>
            <w:textDirection w:val="lrTb"/>
            <w:noWrap w:val="false"/>
          </w:tcPr>
          <w:p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92" w:type="pct"/>
            <w:textDirection w:val="lrTb"/>
            <w:noWrap w:val="false"/>
          </w:tcPr>
          <w:p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92" w:type="pct"/>
            <w:textDirection w:val="lrTb"/>
            <w:noWrap w:val="false"/>
          </w:tcPr>
          <w:p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92" w:type="pct"/>
            <w:textDirection w:val="lrTb"/>
            <w:noWrap w:val="false"/>
          </w:tcPr>
          <w:p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1" w:type="pct"/>
            <w:textDirection w:val="lrTb"/>
            <w:noWrap w:val="false"/>
          </w:tcPr>
          <w:p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3" w:type="pct"/>
            <w:textDirection w:val="lrTb"/>
            <w:noWrap w:val="false"/>
          </w:tcPr>
          <w:p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5 215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14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«</w:t>
            </w:r>
            <w:r>
              <w:rPr>
                <w:color w:val="000000"/>
                <w:sz w:val="20"/>
                <w:szCs w:val="20"/>
              </w:rPr>
              <w:t xml:space="preserve">УралРегионСнаб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20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Реконструкция МСК в с. Лобаново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92" w:type="pct"/>
            <w:textDirection w:val="lrTb"/>
            <w:noWrap w:val="false"/>
          </w:tcPr>
          <w:p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150 000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92" w:type="pct"/>
            <w:textDirection w:val="lrTb"/>
            <w:noWrap w:val="false"/>
          </w:tcPr>
          <w:p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92" w:type="pct"/>
            <w:textDirection w:val="lrTb"/>
            <w:noWrap w:val="false"/>
          </w:tcPr>
          <w:p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92" w:type="pct"/>
            <w:textDirection w:val="lrTb"/>
            <w:noWrap w:val="false"/>
          </w:tcPr>
          <w:p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92" w:type="pct"/>
            <w:textDirection w:val="lrTb"/>
            <w:noWrap w:val="false"/>
          </w:tcPr>
          <w:p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1" w:type="pct"/>
            <w:textDirection w:val="lrTb"/>
            <w:noWrap w:val="false"/>
          </w:tcPr>
          <w:p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3" w:type="pct"/>
            <w:textDirection w:val="lrTb"/>
            <w:noWrap w:val="false"/>
          </w:tcPr>
          <w:p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150 000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3"/>
            <w:shd w:val="clear" w:color="auto" w:fill="auto"/>
            <w:tcW w:w="2876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" w:type="pct"/>
            <w:textDirection w:val="lrTb"/>
            <w:noWrap w:val="false"/>
          </w:tcPr>
          <w:p>
            <w:pPr>
              <w:ind w:left="-124" w:right="-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1 062 578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2" w:type="pct"/>
            <w:textDirection w:val="lrTb"/>
            <w:noWrap w:val="false"/>
          </w:tcPr>
          <w:p>
            <w:pPr>
              <w:ind w:left="-124" w:right="-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1 171 467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2" w:type="pct"/>
            <w:textDirection w:val="lrTb"/>
            <w:noWrap w:val="false"/>
          </w:tcPr>
          <w:p>
            <w:pPr>
              <w:ind w:left="-124" w:right="-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1 134 344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2" w:type="pct"/>
            <w:textDirection w:val="lrTb"/>
            <w:noWrap w:val="false"/>
          </w:tcPr>
          <w:p>
            <w:pPr>
              <w:ind w:left="-124" w:right="-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2 042 939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2" w:type="pct"/>
            <w:textDirection w:val="lrTb"/>
            <w:noWrap w:val="false"/>
          </w:tcPr>
          <w:p>
            <w:pPr>
              <w:ind w:left="-124" w:right="-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2 145 187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1" w:type="pct"/>
            <w:textDirection w:val="lrTb"/>
            <w:noWrap w:val="false"/>
          </w:tcPr>
          <w:p>
            <w:pPr>
              <w:ind w:left="-124" w:right="-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3 390 146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3" w:type="pct"/>
            <w:textDirection w:val="lrTb"/>
            <w:noWrap w:val="false"/>
          </w:tcPr>
          <w:p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10 946 661</w:t>
            </w:r>
            <w:r>
              <w:rPr>
                <w:sz w:val="20"/>
                <w:szCs w:val="20"/>
              </w:rPr>
            </w:r>
          </w:p>
        </w:tc>
      </w:tr>
    </w:tbl>
    <w:p>
      <w:pPr>
        <w:ind w:firstLine="709"/>
        <w:rPr>
          <w:rFonts w:cs="Arial Unicode MS"/>
          <w:i/>
          <w:color w:val="000000"/>
          <w:lang w:eastAsia="en-US"/>
        </w:rPr>
      </w:pPr>
      <w:r>
        <w:rPr>
          <w:rFonts w:cs="Arial Unicode MS"/>
          <w:i/>
          <w:color w:val="000000"/>
          <w:lang w:eastAsia="en-US"/>
        </w:rPr>
      </w:r>
      <w:r>
        <w:rPr>
          <w:rFonts w:cs="Arial Unicode MS"/>
          <w:i/>
          <w:color w:val="000000"/>
          <w:lang w:eastAsia="en-US"/>
        </w:rPr>
      </w:r>
    </w:p>
    <w:p>
      <w:pPr>
        <w:ind w:firstLine="709"/>
        <w:rPr>
          <w:rFonts w:cs="Arial Unicode MS"/>
          <w:i/>
          <w:color w:val="000000"/>
          <w:lang w:eastAsia="en-US"/>
        </w:rPr>
      </w:pPr>
      <w:r>
        <w:rPr>
          <w:rFonts w:cs="Arial Unicode MS"/>
          <w:i/>
          <w:color w:val="000000"/>
          <w:lang w:eastAsia="en-US"/>
        </w:rPr>
        <w:t xml:space="preserve">---------------------------</w:t>
      </w:r>
      <w:r>
        <w:rPr>
          <w:rFonts w:cs="Arial Unicode MS"/>
          <w:i/>
          <w:color w:val="000000"/>
          <w:lang w:eastAsia="en-US"/>
        </w:rPr>
      </w:r>
    </w:p>
    <w:p>
      <w:pPr>
        <w:ind w:firstLine="709"/>
        <w:rPr>
          <w:iCs/>
        </w:rPr>
      </w:pPr>
      <w:r>
        <w:rPr>
          <w:rFonts w:cs="Arial Unicode MS"/>
          <w:iCs/>
          <w:color w:val="000000"/>
          <w:lang w:eastAsia="en-US"/>
        </w:rPr>
        <w:t xml:space="preserve">1. В</w:t>
      </w:r>
      <w:r>
        <w:rPr>
          <w:iCs/>
        </w:rPr>
        <w:t xml:space="preserve"> части средств, включаемых в 1 % необходимой валовой выручки на эти цели.</w:t>
      </w:r>
      <w:r>
        <w:rPr>
          <w:iCs/>
        </w:rPr>
      </w:r>
    </w:p>
    <w:p>
      <w:pPr>
        <w:pStyle w:val="1544"/>
        <w:rPr>
          <w:b/>
          <w:bCs/>
          <w:sz w:val="28"/>
          <w:szCs w:val="28"/>
        </w:rPr>
      </w:pPr>
      <w:r/>
      <w:bookmarkStart w:id="541" w:name="_Toc175216061"/>
      <w:r/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5.7. </w:t>
      </w:r>
      <w:bookmarkStart w:id="542" w:name="_Hlk178235411"/>
      <w:r>
        <w:rPr>
          <w:b/>
          <w:bCs/>
          <w:sz w:val="28"/>
          <w:szCs w:val="28"/>
        </w:rPr>
        <w:t xml:space="preserve">Программа инвестиционных проектов в системе ливневой канализации</w:t>
      </w:r>
      <w:bookmarkEnd w:id="541"/>
      <w:r/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44"/>
        <w:jc w:val="right"/>
        <w:rPr>
          <w:b/>
          <w:bCs/>
          <w:sz w:val="28"/>
          <w:szCs w:val="28"/>
        </w:rPr>
      </w:pPr>
      <w:r/>
      <w:bookmarkStart w:id="543" w:name="_Toc175216145"/>
      <w:r>
        <w:rPr>
          <w:b/>
          <w:bCs/>
          <w:sz w:val="28"/>
          <w:szCs w:val="28"/>
        </w:rPr>
        <w:t xml:space="preserve">Таблица 5.7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Программа инвестиционных проектов в системе ливневой канализации</w:t>
      </w:r>
      <w:bookmarkEnd w:id="543"/>
      <w:r/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6"/>
        <w:gridCol w:w="2982"/>
        <w:gridCol w:w="1600"/>
        <w:gridCol w:w="1600"/>
        <w:gridCol w:w="1600"/>
        <w:gridCol w:w="1600"/>
        <w:gridCol w:w="1600"/>
        <w:gridCol w:w="1600"/>
        <w:gridCol w:w="1811"/>
      </w:tblGrid>
      <w:tr>
        <w:tblPrEx/>
        <w:trPr>
          <w:trHeight w:val="20"/>
        </w:trPr>
        <w:tc>
          <w:tcPr>
            <w:shd w:val="clear" w:color="auto" w:fill="auto"/>
            <w:tcW w:w="224" w:type="pct"/>
            <w:vMerge w:val="restart"/>
            <w:textDirection w:val="lrTb"/>
            <w:noWrap w:val="false"/>
          </w:tcPr>
          <w:p>
            <w:pPr>
              <w:ind w:left="-120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89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группы мероприятий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6"/>
            <w:shd w:val="clear" w:color="auto" w:fill="auto"/>
            <w:tcW w:w="3185" w:type="pct"/>
            <w:vAlign w:val="center"/>
            <w:textDirection w:val="lrTb"/>
            <w:noWrap w:val="false"/>
          </w:tcPr>
          <w:p>
            <w:pPr>
              <w:ind w:left="-34" w:right="-8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Объемы финансовых потребностей и капитальных затрат на реализацию мероприятий в прогнозных ценах (без НДС), тыс. руб.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601" w:type="pct"/>
            <w:vMerge w:val="restart"/>
            <w:textDirection w:val="lrTb"/>
            <w:noWrap w:val="false"/>
          </w:tcPr>
          <w:p>
            <w:pPr>
              <w:ind w:left="-127" w:right="-1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8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vAlign w:val="center"/>
            <w:textDirection w:val="lrTb"/>
            <w:noWrap w:val="false"/>
          </w:tcPr>
          <w:p>
            <w:pPr>
              <w:ind w:left="-176" w:right="-1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vAlign w:val="center"/>
            <w:textDirection w:val="lrTb"/>
            <w:noWrap w:val="false"/>
          </w:tcPr>
          <w:p>
            <w:pPr>
              <w:ind w:left="-176" w:right="-1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vAlign w:val="center"/>
            <w:textDirection w:val="lrTb"/>
            <w:noWrap w:val="false"/>
          </w:tcPr>
          <w:p>
            <w:pPr>
              <w:ind w:left="-176" w:right="-1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vAlign w:val="center"/>
            <w:textDirection w:val="lrTb"/>
            <w:noWrap w:val="false"/>
          </w:tcPr>
          <w:p>
            <w:pPr>
              <w:ind w:left="-176" w:right="-1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vAlign w:val="center"/>
            <w:textDirection w:val="lrTb"/>
            <w:noWrap w:val="false"/>
          </w:tcPr>
          <w:p>
            <w:pPr>
              <w:ind w:left="-176" w:right="-1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vAlign w:val="center"/>
            <w:textDirection w:val="lrTb"/>
            <w:noWrap w:val="false"/>
          </w:tcPr>
          <w:p>
            <w:pPr>
              <w:ind w:left="-176" w:right="-1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2029-2034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60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89" w:type="pct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Строительство/реконструкция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линейных объектов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ind w:left="-176" w:right="-1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3 580 472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ind w:left="-176" w:right="-1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3 580 472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ind w:left="-176" w:right="-1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3 741 594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ind w:left="-176" w:right="-1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7 553 152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ind w:left="-176" w:right="-1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7 862 831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ind w:left="-176" w:right="-1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30 805 986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603" w:type="pct"/>
            <w:textDirection w:val="lrTb"/>
            <w:noWrap w:val="false"/>
          </w:tcPr>
          <w:p>
            <w:pPr>
              <w:ind w:left="-176" w:right="-1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57 124 507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4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89" w:type="pct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Строительство/реконструкция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площадных объектов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ind w:left="-176" w:right="-1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6 412 633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ind w:left="-176" w:right="-1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6 412 633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ind w:left="-176" w:right="-1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6 701 202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ind w:left="-176" w:right="-1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14 534 044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ind w:left="-176" w:right="-1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15 129 940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ind w:left="-176" w:right="-1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26 659 491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603" w:type="pct"/>
            <w:textDirection w:val="lrTb"/>
            <w:noWrap w:val="false"/>
          </w:tcPr>
          <w:p>
            <w:pPr>
              <w:ind w:left="-176" w:right="-1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75 849 944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W w:w="1" w:type="pct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ind w:left="-176" w:right="-1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9 993 106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ind w:left="-176" w:right="-1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9 993 106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ind w:left="-176" w:right="-1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10 442 796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ind w:left="-176" w:right="-1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22 087 196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ind w:left="-176" w:right="-1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22 992 771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31" w:type="pct"/>
            <w:textDirection w:val="lrTb"/>
            <w:noWrap w:val="false"/>
          </w:tcPr>
          <w:p>
            <w:pPr>
              <w:ind w:left="-176" w:right="-1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57 465 477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603" w:type="pct"/>
            <w:textDirection w:val="lrTb"/>
            <w:noWrap w:val="false"/>
          </w:tcPr>
          <w:p>
            <w:pPr>
              <w:ind w:left="-176" w:right="-1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132 974 451</w:t>
            </w: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1570"/>
        <w:sectPr>
          <w:footnotePr/>
          <w:endnotePr/>
          <w:type w:val="nextPage"/>
          <w:pgSz w:w="16838" w:h="11906" w:orient="landscape"/>
          <w:pgMar w:top="1134" w:right="567" w:bottom="1134" w:left="1418" w:header="567" w:footer="567" w:gutter="0"/>
          <w:cols w:num="1" w:sep="0" w:space="708" w:equalWidth="1"/>
          <w:docGrid w:linePitch="360"/>
        </w:sectPr>
      </w:pPr>
      <w:r/>
      <w:r/>
    </w:p>
    <w:p>
      <w:pPr>
        <w:pStyle w:val="1544"/>
        <w:rPr>
          <w:b/>
          <w:bCs/>
          <w:sz w:val="28"/>
          <w:szCs w:val="28"/>
        </w:rPr>
      </w:pPr>
      <w:r/>
      <w:bookmarkStart w:id="544" w:name="_Toc175216062"/>
      <w:r/>
      <w:bookmarkStart w:id="545" w:name="_Toc119947532"/>
      <w:r>
        <w:rPr>
          <w:b/>
          <w:bCs/>
          <w:sz w:val="28"/>
          <w:szCs w:val="28"/>
        </w:rPr>
        <w:t xml:space="preserve">5.8. Программа инвестиционных проектов в системе наружного освещения</w:t>
      </w:r>
      <w:bookmarkEnd w:id="544"/>
      <w:r/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/>
      <w:bookmarkStart w:id="546" w:name="_Toc175216146"/>
      <w:r/>
      <w:r>
        <w:rPr>
          <w:b/>
          <w:bCs/>
          <w:sz w:val="28"/>
          <w:szCs w:val="28"/>
        </w:rPr>
      </w:r>
    </w:p>
    <w:p>
      <w:pPr>
        <w:pStyle w:val="1544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Таблица 5.8 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инвестиционных проектов в системе наружного освещения</w:t>
      </w:r>
      <w:bookmarkEnd w:id="546"/>
      <w:r/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70"/>
        <w:gridCol w:w="6329"/>
        <w:gridCol w:w="1239"/>
        <w:gridCol w:w="1115"/>
        <w:gridCol w:w="1118"/>
        <w:gridCol w:w="976"/>
        <w:gridCol w:w="979"/>
        <w:gridCol w:w="1124"/>
        <w:gridCol w:w="1419"/>
      </w:tblGrid>
      <w:tr>
        <w:tblPrEx/>
        <w:trPr>
          <w:trHeight w:val="20"/>
          <w:tblHeader/>
        </w:trPr>
        <w:tc>
          <w:tcPr>
            <w:shd w:val="clear" w:color="auto" w:fill="auto"/>
            <w:tcW w:w="255" w:type="pct"/>
            <w:vMerge w:val="restar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№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2100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Наименование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gridSpan w:val="7"/>
            <w:shd w:val="clear" w:color="auto" w:fill="auto"/>
            <w:tcW w:w="264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Объемы финансовых потребностей и капитальных затрат на реализацию мероприятий 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 прогнозных ценах (без НДС), тыс. руб.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  <w:tblHeader/>
        </w:trPr>
        <w:tc>
          <w:tcPr>
            <w:tcW w:w="25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2100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41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7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7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2029-2034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47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Итого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</w:tbl>
    <w:p>
      <w:pPr>
        <w:spacing w:line="48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70"/>
        <w:gridCol w:w="6329"/>
        <w:gridCol w:w="1239"/>
        <w:gridCol w:w="1115"/>
        <w:gridCol w:w="1118"/>
        <w:gridCol w:w="976"/>
        <w:gridCol w:w="979"/>
        <w:gridCol w:w="1124"/>
        <w:gridCol w:w="1419"/>
      </w:tblGrid>
      <w:tr>
        <w:tblPrEx/>
        <w:trPr>
          <w:cantSplit/>
          <w:trHeight w:val="20"/>
          <w:tblHeader/>
        </w:trPr>
        <w:tc>
          <w:tcPr>
            <w:tcW w:w="25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21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41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7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7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47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55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2100" w:type="pct"/>
            <w:textDirection w:val="lrTb"/>
            <w:noWrap w:val="false"/>
          </w:tcPr>
          <w:p>
            <w:pPr>
              <w:ind w:firstLine="1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Мероприятия, реализуемые в рамках муниципальных программ, в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т.ч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.: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000000" w:fill="ffffff"/>
            <w:tcW w:w="41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 xml:space="preserve">701 204,4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000000" w:fill="ffffff"/>
            <w:tcW w:w="37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 xml:space="preserve">219 923,6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000000" w:fill="ffffff"/>
            <w:tcW w:w="37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 xml:space="preserve">164 612,3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471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1 085 740,3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55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2100" w:type="pct"/>
            <w:textDirection w:val="lrTb"/>
            <w:noWrap w:val="false"/>
          </w:tcPr>
          <w:p>
            <w:pPr>
              <w:ind w:left="154" w:firstLine="1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Обустройство сетей наружного освещения (муниципальная программа от 20.10.2021 № 922 «Развитие автомобильных дорог и дорожных сооружений в городе Перми»)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000000" w:fill="ffffff"/>
            <w:tcW w:w="41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 xml:space="preserve">226 085,8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000000" w:fill="ffffff"/>
            <w:tcW w:w="37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 xml:space="preserve">100 000,0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000000" w:fill="ffffff"/>
            <w:tcW w:w="37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 xml:space="preserve">100 000,0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471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426 085,8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55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2100" w:type="pct"/>
            <w:textDirection w:val="lrTb"/>
            <w:noWrap w:val="false"/>
          </w:tcPr>
          <w:p>
            <w:pPr>
              <w:ind w:left="154" w:firstLine="1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Обустройство сетей наружного освещения на автомобильных дорогах города Перми (контракт жизненного цикла) (муниципальная программа от 20.10.2021 № 922 «Развитие автомобильных дорог и дорожных сооружений в городе Перми»)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000000" w:fill="ffffff"/>
            <w:tcW w:w="41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 xml:space="preserve">52 559,9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000000" w:fill="ffffff"/>
            <w:tcW w:w="37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 xml:space="preserve">28 902,4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000000" w:fill="ffffff"/>
            <w:tcW w:w="37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 xml:space="preserve">29 612,3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471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111 074,6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55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2100" w:type="pct"/>
            <w:textDirection w:val="lrTb"/>
            <w:noWrap w:val="false"/>
          </w:tcPr>
          <w:p>
            <w:pPr>
              <w:ind w:left="154" w:firstLine="1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Обустройство сетей наружного освещения на объектах озеленения общего пользования (муниципальная программа от 20.10.2021 № 914 «Благоустройство города Перми»)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000000" w:fill="ffffff"/>
            <w:tcW w:w="41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 xml:space="preserve">60 797,7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000000" w:fill="ffffff"/>
            <w:tcW w:w="37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 xml:space="preserve">56 021,2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000000" w:fill="ffffff"/>
            <w:tcW w:w="37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471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116 818,9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55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2100" w:type="pct"/>
            <w:textDirection w:val="lrTb"/>
            <w:noWrap w:val="false"/>
          </w:tcPr>
          <w:p>
            <w:pPr>
              <w:ind w:left="154" w:firstLine="1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Архитектурная подсветка зданий (муниципальная программа от 20.10.2021 № 917 «Организация дорожной деятельности в городе Перми»)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000000" w:fill="ffffff"/>
            <w:tcW w:w="41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 xml:space="preserve">361 761,0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000000" w:fill="ffffff"/>
            <w:tcW w:w="37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 xml:space="preserve">35 000,0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000000" w:fill="ffffff"/>
            <w:tcW w:w="37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 xml:space="preserve">35 000,0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471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431 761,0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55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2100" w:type="pct"/>
            <w:textDirection w:val="lrTb"/>
            <w:noWrap w:val="false"/>
          </w:tcPr>
          <w:p>
            <w:pPr>
              <w:ind w:firstLine="1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Мероприятия, реализуемые в рамках комплексной программы «Мастер-план освещения города Перми», в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т.ч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.: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000000" w:fill="ffffff"/>
            <w:tcW w:w="41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000000" w:fill="ffffff"/>
            <w:tcW w:w="37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340 533,1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gridSpan w:val="4"/>
            <w:shd w:val="clear" w:color="000000" w:fill="ffffff"/>
            <w:tcW w:w="139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5 745 346,2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471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6 085 879,3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55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2100" w:type="pct"/>
            <w:textDirection w:val="lrTb"/>
            <w:noWrap w:val="false"/>
          </w:tcPr>
          <w:p>
            <w:pPr>
              <w:ind w:left="15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Архитектурно-художественное освещение улиц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000000" w:fill="ffffff"/>
            <w:tcW w:w="41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000000" w:fill="ffffff"/>
            <w:tcW w:w="37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340 533,1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gridSpan w:val="4"/>
            <w:shd w:val="clear" w:color="000000" w:fill="ffffff"/>
            <w:tcW w:w="139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2 616 423,7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471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2 956 956,8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55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2100" w:type="pct"/>
            <w:textDirection w:val="lrTb"/>
            <w:noWrap w:val="false"/>
          </w:tcPr>
          <w:p>
            <w:pPr>
              <w:ind w:left="15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Архитектурно-художественное освещение объектов культурного наследия религиозного назначения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41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7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gridSpan w:val="4"/>
            <w:shd w:val="clear" w:color="000000" w:fill="ffffff"/>
            <w:tcW w:w="139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438 130,9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471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438 130,9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55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2100" w:type="pct"/>
            <w:textDirection w:val="lrTb"/>
            <w:noWrap w:val="false"/>
          </w:tcPr>
          <w:p>
            <w:pPr>
              <w:ind w:left="15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Ландшафтное освещение объектов озеленения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41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7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gridSpan w:val="4"/>
            <w:shd w:val="clear" w:color="000000" w:fill="ffffff"/>
            <w:tcW w:w="139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813 436,9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471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813 436,9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55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2100" w:type="pct"/>
            <w:textDirection w:val="lrTb"/>
            <w:noWrap w:val="false"/>
          </w:tcPr>
          <w:p>
            <w:pPr>
              <w:ind w:left="15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Архитектурно-художественное освещение знаковых объектов основных гостевых маршрутов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41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7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gridSpan w:val="4"/>
            <w:shd w:val="clear" w:color="000000" w:fill="ffffff"/>
            <w:tcW w:w="139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726 514,9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471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726 514,9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55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2100" w:type="pct"/>
            <w:textDirection w:val="lrTb"/>
            <w:noWrap w:val="false"/>
          </w:tcPr>
          <w:p>
            <w:pPr>
              <w:ind w:left="15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Архитектурно-художественное освещение зданий, обрамляющих площади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41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7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gridSpan w:val="4"/>
            <w:shd w:val="clear" w:color="000000" w:fill="ffffff"/>
            <w:tcW w:w="139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140 045,4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471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140 045,4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55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2100" w:type="pct"/>
            <w:textDirection w:val="lrTb"/>
            <w:noWrap w:val="false"/>
          </w:tcPr>
          <w:p>
            <w:pPr>
              <w:ind w:left="15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Обустройство праздничного освещения – светотехническая линейная установка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41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7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gridSpan w:val="4"/>
            <w:shd w:val="clear" w:color="000000" w:fill="ffffff"/>
            <w:tcW w:w="139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423 500,4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471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423 500,4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55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2100" w:type="pct"/>
            <w:textDirection w:val="lrTb"/>
            <w:noWrap w:val="false"/>
          </w:tcPr>
          <w:p>
            <w:pPr>
              <w:ind w:left="15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Обустройство праздничного освещения – плоскостные конструкции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медиапанели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гербы)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41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7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gridSpan w:val="4"/>
            <w:shd w:val="clear" w:color="000000" w:fill="ffffff"/>
            <w:tcW w:w="139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255 503,8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471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255 503,8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55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2100" w:type="pct"/>
            <w:textDirection w:val="lrTb"/>
            <w:noWrap w:val="false"/>
          </w:tcPr>
          <w:p>
            <w:pPr>
              <w:ind w:left="154" w:firstLine="1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Обустройство праздничного освещения – светотехнические установки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41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7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gridSpan w:val="4"/>
            <w:shd w:val="clear" w:color="000000" w:fill="ffffff"/>
            <w:tcW w:w="139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213 768,7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471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213 768,7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55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2100" w:type="pct"/>
            <w:textDirection w:val="lrTb"/>
            <w:noWrap w:val="false"/>
          </w:tcPr>
          <w:p>
            <w:pPr>
              <w:ind w:left="154" w:firstLine="1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Обустройство праздничного освещения – проекционные инсталляции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41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7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gridSpan w:val="4"/>
            <w:shd w:val="clear" w:color="000000" w:fill="ffffff"/>
            <w:tcW w:w="139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118 021,5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471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118 021,5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55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2100" w:type="pct"/>
            <w:textDirection w:val="lrTb"/>
            <w:noWrap w:val="false"/>
          </w:tcPr>
          <w:p>
            <w:pPr>
              <w:ind w:firstLine="1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Мероприятия, реализуемые в рамках энергосбережения и повышения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энергоэффективности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повышения надежности, безопасности и благоустроенности городской среды, в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т.ч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.: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41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7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64 099,0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68 585,0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73 386,0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561 698,0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471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767 768,0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55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3.1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2100" w:type="pct"/>
            <w:textDirection w:val="lrTb"/>
            <w:noWrap w:val="false"/>
          </w:tcPr>
          <w:p>
            <w:pPr>
              <w:ind w:left="15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Замена светильников с газоразрядными лампами на светодиодные 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41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7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32 630,0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34 914,0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37 358,0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285 937,0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471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390 839,0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55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3.2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2100" w:type="pct"/>
            <w:textDirection w:val="lrTb"/>
            <w:noWrap w:val="false"/>
          </w:tcPr>
          <w:p>
            <w:pPr>
              <w:ind w:left="15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Строительство новых сетей наружного освещения со светодиодными светильниками на неосвещенных участках города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41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7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11 433,0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12 233,0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13 089,0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100 186,0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471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136 941,0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55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3.3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2100" w:type="pct"/>
            <w:textDirection w:val="lrTb"/>
            <w:noWrap w:val="false"/>
          </w:tcPr>
          <w:p>
            <w:pPr>
              <w:ind w:left="15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Капитальный ремонт наружного освещения с заменой воздушных ЛЭП с использованием СИП и переводом в кабельное исполнение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7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7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20 036,0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21 438,0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22 939,0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7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175 575,0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471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239 988,0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cantSplit/>
          <w:trHeight w:val="20"/>
        </w:trPr>
        <w:tc>
          <w:tcPr>
            <w:gridSpan w:val="2"/>
            <w:shd w:val="clear" w:color="auto" w:fill="auto"/>
            <w:tcW w:w="1" w:type="pct"/>
            <w:textDirection w:val="lrTb"/>
            <w:noWrap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Итого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701 204,4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7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560 456,7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gridSpan w:val="4"/>
            <w:shd w:val="clear" w:color="auto" w:fill="auto"/>
            <w:tcW w:w="139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6 677 726,5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47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7 939 387,6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</w:tbl>
    <w:p>
      <w:r/>
      <w:r/>
    </w:p>
    <w:p>
      <w:pPr>
        <w:pStyle w:val="1544"/>
        <w:rPr>
          <w:b/>
          <w:bCs/>
          <w:sz w:val="28"/>
          <w:szCs w:val="28"/>
        </w:rPr>
      </w:pPr>
      <w:r/>
      <w:bookmarkStart w:id="547" w:name="_Toc175216063"/>
      <w:r>
        <w:rPr>
          <w:b/>
          <w:bCs/>
          <w:sz w:val="28"/>
          <w:szCs w:val="28"/>
        </w:rPr>
        <w:t xml:space="preserve">5.9. Программа инвестиционных проектов в многоквартирных домах</w:t>
      </w:r>
      <w:bookmarkEnd w:id="547"/>
      <w:r/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/>
      <w:bookmarkStart w:id="548" w:name="_Toc175216147"/>
      <w:r/>
      <w:r>
        <w:rPr>
          <w:b/>
          <w:bCs/>
          <w:sz w:val="28"/>
          <w:szCs w:val="28"/>
        </w:rPr>
      </w:r>
    </w:p>
    <w:p>
      <w:pPr>
        <w:pStyle w:val="1544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Таблица 5.9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инвестиционных проектов в жилом фонде</w:t>
      </w:r>
      <w:bookmarkEnd w:id="548"/>
      <w:r/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2"/>
        <w:gridCol w:w="6943"/>
        <w:gridCol w:w="995"/>
        <w:gridCol w:w="992"/>
        <w:gridCol w:w="992"/>
        <w:gridCol w:w="986"/>
        <w:gridCol w:w="1001"/>
        <w:gridCol w:w="1133"/>
        <w:gridCol w:w="1495"/>
      </w:tblGrid>
      <w:tr>
        <w:tblPrEx/>
        <w:trPr>
          <w:trHeight w:val="20"/>
          <w:tblHeader/>
        </w:trPr>
        <w:tc>
          <w:tcPr>
            <w:shd w:val="clear" w:color="auto" w:fill="auto"/>
            <w:tcW w:w="177" w:type="pct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304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7"/>
            <w:shd w:val="clear" w:color="auto" w:fill="auto"/>
            <w:tcW w:w="2520" w:type="pct"/>
            <w:textDirection w:val="lrTb"/>
            <w:noWrap w:val="false"/>
          </w:tcPr>
          <w:p>
            <w:pPr>
              <w:ind w:left="-112" w:right="-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Объемы финансовых потребностей и капитальных затрат на реализацию мероприятий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-112" w:right="-1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прогнозных ценах (без НДС), тыс. руб.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  <w:tblHeader/>
        </w:trPr>
        <w:tc>
          <w:tcPr>
            <w:shd w:val="clear" w:color="auto" w:fill="auto"/>
            <w:tcW w:w="177" w:type="pct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30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3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3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6" w:type="pct"/>
            <w:vAlign w:val="center"/>
            <w:textDirection w:val="lrTb"/>
            <w:noWrap w:val="false"/>
          </w:tcPr>
          <w:p>
            <w:pPr>
              <w:ind w:left="-39" w:right="-1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2029-2034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96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</w:t>
            </w: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spacing w:line="48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4"/>
        <w:gridCol w:w="6947"/>
        <w:gridCol w:w="992"/>
        <w:gridCol w:w="995"/>
        <w:gridCol w:w="989"/>
        <w:gridCol w:w="992"/>
        <w:gridCol w:w="992"/>
        <w:gridCol w:w="1133"/>
        <w:gridCol w:w="1495"/>
      </w:tblGrid>
      <w:tr>
        <w:tblPrEx/>
        <w:trPr>
          <w:trHeight w:val="20"/>
          <w:tblHeader/>
        </w:trPr>
        <w:tc>
          <w:tcPr>
            <w:shd w:val="clear" w:color="auto" w:fill="auto"/>
            <w:tcW w:w="177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30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3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6" w:type="pct"/>
            <w:vAlign w:val="center"/>
            <w:textDirection w:val="lrTb"/>
            <w:noWrap w:val="false"/>
          </w:tcPr>
          <w:p>
            <w:pPr>
              <w:ind w:left="-39" w:right="-1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96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77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305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Программа установки приборов учета в МКД, всего, в </w:t>
            </w:r>
            <w:r>
              <w:rPr>
                <w:color w:val="000000"/>
                <w:sz w:val="20"/>
                <w:szCs w:val="20"/>
              </w:rPr>
              <w:t xml:space="preserve">т.ч</w:t>
            </w:r>
            <w:r>
              <w:rPr>
                <w:color w:val="000000"/>
                <w:sz w:val="20"/>
                <w:szCs w:val="20"/>
              </w:rPr>
              <w:t xml:space="preserve">.: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30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8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244 893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256 719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6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1 824 516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96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2 326 130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77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305" w:type="pct"/>
            <w:textDirection w:val="lrTb"/>
            <w:noWrap w:val="false"/>
          </w:tcPr>
          <w:p>
            <w:pPr>
              <w:ind w:left="29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Установка общедомовых приборов учета тепловой энергии в системе отопления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30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8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147 928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155 071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6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1 102 094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96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1 405 094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77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305" w:type="pct"/>
            <w:textDirection w:val="lrTb"/>
            <w:noWrap w:val="false"/>
          </w:tcPr>
          <w:p>
            <w:pPr>
              <w:ind w:left="29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Установка общедомовых приборов учета тепловой энергии в системе ГВС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30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8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43 062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45 158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6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321 342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96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409 563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77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305" w:type="pct"/>
            <w:textDirection w:val="lrTb"/>
            <w:noWrap w:val="false"/>
          </w:tcPr>
          <w:p>
            <w:pPr>
              <w:ind w:left="29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Установка общедомовых приборов учета холодной воды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30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8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44 984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47 131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6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334 361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96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426 476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77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305" w:type="pct"/>
            <w:textDirection w:val="lrTb"/>
            <w:noWrap w:val="false"/>
          </w:tcPr>
          <w:p>
            <w:pPr>
              <w:ind w:left="29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Установка общедомовых приборов учета электрической энергии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30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8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8 919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9 359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6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66 719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96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84 997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77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305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Программа энергосберегающих мероприятий в МКД, всего, в </w:t>
            </w:r>
            <w:r>
              <w:rPr>
                <w:color w:val="000000"/>
                <w:sz w:val="20"/>
                <w:szCs w:val="20"/>
              </w:rPr>
              <w:t xml:space="preserve">т.ч</w:t>
            </w:r>
            <w:r>
              <w:rPr>
                <w:color w:val="000000"/>
                <w:sz w:val="20"/>
                <w:szCs w:val="20"/>
              </w:rPr>
              <w:t xml:space="preserve">.: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2 823 603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30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2 477 036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8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2 107 463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346 436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367 191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6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2 670 250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96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10 791 976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77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305" w:type="pct"/>
            <w:textDirection w:val="lrTb"/>
            <w:noWrap w:val="false"/>
          </w:tcPr>
          <w:p>
            <w:pPr>
              <w:ind w:left="29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Утепление крыш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30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8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148 692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160 098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6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1 211 245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96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1 520 035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77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305" w:type="pct"/>
            <w:textDirection w:val="lrTb"/>
            <w:noWrap w:val="false"/>
          </w:tcPr>
          <w:p>
            <w:pPr>
              <w:ind w:left="29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Модернизация системы электроснабжения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30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8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17 189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18 002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6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126 827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96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162 017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77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305" w:type="pct"/>
            <w:textDirection w:val="lrTb"/>
            <w:noWrap w:val="false"/>
          </w:tcPr>
          <w:p>
            <w:pPr>
              <w:ind w:left="29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Модернизация системы водоснабжения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30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8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22 064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23 107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6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162 795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96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207 966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77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305" w:type="pct"/>
            <w:textDirection w:val="lrTb"/>
            <w:noWrap w:val="false"/>
          </w:tcPr>
          <w:p>
            <w:pPr>
              <w:ind w:left="29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Модернизация системы отопления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30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8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80 260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84 055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6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592 179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96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756 494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77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305" w:type="pct"/>
            <w:textDirection w:val="lrTb"/>
            <w:noWrap w:val="false"/>
          </w:tcPr>
          <w:p>
            <w:pPr>
              <w:ind w:left="29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Модернизация системы горячего водоснабжения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30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8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36 243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37 956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6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267 407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96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341 606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77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305" w:type="pct"/>
            <w:vAlign w:val="center"/>
            <w:textDirection w:val="lrTb"/>
            <w:noWrap w:val="false"/>
          </w:tcPr>
          <w:p>
            <w:pPr>
              <w:ind w:left="294" w:right="-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Установка узла регулирования подачи тепловой энергии на отопление (АУУ)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30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8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41 988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43 973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6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309 797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96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395 756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77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305" w:type="pct"/>
            <w:vAlign w:val="center"/>
            <w:textDirection w:val="lrTb"/>
            <w:noWrap w:val="false"/>
          </w:tcPr>
          <w:p>
            <w:pPr>
              <w:ind w:left="29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краткосрочного плана капитального ремонта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2 823 603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30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2 477 036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8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2 107 463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6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96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7 408 102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W w:w="1" w:type="pct"/>
            <w:vAlign w:val="center"/>
            <w:textDirection w:val="lrTb"/>
            <w:noWrap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132" w:right="-1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2 823 603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30" w:type="pct"/>
            <w:textDirection w:val="lrTb"/>
            <w:noWrap w:val="false"/>
          </w:tcPr>
          <w:p>
            <w:pPr>
              <w:ind w:left="-132" w:right="-1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2 477 036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8" w:type="pct"/>
            <w:textDirection w:val="lrTb"/>
            <w:noWrap w:val="false"/>
          </w:tcPr>
          <w:p>
            <w:pPr>
              <w:ind w:left="-132" w:right="-1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2 107 463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132" w:right="-1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591 329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132" w:right="-1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623 910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6" w:type="pct"/>
            <w:textDirection w:val="lrTb"/>
            <w:noWrap w:val="false"/>
          </w:tcPr>
          <w:p>
            <w:pPr>
              <w:ind w:left="-132" w:right="-1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4 494 766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96" w:type="pct"/>
            <w:textDirection w:val="lrTb"/>
            <w:noWrap w:val="false"/>
          </w:tcPr>
          <w:p>
            <w:pPr>
              <w:ind w:left="-132" w:right="-1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13 118 106</w:t>
            </w:r>
            <w:r>
              <w:rPr>
                <w:color w:val="000000"/>
                <w:sz w:val="20"/>
                <w:szCs w:val="20"/>
              </w:rPr>
            </w:r>
          </w:p>
        </w:tc>
      </w:tr>
    </w:tbl>
    <w:p>
      <w:r/>
      <w:r/>
    </w:p>
    <w:p>
      <w:pPr>
        <w:pStyle w:val="1544"/>
        <w:rPr>
          <w:b/>
          <w:bCs/>
          <w:sz w:val="28"/>
          <w:szCs w:val="28"/>
        </w:rPr>
      </w:pPr>
      <w:r/>
      <w:bookmarkStart w:id="549" w:name="_Toc175216064"/>
      <w:r>
        <w:rPr>
          <w:b/>
          <w:bCs/>
          <w:sz w:val="28"/>
          <w:szCs w:val="28"/>
        </w:rPr>
        <w:t xml:space="preserve">5.10. Программа инвестиционных проектов в зданиях бюджетной сферы</w:t>
      </w:r>
      <w:bookmarkEnd w:id="549"/>
      <w:r/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/>
      <w:bookmarkStart w:id="550" w:name="_Toc175216148"/>
      <w:r/>
      <w:r>
        <w:rPr>
          <w:b/>
          <w:bCs/>
          <w:sz w:val="28"/>
          <w:szCs w:val="28"/>
        </w:rPr>
      </w:r>
    </w:p>
    <w:p>
      <w:pPr>
        <w:pStyle w:val="1544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Таблица 5.10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инвестиционных проектов в зданиях бюджетной сферы</w:t>
      </w:r>
      <w:bookmarkEnd w:id="550"/>
      <w:r/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68"/>
        <w:gridCol w:w="6236"/>
        <w:gridCol w:w="1076"/>
        <w:gridCol w:w="1076"/>
        <w:gridCol w:w="1076"/>
        <w:gridCol w:w="1082"/>
        <w:gridCol w:w="1082"/>
        <w:gridCol w:w="1082"/>
        <w:gridCol w:w="1591"/>
      </w:tblGrid>
      <w:tr>
        <w:tblPrEx/>
        <w:trPr>
          <w:trHeight w:val="20"/>
        </w:trPr>
        <w:tc>
          <w:tcPr>
            <w:shd w:val="clear" w:color="auto" w:fill="auto"/>
            <w:tcW w:w="255" w:type="pct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069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7"/>
            <w:shd w:val="clear" w:color="auto" w:fill="auto"/>
            <w:tcW w:w="2676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Объемы финансовых потребностей и капитальных затрат на реализацию мероприятий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прогнозных ценах (без НДС), тыс. руб.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55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69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9" w:type="pct"/>
            <w:vAlign w:val="center"/>
            <w:textDirection w:val="lrTb"/>
            <w:noWrap w:val="false"/>
          </w:tcPr>
          <w:p>
            <w:pPr>
              <w:ind w:left="-181" w:right="-13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2029-2034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2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5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069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Программа установки приборов учета в зданиях бюджетной сферы, всего, в </w:t>
            </w:r>
            <w:r>
              <w:rPr>
                <w:color w:val="000000"/>
                <w:sz w:val="20"/>
                <w:szCs w:val="20"/>
              </w:rPr>
              <w:t xml:space="preserve">т.ч</w:t>
            </w:r>
            <w:r>
              <w:rPr>
                <w:color w:val="000000"/>
                <w:sz w:val="20"/>
                <w:szCs w:val="20"/>
              </w:rPr>
              <w:t xml:space="preserve">.: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5 006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5 206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35 910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2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46 122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5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069" w:type="pct"/>
            <w:textDirection w:val="lrTb"/>
            <w:noWrap w:val="false"/>
          </w:tcPr>
          <w:p>
            <w:pPr>
              <w:ind w:left="29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Установка приборов учета тепловой энергии в системе отопления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3 037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3 159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21 789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2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27 985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5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069" w:type="pct"/>
            <w:textDirection w:val="lrTb"/>
            <w:noWrap w:val="false"/>
          </w:tcPr>
          <w:p>
            <w:pPr>
              <w:ind w:left="29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Установка приборов учета тепловой энергии в системе ГВС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936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6 456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2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8 292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5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069" w:type="pct"/>
            <w:textDirection w:val="lrTb"/>
            <w:noWrap w:val="false"/>
          </w:tcPr>
          <w:p>
            <w:pPr>
              <w:ind w:left="29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Установка приборов учета холодной воды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936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6 456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2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8 292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5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069" w:type="pct"/>
            <w:textDirection w:val="lrTb"/>
            <w:noWrap w:val="false"/>
          </w:tcPr>
          <w:p>
            <w:pPr>
              <w:ind w:left="29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Установка приборов учета электрической энергии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169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175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1 209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2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1 553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5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069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Программа энергосберегающих мероприятий в зданиях бюджетной сферы, всего, в </w:t>
            </w:r>
            <w:r>
              <w:rPr>
                <w:color w:val="000000"/>
                <w:sz w:val="20"/>
                <w:szCs w:val="20"/>
              </w:rPr>
              <w:t xml:space="preserve">т.ч</w:t>
            </w:r>
            <w:r>
              <w:rPr>
                <w:color w:val="000000"/>
                <w:sz w:val="20"/>
                <w:szCs w:val="20"/>
              </w:rPr>
              <w:t xml:space="preserve">.: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290 297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225 295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246 691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137 204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144 567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1 035 163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2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2 079 216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5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069" w:type="pct"/>
            <w:textDirection w:val="lrTb"/>
            <w:noWrap w:val="false"/>
          </w:tcPr>
          <w:p>
            <w:pPr>
              <w:ind w:left="29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Утепление крыш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29 738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32 020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242 249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2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304 007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5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069" w:type="pct"/>
            <w:textDirection w:val="lrTb"/>
            <w:noWrap w:val="false"/>
          </w:tcPr>
          <w:p>
            <w:pPr>
              <w:ind w:left="29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Модернизация системы электроснабжения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17 189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18 002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126 827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2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162 018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5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069" w:type="pct"/>
            <w:textDirection w:val="lrTb"/>
            <w:noWrap w:val="false"/>
          </w:tcPr>
          <w:p>
            <w:pPr>
              <w:ind w:left="29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Модернизация системы водоснабжения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11 032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11 554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81 396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2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103 982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5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069" w:type="pct"/>
            <w:textDirection w:val="lrTb"/>
            <w:noWrap w:val="false"/>
          </w:tcPr>
          <w:p>
            <w:pPr>
              <w:ind w:left="29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Модернизация системы отопления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40 130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42 027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296 090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2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378 247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5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069" w:type="pct"/>
            <w:textDirection w:val="lrTb"/>
            <w:noWrap w:val="false"/>
          </w:tcPr>
          <w:p>
            <w:pPr>
              <w:ind w:left="29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Модернизация системы горячего водоснабжения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18 121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18 978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133 704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2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170 803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5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069" w:type="pct"/>
            <w:textDirection w:val="lrTb"/>
            <w:noWrap w:val="false"/>
          </w:tcPr>
          <w:p>
            <w:pPr>
              <w:ind w:left="29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Установка узла регулирования подачи тепловой энергии на отопление (АУУ)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20 994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21 986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154 897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2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197 877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5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069" w:type="pct"/>
            <w:textDirection w:val="lrTb"/>
            <w:noWrap w:val="false"/>
          </w:tcPr>
          <w:p>
            <w:pPr>
              <w:ind w:left="29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комитета по физической культуре и спорту администрации города Перми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127 597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99 589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84 344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2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311 530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5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069" w:type="pct"/>
            <w:textDirection w:val="lrTb"/>
            <w:noWrap w:val="false"/>
          </w:tcPr>
          <w:p>
            <w:pPr>
              <w:ind w:left="29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департамента культуры и молодежной политики администрации города Перми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162 700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125 705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162 347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2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450 752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W w:w="1" w:type="pct"/>
            <w:textDirection w:val="lrTb"/>
            <w:noWrap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290 297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225 295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7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246 691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142 210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149 773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1 071 073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2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2 125 338</w:t>
            </w:r>
            <w:r>
              <w:rPr>
                <w:color w:val="000000"/>
                <w:sz w:val="20"/>
                <w:szCs w:val="20"/>
              </w:rPr>
            </w:r>
          </w:p>
        </w:tc>
      </w:tr>
    </w:tbl>
    <w:p>
      <w:r/>
      <w:r/>
    </w:p>
    <w:p>
      <w:pPr>
        <w:spacing w:after="200" w:line="276" w:lineRule="auto"/>
        <w:rPr>
          <w:rFonts w:eastAsiaTheme="minorHAnsi"/>
          <w:b/>
          <w:bCs/>
          <w:iCs/>
          <w:sz w:val="28"/>
          <w:szCs w:val="28"/>
          <w:lang w:eastAsia="en-US"/>
        </w:rPr>
      </w:pPr>
      <w:r/>
      <w:bookmarkStart w:id="551" w:name="_Toc175216065"/>
      <w:r/>
      <w:bookmarkEnd w:id="542"/>
      <w:r>
        <w:rPr>
          <w:b/>
          <w:bCs/>
          <w:sz w:val="28"/>
          <w:szCs w:val="28"/>
        </w:rPr>
        <w:br w:type="page" w:clear="all"/>
      </w:r>
      <w:r>
        <w:rPr>
          <w:rFonts w:eastAsiaTheme="minorHAnsi"/>
          <w:b/>
          <w:bCs/>
          <w:iCs/>
          <w:sz w:val="28"/>
          <w:szCs w:val="28"/>
          <w:lang w:eastAsia="en-US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5.11. Взаимосвязанность проектов</w:t>
      </w:r>
      <w:bookmarkEnd w:id="551"/>
      <w:r/>
      <w:r>
        <w:rPr>
          <w:b/>
          <w:bCs/>
          <w:sz w:val="28"/>
          <w:szCs w:val="28"/>
        </w:rPr>
      </w:r>
    </w:p>
    <w:p>
      <w:pPr>
        <w:pStyle w:val="154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В части перспективного строительства многоквартирного фонда и развития новых территорий обеспечена синхронизация по срокам строительства.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В част</w:t>
      </w:r>
      <w:r>
        <w:rPr>
          <w:sz w:val="28"/>
          <w:szCs w:val="28"/>
        </w:rPr>
        <w:t xml:space="preserve">и перспективного строительства многоквартирного фонда и развития новых и застроенных территорий, а также сноса аварийного и ветхого жилья обеспечена синхронизация с документами территориального планирования, а также муниципальными и областными программами.</w:t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В ч</w:t>
      </w:r>
      <w:r>
        <w:rPr>
          <w:sz w:val="28"/>
          <w:szCs w:val="28"/>
        </w:rPr>
        <w:t xml:space="preserve">асти обеспечения коммунальными услугами объектов перспективного строительства и новых развивающихся территорий синхронизированы и взаимоувязаны по срокам реализации мероприятия, реализуемые в целях подключения объектов капитального строительства абонентов.</w:t>
      </w:r>
      <w:r/>
    </w:p>
    <w:p>
      <w:r/>
      <w:r/>
    </w:p>
    <w:p>
      <w:pPr>
        <w:sectPr>
          <w:footnotePr/>
          <w:endnotePr/>
          <w:type w:val="nextPage"/>
          <w:pgSz w:w="16838" w:h="11906" w:orient="landscape"/>
          <w:pgMar w:top="1134" w:right="567" w:bottom="1134" w:left="1418" w:header="567" w:footer="567" w:gutter="0"/>
          <w:cols w:num="1" w:sep="0" w:space="708" w:equalWidth="1"/>
          <w:docGrid w:linePitch="360"/>
        </w:sectPr>
      </w:pPr>
      <w:r/>
      <w:r/>
    </w:p>
    <w:p>
      <w:pPr>
        <w:pStyle w:val="1544"/>
        <w:rPr>
          <w:b/>
          <w:bCs/>
          <w:sz w:val="28"/>
          <w:szCs w:val="28"/>
        </w:rPr>
      </w:pPr>
      <w:r/>
      <w:bookmarkStart w:id="552" w:name="_Toc119947533"/>
      <w:r/>
      <w:bookmarkStart w:id="553" w:name="_Toc175216066"/>
      <w:r/>
      <w:bookmarkEnd w:id="545"/>
      <w:r>
        <w:rPr>
          <w:b/>
          <w:bCs/>
          <w:sz w:val="28"/>
          <w:szCs w:val="28"/>
          <w:lang w:val="en-US"/>
        </w:rPr>
        <w:t xml:space="preserve">VI</w:t>
      </w:r>
      <w:r>
        <w:rPr>
          <w:b/>
          <w:bCs/>
          <w:sz w:val="28"/>
          <w:szCs w:val="28"/>
        </w:rPr>
        <w:t xml:space="preserve">. Источники инвестиций, тарифы и доступность программы для населения</w:t>
      </w:r>
      <w:bookmarkEnd w:id="552"/>
      <w:r/>
      <w:bookmarkEnd w:id="553"/>
      <w:r/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/>
      <w:bookmarkStart w:id="554" w:name="_Toc119947534"/>
      <w:r/>
      <w:bookmarkStart w:id="555" w:name="_Toc175216067"/>
      <w:r>
        <w:rPr>
          <w:b/>
          <w:bCs/>
          <w:sz w:val="28"/>
          <w:szCs w:val="28"/>
        </w:rPr>
        <w:t xml:space="preserve">6.1. Совокупные потребности в капитальных вложениях и источники инвестиций для реализации программы инвестиционных проектов</w:t>
      </w:r>
      <w:bookmarkEnd w:id="554"/>
      <w:r/>
      <w:bookmarkEnd w:id="555"/>
      <w:r/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Данные о совокупной потребности в капитальных вложениях и источниках инвестиций для реализации всей программы инвестиционных проектов на протяжении прогнозного периода приведены в таблице 6.3.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Обос</w:t>
      </w:r>
      <w:r>
        <w:rPr>
          <w:sz w:val="28"/>
          <w:szCs w:val="28"/>
        </w:rPr>
        <w:t xml:space="preserve">нование финансовых потребностей по каждому конкретному инвестиционному проекту и в совокупности по организациям коммунального комплекса приведено в перспективных схемах рассматриваемых коммунальных систем города Перми в обосновывающих материалах Программы.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Общая сумма инвестиций, предусмотренная на весь период разработки Программы, оценочно составляет 169,1 млрд руб. (без НДС) (</w:t>
      </w:r>
      <w:bookmarkStart w:id="556" w:name="_Hlk168642246"/>
      <w:r>
        <w:rPr>
          <w:sz w:val="28"/>
          <w:szCs w:val="28"/>
        </w:rPr>
        <w:t xml:space="preserve">без учета финансовых потребностей по прочим инвестиционным проектам: система ливневой канализации, система наружного освещения, многоквартирные дома, общественно-деловые здания</w:t>
      </w:r>
      <w:bookmarkEnd w:id="556"/>
      <w:r>
        <w:rPr>
          <w:sz w:val="28"/>
          <w:szCs w:val="28"/>
        </w:rPr>
        <w:t xml:space="preserve">). Распределение финансирования программы по коммунальным системам предс</w:t>
      </w:r>
      <w:r>
        <w:rPr>
          <w:sz w:val="28"/>
          <w:szCs w:val="28"/>
        </w:rPr>
        <w:t xml:space="preserve">тавлено на диаграмме на рисунке 6.1 (без учета финансовых потребностей по прочим инвестиционным проектам: система ливневой канализации, система наружного освещения, многоквартирные дома, общественно-деловые здания), а также данные приводятся в таблице 6.1.</w:t>
      </w:r>
      <w:r>
        <w:rPr>
          <w:sz w:val="28"/>
          <w:szCs w:val="28"/>
        </w:rPr>
      </w:r>
    </w:p>
    <w:p>
      <w:pPr>
        <w:pStyle w:val="968"/>
        <w:rPr>
          <w:highlight w:val="green"/>
        </w:rPr>
      </w:pPr>
      <w:r>
        <w:rPr>
          <w:lang w:eastAsia="ko-KR"/>
        </w:rPr>
        <w:drawing>
          <wp:inline distT="0" distB="0" distL="0" distR="0">
            <wp:extent cx="6299835" cy="3620135"/>
            <wp:effectExtent l="0" t="0" r="24765" b="18415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highlight w:val="green"/>
        </w:rPr>
      </w:r>
    </w:p>
    <w:p>
      <w:pPr>
        <w:pStyle w:val="1464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Рисунок 6.1 – Распределение финансирования программы по коммунальным системам</w:t>
      </w:r>
      <w:r>
        <w:rPr>
          <w:sz w:val="28"/>
          <w:szCs w:val="28"/>
        </w:rPr>
      </w:r>
    </w:p>
    <w:p>
      <w:pPr>
        <w:pStyle w:val="1464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64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64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44"/>
        <w:jc w:val="right"/>
        <w:rPr>
          <w:b/>
          <w:bCs/>
          <w:sz w:val="28"/>
          <w:szCs w:val="28"/>
        </w:rPr>
      </w:pPr>
      <w:r/>
      <w:bookmarkStart w:id="557" w:name="_Ref168642840"/>
      <w:r/>
      <w:bookmarkStart w:id="558" w:name="_Toc175216149"/>
      <w:r>
        <w:rPr>
          <w:b/>
          <w:bCs/>
          <w:sz w:val="28"/>
          <w:szCs w:val="28"/>
        </w:rPr>
        <w:t xml:space="preserve">Таблица </w:t>
      </w:r>
      <w:bookmarkEnd w:id="557"/>
      <w:r>
        <w:rPr>
          <w:b/>
          <w:bCs/>
          <w:sz w:val="28"/>
          <w:szCs w:val="28"/>
        </w:rPr>
        <w:t xml:space="preserve">6.1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Объемы финансовых потребностей и капитальных затрат на реализацию мероприятий в прогнозных ценах</w:t>
      </w:r>
      <w:bookmarkEnd w:id="558"/>
      <w:r/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8"/>
        <w:gridCol w:w="1949"/>
        <w:gridCol w:w="1056"/>
        <w:gridCol w:w="1060"/>
        <w:gridCol w:w="1060"/>
        <w:gridCol w:w="1060"/>
        <w:gridCol w:w="1060"/>
        <w:gridCol w:w="1182"/>
        <w:gridCol w:w="1182"/>
      </w:tblGrid>
      <w:tr>
        <w:tblPrEx/>
        <w:trPr>
          <w:trHeight w:val="20"/>
          <w:tblHeader/>
        </w:trPr>
        <w:tc>
          <w:tcPr>
            <w:shd w:val="clear" w:color="auto" w:fill="auto"/>
            <w:tcW w:w="260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/>
            <w:bookmarkStart w:id="559" w:name="_Hlk168643084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№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61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Наименование организации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gridSpan w:val="7"/>
            <w:shd w:val="clear" w:color="auto" w:fill="auto"/>
            <w:tcW w:w="3778" w:type="pct"/>
            <w:textDirection w:val="lrTb"/>
            <w:noWrap w:val="false"/>
          </w:tcPr>
          <w:p>
            <w:pPr>
              <w:ind w:left="-125" w:right="-11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Объемы финансовых потребностей и капитальных затрат на реализацию мероприятий в прогнозных ценах (без НДС), тыс. руб.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  <w:tblHeader/>
        </w:trPr>
        <w:tc>
          <w:tcPr>
            <w:shd w:val="clear" w:color="auto" w:fill="auto"/>
            <w:tcW w:w="26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61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2024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2025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2026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2027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2028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right w:w="57" w:type="dxa"/>
            </w:tcMar>
            <w:tcW w:w="58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2029-2034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8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Всего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6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61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Система теплоснабжения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2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3 759 506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2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3 572 357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2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2 335 645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2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3 147 945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2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2 320 914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3" w:type="pct"/>
            <w:textDirection w:val="lrTb"/>
            <w:noWrap w:val="false"/>
          </w:tcPr>
          <w:p>
            <w:pPr>
              <w:ind w:left="-186" w:right="-21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16 743 898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3" w:type="pct"/>
            <w:textDirection w:val="lrTb"/>
            <w:noWrap w:val="false"/>
          </w:tcPr>
          <w:p>
            <w:pPr>
              <w:ind w:left="-137" w:right="-11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31 880 265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6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961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Система водоснабжения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21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2 728 870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5 454 755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6 284 853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6 266 884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4 643 801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33 542 416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58 921 580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6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61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Система водоотведения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21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2 185 346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4 438 560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4 831 666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6 721 149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4 651 781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38 838 173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61 666 675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6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61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Система электроснабжения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861 862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389 991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82 544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118 053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111 131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2 855 020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4 418 602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6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961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Система газоснабжения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138 157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153 556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75 520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50 130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103 898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701 984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1 223 245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6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961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Сфера обращения с ТКО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1 062 578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1 171 467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1 134 344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2 042 939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2 145 187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3 390 146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10 946 661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bottom w:val="single" w:color="auto" w:sz="4" w:space="0"/>
            </w:tcBorders>
            <w:tcW w:w="26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  <w:right w:val="single" w:color="auto" w:sz="4" w:space="0"/>
            </w:tcBorders>
            <w:tcW w:w="961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Итого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21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10 736 320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15 180 685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14 744 572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18 347 100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13 976 713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8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96 071 637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8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169 057 027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6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61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Система ливневой канализации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tcW w:w="521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9 993 106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9 993 106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10 442 796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22 087 196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22 992 771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tcW w:w="58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57 465 477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tcW w:w="58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132 974 451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</w:tcBorders>
            <w:tcW w:w="26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961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Система наружного освещения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21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701 204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57" w:type="dxa"/>
              <w:right w:w="57" w:type="dxa"/>
            </w:tcMar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560 457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2152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6 677 727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8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7 939 388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</w:tcBorders>
            <w:tcW w:w="26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961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Жилой фонд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21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2 823 603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2 477 036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2 107 463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591 329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623 910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8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4 494 766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8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13 118 106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</w:tcBorders>
            <w:tcW w:w="26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961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Здания бюджетной сферы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21" w:type="pct"/>
            <w:vAlign w:val="center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290 297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23" w:type="pct"/>
            <w:vAlign w:val="center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225 295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23" w:type="pct"/>
            <w:vAlign w:val="center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246 691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23" w:type="pct"/>
            <w:vAlign w:val="center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142 210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23" w:type="pct"/>
            <w:vAlign w:val="center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149 773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83" w:type="pct"/>
            <w:vAlign w:val="center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1 071 073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83" w:type="pct"/>
            <w:vAlign w:val="center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2 125 338</w:t>
            </w:r>
            <w:bookmarkEnd w:id="559"/>
            <w:r/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</w:tbl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Основной источник финансирования инвестиционных проектов предусматривается за счет собственных (кредитных) средств организаций коммунального комплекса (25,0 %) с возвратом вложений через т</w:t>
      </w:r>
      <w:r>
        <w:rPr>
          <w:sz w:val="28"/>
          <w:szCs w:val="28"/>
        </w:rPr>
        <w:t xml:space="preserve">ариф, за счет платы за подключение к системам коммунальной инфраструктуры – 12,7 %, за счет средств бюджетов всех уровней – 4,3 % и прочих источников – 4,1 %. Для 53,9 % объемов финансовой потребности (91,1 млрд руб.) источник финансирования не определен. </w:t>
      </w:r>
      <w:bookmarkStart w:id="560" w:name="_Hlk178173043"/>
      <w:r>
        <w:rPr>
          <w:sz w:val="28"/>
          <w:szCs w:val="28"/>
        </w:rPr>
        <w:t xml:space="preserve">Возложение данных затрат на организации коммунального комплекс</w:t>
      </w:r>
      <w:r>
        <w:rPr>
          <w:sz w:val="28"/>
          <w:szCs w:val="28"/>
        </w:rPr>
        <w:t xml:space="preserve">а невозможно ввиду действующих ограничений на рост тарифа или резкого увеличения тарифа при введении частных инвесторов путем заключения концессионных соглашений, что приведет к низкой доступности тарифов на коммунальные услуги для большого числа граждан. </w:t>
      </w:r>
      <w:bookmarkEnd w:id="560"/>
      <w:r>
        <w:rPr>
          <w:sz w:val="28"/>
          <w:szCs w:val="28"/>
        </w:rPr>
        <w:t xml:space="preserve">Одним из вариантов подразумевается бюджетное субсидирование (</w:t>
      </w:r>
      <w:r>
        <w:rPr>
          <w:sz w:val="28"/>
          <w:szCs w:val="28"/>
        </w:rPr>
        <w:t xml:space="preserve">софинансирование</w:t>
      </w:r>
      <w:r>
        <w:rPr>
          <w:sz w:val="28"/>
          <w:szCs w:val="28"/>
        </w:rPr>
        <w:t xml:space="preserve">) для крупных инфраструктурных проектов, а также для мероприятий, входящих в зону ответственности ОМС.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/>
      <w:bookmarkStart w:id="561" w:name="_Hlk168643278"/>
      <w:r>
        <w:rPr>
          <w:sz w:val="28"/>
          <w:szCs w:val="28"/>
        </w:rPr>
        <w:t xml:space="preserve">Графически распределение Программы по источникам финансирования представлено на рисунке 6.2.</w:t>
      </w:r>
      <w:r>
        <w:rPr>
          <w:sz w:val="28"/>
          <w:szCs w:val="28"/>
        </w:rPr>
      </w:r>
    </w:p>
    <w:p>
      <w:pPr>
        <w:pStyle w:val="98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8"/>
        <w:keepLines w:val="0"/>
        <w:keepNext w:val="0"/>
        <w:rPr>
          <w:sz w:val="28"/>
          <w:szCs w:val="28"/>
        </w:rPr>
      </w:pPr>
      <w:r/>
      <w:bookmarkStart w:id="562" w:name="_Hlk168643290"/>
      <w:r/>
      <w:bookmarkEnd w:id="561"/>
      <w:r/>
      <w:r>
        <w:rPr>
          <w:sz w:val="28"/>
          <w:szCs w:val="28"/>
        </w:rPr>
      </w:r>
    </w:p>
    <w:p>
      <w:pPr>
        <w:pStyle w:val="989"/>
        <w:rPr>
          <w:highlight w:val="green"/>
        </w:rPr>
      </w:pPr>
      <w:r>
        <w:rPr>
          <w:lang w:eastAsia="ko-KR"/>
        </w:rPr>
        <w:drawing>
          <wp:inline distT="0" distB="0" distL="0" distR="0">
            <wp:extent cx="6299835" cy="3521710"/>
            <wp:effectExtent l="0" t="0" r="5715" b="2540"/>
            <wp:docPr id="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highlight w:val="green"/>
        </w:rPr>
      </w:r>
    </w:p>
    <w:p>
      <w:pPr>
        <w:pStyle w:val="968"/>
        <w:keepLines w:val="0"/>
        <w:keepNext w:val="0"/>
        <w:rPr>
          <w:sz w:val="28"/>
          <w:szCs w:val="28"/>
        </w:rPr>
      </w:pPr>
      <w:r>
        <w:rPr>
          <w:sz w:val="28"/>
          <w:szCs w:val="28"/>
        </w:rPr>
        <w:t xml:space="preserve">Рисунок 6.2 – Распределение Программы по источникам финансирования</w:t>
      </w:r>
      <w:bookmarkEnd w:id="562"/>
      <w:r/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Основные финансовые потребности необходимы для реализации мероприятий, реализуемых в целях повышения надежности предоставления коммунальной услуги, – 63,3 %, в целях присоединения новых потребите</w:t>
      </w:r>
      <w:r>
        <w:rPr>
          <w:sz w:val="28"/>
          <w:szCs w:val="28"/>
        </w:rPr>
        <w:t xml:space="preserve">лей – 21,7 %, в целях улучшения санитарного состояния территорий и экологической обстановки – 10,3 %, в целях повышения энергосбережения и повышения энергетической эффективности – 4,5 % и повышения безопасности и улучшения производственных условий – 0,2 %.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Объемы финансовых потребностей на реализацию мероприятий, запланированных в рамках бюджета города Перми, представлены в таблице 6.2.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567" w:footer="567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44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Таблица 6.2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Объемы финансовых потребностей на реализацию мероприятий, запланированных в рамках бюджета города Перми</w:t>
      </w:r>
      <w:r>
        <w:rPr>
          <w:b/>
          <w:bCs/>
          <w:sz w:val="28"/>
          <w:szCs w:val="28"/>
        </w:rPr>
      </w:r>
    </w:p>
    <w:tbl>
      <w:tblPr>
        <w:tblStyle w:val="988"/>
        <w:tblW w:w="5000" w:type="pct"/>
        <w:tblLook w:val="04A0" w:firstRow="1" w:lastRow="0" w:firstColumn="1" w:lastColumn="0" w:noHBand="0" w:noVBand="1"/>
      </w:tblPr>
      <w:tblGrid>
        <w:gridCol w:w="717"/>
        <w:gridCol w:w="3454"/>
        <w:gridCol w:w="1295"/>
        <w:gridCol w:w="1295"/>
        <w:gridCol w:w="1295"/>
        <w:gridCol w:w="1440"/>
        <w:gridCol w:w="5290"/>
      </w:tblGrid>
      <w:tr>
        <w:tblPrEx/>
        <w:trPr>
          <w:trHeight w:val="20"/>
          <w:tblHeader/>
        </w:trPr>
        <w:tc>
          <w:tcPr>
            <w:shd w:val="clear" w:color="auto" w:fill="auto"/>
            <w:tcW w:w="242" w:type="pct"/>
            <w:vMerge w:val="restart"/>
            <w:textDirection w:val="lrTb"/>
            <w:noWrap w:val="false"/>
          </w:tcPr>
          <w:p>
            <w:pPr>
              <w:ind w:left="-117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68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 мероприятия</w:t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shd w:val="clear" w:color="auto" w:fill="auto"/>
            <w:tcW w:w="1801" w:type="pct"/>
            <w:textDirection w:val="lrTb"/>
            <w:noWrap w:val="false"/>
          </w:tcPr>
          <w:p>
            <w:pPr>
              <w:ind w:left="-107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Объемы финансовых потребностей на реализацию мероприятий в рамках бюджета города Перми, тыс. руб.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89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проведения (документ)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  <w:tblHeader/>
        </w:trPr>
        <w:tc>
          <w:tcPr>
            <w:shd w:val="clear" w:color="auto" w:fill="auto"/>
            <w:tcW w:w="24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6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3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3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3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8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spacing w:line="48" w:lineRule="auto"/>
      </w:pPr>
      <w:r/>
      <w:r/>
    </w:p>
    <w:tbl>
      <w:tblPr>
        <w:tblStyle w:val="988"/>
        <w:tblW w:w="5000" w:type="pct"/>
        <w:tblLook w:val="04A0" w:firstRow="1" w:lastRow="0" w:firstColumn="1" w:lastColumn="0" w:noHBand="0" w:noVBand="1"/>
      </w:tblPr>
      <w:tblGrid>
        <w:gridCol w:w="717"/>
        <w:gridCol w:w="3454"/>
        <w:gridCol w:w="1295"/>
        <w:gridCol w:w="1295"/>
        <w:gridCol w:w="1295"/>
        <w:gridCol w:w="1440"/>
        <w:gridCol w:w="5290"/>
      </w:tblGrid>
      <w:tr>
        <w:tblPrEx/>
        <w:trPr>
          <w:trHeight w:val="20"/>
          <w:tblHeader/>
        </w:trPr>
        <w:tc>
          <w:tcPr>
            <w:shd w:val="clear" w:color="auto" w:fill="auto"/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6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3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3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3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8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  <w:tc>
          <w:tcPr>
            <w:gridSpan w:val="6"/>
            <w:shd w:val="clear" w:color="auto" w:fill="auto"/>
            <w:tcW w:w="4758" w:type="pct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Система теплоснабжения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6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3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3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3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8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</w:p>
        </w:tc>
        <w:tc>
          <w:tcPr>
            <w:gridSpan w:val="6"/>
            <w:shd w:val="clear" w:color="auto" w:fill="auto"/>
            <w:tcW w:w="4758" w:type="pct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Система водоснабжения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6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Присоединение новых потребителей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(мероприятия, предусматривающие подключение к ЦВС земельных участков, выделенных многодетным семьям)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3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3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80 000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3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100 530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180 530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8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города Перми от 20.10.2021 № 924 «Об утверждении муниципальной программы «Развитие системы жилищно-коммунального хозяйства в городе Перми»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6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качества и надежности предоставления коммунальной услуги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3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3 164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3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32 497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3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85 662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8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города Перми от 20.10.2021 № 924 «Об утверждении муниципальной программы «Развитие системы жилищно-коммунального хозяйства в городе Перми»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</w:p>
        </w:tc>
        <w:tc>
          <w:tcPr>
            <w:gridSpan w:val="6"/>
            <w:shd w:val="clear" w:color="auto" w:fill="auto"/>
            <w:tcW w:w="4758" w:type="pct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Система водоотведения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6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Улучшение экологической ситуации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3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3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  <w:t xml:space="preserve">96 899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3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  <w:t xml:space="preserve">301 616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398 515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8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города Перми от 20.10.2021 № 924 «Об утверждении муниципальной программы «Развитие системы жилищно-коммунального хозяйства в городе Перми»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6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Энергосбережение и повышение энергетической эффективности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3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3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43 764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3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43 764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8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города Перми от 20.10.2021 № 924 «Об утверждении муниципальной программы «Развитие системы жилищно-коммунального хозяйства в городе Перми»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</w:p>
        </w:tc>
        <w:tc>
          <w:tcPr>
            <w:gridSpan w:val="6"/>
            <w:shd w:val="clear" w:color="auto" w:fill="auto"/>
            <w:tcW w:w="4758" w:type="pct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Система электроснабжения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6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3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3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3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8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</w:p>
        </w:tc>
        <w:tc>
          <w:tcPr>
            <w:gridSpan w:val="6"/>
            <w:shd w:val="clear" w:color="auto" w:fill="auto"/>
            <w:tcW w:w="4758" w:type="pct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Система газоснабжения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6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3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3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3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8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</w:p>
        </w:tc>
        <w:tc>
          <w:tcPr>
            <w:gridSpan w:val="6"/>
            <w:shd w:val="clear" w:color="auto" w:fill="auto"/>
            <w:tcW w:w="4758" w:type="pct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Система обращения с ТКО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6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Улучшение экологической ситуации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107 732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63 793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63 293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234 818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178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города Перми от 20.10.2021 № 924 «Об утверждении муниципальной программы «Развитие системы жилищно-коммунального хозяйства в городе Перми» (подпрограмма 1.2 «Обеспечение санитарно-эпидемиологических требований законодательства»)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</w:p>
        </w:tc>
        <w:tc>
          <w:tcPr>
            <w:gridSpan w:val="6"/>
            <w:shd w:val="clear" w:color="auto" w:fill="auto"/>
            <w:tcW w:w="4758" w:type="pct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Система наружного освещения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6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Энергосбережение и повышение энергетической эффективности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3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278 646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3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128 902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3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129 612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537 160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8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города Перми от 20.10.2021 № 922 «Об утверждении муниципальной программы «Развитие автомобильных дорог и дорожных сооружений в городе Перми»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6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Энергосбережение и повышение энергетической эффективности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3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60 798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3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56 021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3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116 819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8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города Перми от 20.10.2021 № 914 «Об утверждении муниципальной программы «Благоустройство города Перми»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6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Энергосбережение и повышение энергетической эффективности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3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96 316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3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35 000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3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35 000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166 316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8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города Перми от 20.10.2021 № 917 «Об утверждении муниципальной программы «Организация дорожной деятельности в городе Перми»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</w:p>
        </w:tc>
        <w:tc>
          <w:tcPr>
            <w:gridSpan w:val="6"/>
            <w:shd w:val="clear" w:color="auto" w:fill="auto"/>
            <w:tcW w:w="4758" w:type="pct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 xml:space="preserve">В зданиях бюджетной сферы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6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Энергосбережение и повышение энергетической эффективности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3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162 700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3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125 705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3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162 347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450 752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89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города Перми от 20.10.2021 № 919 «Об утверждении муниципальной программы «Культура города Перми»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6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Энергосбережение и повышение энергетической эффективности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3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117 097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3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99 589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38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84 344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8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301 030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89" w:type="pct"/>
            <w:textDirection w:val="lrTb"/>
            <w:noWrap w:val="false"/>
          </w:tcPr>
          <w:p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города Перми от 19.10.2021 № 893 «Об утверждении муниципальной программы «Развитие физической культуры и спорта города Перми»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</w:p>
        </w:tc>
        <w:tc>
          <w:tcPr>
            <w:gridSpan w:val="6"/>
            <w:shd w:val="clear" w:color="auto" w:fill="auto"/>
            <w:tcBorders>
              <w:bottom w:val="single" w:color="auto" w:sz="4" w:space="0"/>
            </w:tcBorders>
            <w:tcW w:w="4758" w:type="pct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жилом фонде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68" w:type="pct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3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3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3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87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right w:val="single" w:color="auto" w:sz="4" w:space="0"/>
            </w:tcBorders>
            <w:tcW w:w="1410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826 453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762 170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926 742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2 515 366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15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418" w:right="1134" w:bottom="567" w:left="1134" w:header="567" w:footer="567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44"/>
        <w:jc w:val="right"/>
        <w:rPr>
          <w:b/>
          <w:bCs/>
          <w:sz w:val="28"/>
          <w:szCs w:val="28"/>
        </w:rPr>
      </w:pPr>
      <w:r/>
      <w:bookmarkStart w:id="563" w:name="_Toc175216150"/>
      <w:r/>
      <w:bookmarkStart w:id="564" w:name="_Hlk168643567"/>
      <w:r>
        <w:rPr>
          <w:b/>
          <w:bCs/>
          <w:sz w:val="28"/>
          <w:szCs w:val="28"/>
        </w:rPr>
        <w:t xml:space="preserve">Таблица 6.3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Совокупные потребности в капитальных вложениях и источники инвестиций</w:t>
      </w:r>
      <w:bookmarkEnd w:id="563"/>
      <w:r/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98"/>
        <w:gridCol w:w="4549"/>
        <w:gridCol w:w="1172"/>
        <w:gridCol w:w="1172"/>
        <w:gridCol w:w="1172"/>
        <w:gridCol w:w="1172"/>
        <w:gridCol w:w="1172"/>
        <w:gridCol w:w="1178"/>
        <w:gridCol w:w="1284"/>
      </w:tblGrid>
      <w:tr>
        <w:tblPrEx/>
        <w:trPr>
          <w:trHeight w:val="20"/>
          <w:tblHeader/>
        </w:trPr>
        <w:tc>
          <w:tcPr>
            <w:shd w:val="clear" w:color="auto" w:fill="auto"/>
            <w:tcW w:w="729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Система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Показатель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gridSpan w:val="7"/>
            <w:shd w:val="clear" w:color="auto" w:fill="auto"/>
            <w:tcW w:w="276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Значение показателя, тыс. руб. (без НДС)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  <w:tblHeader/>
        </w:trPr>
        <w:tc>
          <w:tcPr>
            <w:shd w:val="clear" w:color="auto" w:fill="auto"/>
            <w:tcW w:w="72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2024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2025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2026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2027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2028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2029-2034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Всего</w:t>
            </w:r>
            <w:bookmarkEnd w:id="564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</w:tbl>
    <w:p>
      <w:pPr>
        <w:spacing w:line="72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98"/>
        <w:gridCol w:w="4549"/>
        <w:gridCol w:w="1172"/>
        <w:gridCol w:w="1172"/>
        <w:gridCol w:w="1172"/>
        <w:gridCol w:w="1172"/>
        <w:gridCol w:w="1172"/>
        <w:gridCol w:w="1178"/>
        <w:gridCol w:w="1284"/>
      </w:tblGrid>
      <w:tr>
        <w:tblPrEx/>
        <w:trPr>
          <w:trHeight w:val="20"/>
          <w:tblHeader/>
        </w:trPr>
        <w:tc>
          <w:tcPr>
            <w:shd w:val="clear" w:color="auto" w:fill="auto"/>
            <w:tcW w:w="7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Merge w:val="restar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Система теплоснабжения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Потребность в капитальных вложениях, в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т.ч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.: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3 759 506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3 572 357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2 335 645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3 147 945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2 320 914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16 743 898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31 880 265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собственные/кредитные средства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3 350 394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2 960 805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1 810 571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2 638 982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1 829 859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11 170 987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23 761 597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плата за подключение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409 112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611 551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525 075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508 963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491 055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5 572 911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8 118 668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бюджеты различных уровней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прочие источники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источник не определен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Merge w:val="restar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Система водоснабжения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Потребность в капитальных вложениях, в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т.ч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.: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2 728 870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5 454 755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6 284 853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6 266 884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4 643 801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33 542 416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58 921 580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собственные/кредитные средства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164 196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304 051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193 523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335 066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199 570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1 140 069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2 336 474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плата за подключение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1 679 499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975 116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1 770 797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676 911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256 397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487 464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5 846 184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бюджеты различных уровней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196 927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307 402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287 505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1 141 181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41 998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1 975 014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прочие источники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источник не определен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688 249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3 868 185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4 033 027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4 113 726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4 145 836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31 914 884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48 763 907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Merge w:val="restar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Система водоотведения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Потребность в капитальных вложениях, в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т.ч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.: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2 185 346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4 438 560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4 831 666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6 721 149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4 651 781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38 838 173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61 666 675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собственные/кредитные средства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368 935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255 876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299 765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176 014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313 129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2 193 277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3 606 997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плата за подключение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1 126 090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1 062 820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1 181 558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825 163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202 362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1 014 412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5 412 405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бюджеты различных уровней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227 122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560 197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827 404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2 075 279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782 026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577 338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5 049 366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прочие источники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410 451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899 651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441 462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663 440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746 804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3 809 105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6 970 912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bottom w:val="single" w:color="auto" w:sz="4" w:space="0"/>
            </w:tcBorders>
            <w:tcW w:w="729" w:type="pct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источник не определен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52 747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1 660 017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2 081 476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2 981 253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2 607 461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31 244 041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40 626 995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729" w:type="pct"/>
            <w:vMerge w:val="restar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Система электроснабжения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1509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Потребность в капитальных вложениях, в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т.ч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.: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861 862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389 991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82 544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118 053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111 131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2 855 020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4 418 602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72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собственные/кредитные средства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795 248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342 407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82 544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118 053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107 131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944 000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2 389 384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72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плата за подключение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66 614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47 584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4 000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1 911 020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2 029 218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72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бюджеты различных уровней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72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прочие источники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72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источник не определен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729" w:type="pct"/>
            <w:vMerge w:val="restar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Система газоснабжения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509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Потребность в капитальных вложениях, в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т.ч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.: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vAlign w:val="center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138 157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vAlign w:val="center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153 556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vAlign w:val="center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75 520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vAlign w:val="center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50 130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vAlign w:val="center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103 898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" w:type="pct"/>
            <w:vAlign w:val="center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701 984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vAlign w:val="center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1 223 245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729" w:type="pct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собственные/кредитные средства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vAlign w:val="center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78 809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vAlign w:val="center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25 923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vAlign w:val="center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47 921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vAlign w:val="center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50 130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vAlign w:val="center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63 088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" w:type="pct"/>
            <w:vAlign w:val="center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262 627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vAlign w:val="center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528 498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729" w:type="pct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плата за подключение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vAlign w:val="center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20 748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vAlign w:val="center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7 256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vAlign w:val="center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7 599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vAlign w:val="center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vAlign w:val="center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" w:type="pct"/>
            <w:vAlign w:val="center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65 256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vAlign w:val="center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100 859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729" w:type="pct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бюджеты различных уровней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vAlign w:val="center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vAlign w:val="center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vAlign w:val="center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vAlign w:val="center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vAlign w:val="center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" w:type="pct"/>
            <w:vAlign w:val="center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vAlign w:val="center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729" w:type="pct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прочие источники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vAlign w:val="center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38 600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vAlign w:val="center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vAlign w:val="center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vAlign w:val="center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vAlign w:val="center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" w:type="pct"/>
            <w:vAlign w:val="center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vAlign w:val="center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38 800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</w:tcBorders>
            <w:tcW w:w="729" w:type="pct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right w:val="single" w:color="auto" w:sz="4" w:space="0"/>
            </w:tcBorders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источник не определен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vAlign w:val="center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vAlign w:val="center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120 177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vAlign w:val="center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20 000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vAlign w:val="center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vAlign w:val="center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40 810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" w:type="pct"/>
            <w:vAlign w:val="center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374 101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vAlign w:val="center"/>
            <w:textDirection w:val="lrTb"/>
            <w:noWrap w:val="false"/>
          </w:tcPr>
          <w:p>
            <w:pPr>
              <w:ind w:left="-99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555 088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729" w:type="pct"/>
            <w:vMerge w:val="restar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Сфера обращения с ТКО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509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Потребность в капитальных вложениях, в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т.ч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.: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1 062 578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1 171 467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1 134 344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2 042 939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2 145 187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3 390 146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10 946 661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</w:tcBorders>
            <w:tcW w:w="72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right w:val="single" w:color="auto" w:sz="4" w:space="0"/>
            </w:tcBorders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собственные/кредитные средства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913 839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1 107 674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1 071 051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1 963 434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2 116 706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2 392 358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9 565 062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плата за подключение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бюджеты различных уровней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148 739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63 793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63 293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275 825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прочие источники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источник не определен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79 505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28 481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997 788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1 105 774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Система ливневой канализации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509" w:type="pct"/>
            <w:textDirection w:val="lrTb"/>
            <w:noWrap w:val="false"/>
          </w:tcPr>
          <w:p>
            <w:pPr>
              <w:ind w:right="-13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Потребность в капитальных вложениях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9 993 106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9 993 106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10 442 796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22 087 196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22 992 771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57 465 447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132 974 451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Система наружного освещения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509" w:type="pct"/>
            <w:textDirection w:val="lrTb"/>
            <w:noWrap w:val="false"/>
          </w:tcPr>
          <w:p>
            <w:pPr>
              <w:ind w:right="-13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Потребность в капитальных вложениях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701 204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560 457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6 677 727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7 939 388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Жилой фонд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509" w:type="pct"/>
            <w:textDirection w:val="lrTb"/>
            <w:noWrap w:val="false"/>
          </w:tcPr>
          <w:p>
            <w:pPr>
              <w:ind w:right="-13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Потребность в капитальных вложениях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2 823 603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2 477 036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2 107 463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591 329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623 910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4 494 766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13 118 106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Здания бюджетной сферы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509" w:type="pct"/>
            <w:textDirection w:val="lrTb"/>
            <w:noWrap w:val="false"/>
          </w:tcPr>
          <w:p>
            <w:pPr>
              <w:ind w:right="-13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Потребность в капитальных вложениях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290 297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225 295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246 691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142 210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149 773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1 071 073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2 125 338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Merge w:val="restar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Итого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509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Потребность в капитальных вложениях, в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т.ч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.: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10 736 320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15 180 685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14 744 572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18 347 100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13 976 713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96 071 637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169 057 027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/>
            <w:bookmarkStart w:id="565" w:name="RANGE!D258:D262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собственные/кредитные средства</w:t>
            </w:r>
            <w:bookmarkEnd w:id="565"/>
            <w:r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5 671 422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4 996 736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3 505 375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5 281 679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4 629 483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18 103 318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42 188 013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плата за подключение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3 302 062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2 704 328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3 485 029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2 011 037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953 814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9 051 063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21 507 334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бюджеты различных уровней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572 788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931 392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1 178 202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3 216 460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824 024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577 338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7 300 204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прочие источники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449 051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899 851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441 462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663 440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746 804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3 809 105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7 009 712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источник не определен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740 996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5 648 379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6 134 504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7 174 484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6 822 588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64 530 813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91 051 764</w:t>
            </w: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ind w:firstLine="709"/>
        <w:rPr>
          <w:rFonts w:cs="Arial Unicode MS"/>
          <w:i/>
          <w:color w:val="000000"/>
          <w:lang w:eastAsia="en-US"/>
        </w:rPr>
      </w:pPr>
      <w:r>
        <w:rPr>
          <w:rFonts w:cs="Arial Unicode MS"/>
          <w:i/>
          <w:color w:val="000000"/>
          <w:lang w:eastAsia="en-US"/>
        </w:rPr>
      </w:r>
      <w:r>
        <w:rPr>
          <w:rFonts w:cs="Arial Unicode MS"/>
          <w:i/>
          <w:color w:val="000000"/>
          <w:lang w:eastAsia="en-US"/>
        </w:rPr>
      </w:r>
    </w:p>
    <w:p>
      <w:pPr>
        <w:ind w:firstLine="709"/>
        <w:rPr>
          <w:rFonts w:cs="Arial Unicode MS"/>
          <w:iCs/>
          <w:color w:val="000000"/>
          <w:lang w:eastAsia="en-US"/>
        </w:rPr>
      </w:pPr>
      <w:r>
        <w:rPr>
          <w:rFonts w:cs="Arial Unicode MS"/>
          <w:iCs/>
          <w:color w:val="000000"/>
          <w:lang w:eastAsia="en-US"/>
        </w:rPr>
        <w:t xml:space="preserve">---------------------------</w:t>
      </w:r>
      <w:r>
        <w:rPr>
          <w:rFonts w:cs="Arial Unicode MS"/>
          <w:iCs/>
          <w:color w:val="000000"/>
          <w:lang w:eastAsia="en-US"/>
        </w:rPr>
      </w:r>
    </w:p>
    <w:p>
      <w:pPr>
        <w:ind w:firstLine="709"/>
        <w:jc w:val="both"/>
        <w:rPr>
          <w:iCs/>
        </w:rPr>
      </w:pPr>
      <w:r>
        <w:rPr>
          <w:iCs/>
        </w:rPr>
        <w:t xml:space="preserve">1. Без учета капитальных вложений по системе ливневой канализации, системе наружного освещения, многоквартирным домам, общественно-деловым зданиям.</w:t>
      </w:r>
      <w:r>
        <w:rPr>
          <w:iCs/>
        </w:rPr>
      </w:r>
    </w:p>
    <w:p>
      <w:pPr>
        <w:pStyle w:val="985"/>
      </w:pPr>
      <w:r/>
      <w:r/>
    </w:p>
    <w:p>
      <w:pPr>
        <w:pStyle w:val="985"/>
        <w:sectPr>
          <w:footnotePr/>
          <w:endnotePr/>
          <w:type w:val="nextPage"/>
          <w:pgSz w:w="16838" w:h="11906" w:orient="landscape"/>
          <w:pgMar w:top="1134" w:right="567" w:bottom="1134" w:left="1418" w:header="567" w:footer="567" w:gutter="0"/>
          <w:cols w:num="1" w:sep="0" w:space="708" w:equalWidth="1"/>
          <w:docGrid w:linePitch="360"/>
        </w:sectPr>
      </w:pPr>
      <w:r/>
      <w:r/>
    </w:p>
    <w:p>
      <w:pPr>
        <w:pStyle w:val="1544"/>
        <w:rPr>
          <w:b/>
          <w:bCs/>
          <w:sz w:val="28"/>
          <w:szCs w:val="28"/>
        </w:rPr>
      </w:pPr>
      <w:r/>
      <w:bookmarkStart w:id="566" w:name="_Toc119947535"/>
      <w:r/>
      <w:bookmarkStart w:id="567" w:name="_Toc175216068"/>
      <w:r>
        <w:rPr>
          <w:b/>
          <w:bCs/>
          <w:sz w:val="28"/>
          <w:szCs w:val="28"/>
        </w:rPr>
        <w:t xml:space="preserve">6.2. Динамика уровней тарифов</w:t>
      </w:r>
      <w:bookmarkEnd w:id="566"/>
      <w:r/>
      <w:bookmarkEnd w:id="567"/>
      <w:r/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70"/>
        <w:rPr>
          <w:sz w:val="28"/>
          <w:szCs w:val="28"/>
        </w:rPr>
      </w:pPr>
      <w:r/>
      <w:bookmarkStart w:id="568" w:name="_Hlk168644478"/>
      <w:r>
        <w:rPr>
          <w:sz w:val="28"/>
          <w:szCs w:val="28"/>
        </w:rPr>
        <w:t xml:space="preserve">Прогноз динамики уровней тарифов по каждой системе коммунальной инфраструктуры выполнен исход</w:t>
      </w:r>
      <w:r>
        <w:rPr>
          <w:sz w:val="28"/>
          <w:szCs w:val="28"/>
        </w:rPr>
        <w:t xml:space="preserve">я из долгосрочных параметров государственного регулирования цен (тарифов) и долгосрочных параметров развития экономики с учетом реализации мероприятий, предусмотренных в рамках Программы, а также действующих тарифов, утвержденных уполномоченными органами (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_Ref166579608 \h  \* MERGEFORMAT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6.4). Прогнозный уровень тарифов приводится для категории «население» и приравненных к ним категорий в виде среднегодовых средневзвешенных значений для всего муниципального образования.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Динамика уровней цен и тарифов конкретно по каждой коммунальной организации и их обоснование приводятся в обосновывающих материалах. Прогнозная динамик</w:t>
      </w:r>
      <w:r>
        <w:rPr>
          <w:sz w:val="28"/>
          <w:szCs w:val="28"/>
        </w:rPr>
        <w:t xml:space="preserve">а уровней тарифов конкретно по системе коммунальной инфраструктуры и их обоснование приводятся в обосновывающих материалах, в том числе для водоснабжения и водоотведения предусмотрены три варианта тарифов, учитывающих различный уровень капитальных вложений</w:t>
      </w:r>
      <w:bookmarkEnd w:id="568"/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pStyle w:val="985"/>
        <w:sectPr>
          <w:footnotePr/>
          <w:endnotePr/>
          <w:type w:val="nextPage"/>
          <w:pgSz w:w="11906" w:h="16838" w:orient="portrait"/>
          <w:pgMar w:top="1134" w:right="567" w:bottom="1134" w:left="1418" w:header="567" w:footer="567" w:gutter="0"/>
          <w:cols w:num="1" w:sep="0" w:space="708" w:equalWidth="1"/>
          <w:docGrid w:linePitch="360"/>
        </w:sectPr>
      </w:pPr>
      <w:r/>
      <w:r/>
    </w:p>
    <w:p>
      <w:pPr>
        <w:pStyle w:val="1544"/>
        <w:jc w:val="right"/>
        <w:rPr>
          <w:b/>
          <w:bCs/>
          <w:sz w:val="28"/>
          <w:szCs w:val="28"/>
        </w:rPr>
      </w:pPr>
      <w:r/>
      <w:bookmarkStart w:id="569" w:name="_Ref166579608"/>
      <w:r/>
      <w:bookmarkStart w:id="570" w:name="_Toc175216151"/>
      <w:r/>
      <w:bookmarkStart w:id="571" w:name="_Hlk168644378"/>
      <w:r>
        <w:rPr>
          <w:b/>
          <w:bCs/>
          <w:sz w:val="28"/>
          <w:szCs w:val="28"/>
        </w:rPr>
        <w:t xml:space="preserve">Таблица </w:t>
      </w:r>
      <w:bookmarkEnd w:id="569"/>
      <w:r>
        <w:rPr>
          <w:b/>
          <w:bCs/>
          <w:sz w:val="28"/>
          <w:szCs w:val="28"/>
        </w:rPr>
        <w:t xml:space="preserve">6.4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Прогноз динамики уровней цен и тарифов по каждой системе коммунальной инфраструктуры для населения</w:t>
      </w:r>
      <w:bookmarkEnd w:id="570"/>
      <w:r/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18"/>
        <w:gridCol w:w="7129"/>
        <w:gridCol w:w="1556"/>
        <w:gridCol w:w="935"/>
        <w:gridCol w:w="934"/>
        <w:gridCol w:w="934"/>
        <w:gridCol w:w="934"/>
        <w:gridCol w:w="934"/>
        <w:gridCol w:w="895"/>
      </w:tblGrid>
      <w:tr>
        <w:tblPrEx/>
        <w:trPr>
          <w:trHeight w:val="20"/>
          <w:tblHeader/>
        </w:trPr>
        <w:tc>
          <w:tcPr>
            <w:shd w:val="clear" w:color="auto" w:fill="ffffff" w:themeFill="background1"/>
            <w:tcW w:w="271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/>
            <w:bookmarkStart w:id="572" w:name="_Hlk141430712"/>
            <w:r/>
            <w:bookmarkEnd w:id="571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№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2365" w:type="pct"/>
            <w:vAlign w:val="center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Наименование показателя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516" w:type="pct"/>
            <w:vAlign w:val="center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Ед. изм.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10" w:type="pct"/>
            <w:vAlign w:val="center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10" w:type="pct"/>
            <w:vAlign w:val="center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10" w:type="pct"/>
            <w:vAlign w:val="center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10" w:type="pct"/>
            <w:vAlign w:val="center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10" w:type="pct"/>
            <w:vAlign w:val="center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297" w:type="pct"/>
            <w:vAlign w:val="center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2034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ffffff" w:themeFill="background1"/>
            <w:tcW w:w="27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2365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Среднегодовой тариф на холодную воду для населения (с НДС)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51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руб./куб. м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10" w:type="pct"/>
            <w:textDirection w:val="lrTb"/>
            <w:noWrap w:val="false"/>
          </w:tcPr>
          <w:p>
            <w:pPr>
              <w:ind w:left="-104" w:right="-11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38,75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10" w:type="pct"/>
            <w:textDirection w:val="lrTb"/>
            <w:noWrap w:val="false"/>
          </w:tcPr>
          <w:p>
            <w:pPr>
              <w:ind w:left="-104" w:right="-11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41,58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10" w:type="pct"/>
            <w:textDirection w:val="lrTb"/>
            <w:noWrap w:val="false"/>
          </w:tcPr>
          <w:p>
            <w:pPr>
              <w:ind w:left="-104" w:right="-11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43,20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10" w:type="pct"/>
            <w:textDirection w:val="lrTb"/>
            <w:noWrap w:val="false"/>
          </w:tcPr>
          <w:p>
            <w:pPr>
              <w:ind w:left="-104" w:right="-11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44,88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10" w:type="pct"/>
            <w:textDirection w:val="lrTb"/>
            <w:noWrap w:val="false"/>
          </w:tcPr>
          <w:p>
            <w:pPr>
              <w:ind w:left="-104" w:right="-11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46,64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297" w:type="pct"/>
            <w:textDirection w:val="lrTb"/>
            <w:noWrap w:val="false"/>
          </w:tcPr>
          <w:p>
            <w:pPr>
              <w:ind w:left="-104" w:right="-11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58,67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ffffff" w:themeFill="background1"/>
            <w:tcW w:w="27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2365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Среднегодовой тариф на услуги водоотведения для населения (с НДС)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51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руб./куб. м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10" w:type="pct"/>
            <w:textDirection w:val="lrTb"/>
            <w:noWrap w:val="false"/>
          </w:tcPr>
          <w:p>
            <w:pPr>
              <w:ind w:left="-104" w:right="-11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34,06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10" w:type="pct"/>
            <w:textDirection w:val="lrTb"/>
            <w:noWrap w:val="false"/>
          </w:tcPr>
          <w:p>
            <w:pPr>
              <w:ind w:left="-104" w:right="-11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36,55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10" w:type="pct"/>
            <w:textDirection w:val="lrTb"/>
            <w:noWrap w:val="false"/>
          </w:tcPr>
          <w:p>
            <w:pPr>
              <w:ind w:left="-104" w:right="-11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37,97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10" w:type="pct"/>
            <w:textDirection w:val="lrTb"/>
            <w:noWrap w:val="false"/>
          </w:tcPr>
          <w:p>
            <w:pPr>
              <w:ind w:left="-104" w:right="-11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39,45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10" w:type="pct"/>
            <w:textDirection w:val="lrTb"/>
            <w:noWrap w:val="false"/>
          </w:tcPr>
          <w:p>
            <w:pPr>
              <w:ind w:left="-104" w:right="-11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40,99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297" w:type="pct"/>
            <w:textDirection w:val="lrTb"/>
            <w:noWrap w:val="false"/>
          </w:tcPr>
          <w:p>
            <w:pPr>
              <w:ind w:left="-104" w:right="-11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51,57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ffffff" w:themeFill="background1"/>
            <w:tcW w:w="27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2365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Среднегодовой единый тариф в сфере обращения с ТКО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51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руб./куб. м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10" w:type="pct"/>
            <w:textDirection w:val="lrTb"/>
            <w:noWrap w:val="false"/>
          </w:tcPr>
          <w:p>
            <w:pPr>
              <w:ind w:left="-104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114,75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10" w:type="pct"/>
            <w:textDirection w:val="lrTb"/>
            <w:noWrap w:val="false"/>
          </w:tcPr>
          <w:p>
            <w:pPr>
              <w:ind w:left="-104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123,13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10" w:type="pct"/>
            <w:textDirection w:val="lrTb"/>
            <w:noWrap w:val="false"/>
          </w:tcPr>
          <w:p>
            <w:pPr>
              <w:ind w:left="-104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127,93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10" w:type="pct"/>
            <w:textDirection w:val="lrTb"/>
            <w:noWrap w:val="false"/>
          </w:tcPr>
          <w:p>
            <w:pPr>
              <w:ind w:left="-104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132,92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10" w:type="pct"/>
            <w:textDirection w:val="lrTb"/>
            <w:noWrap w:val="false"/>
          </w:tcPr>
          <w:p>
            <w:pPr>
              <w:ind w:left="-104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138,10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297" w:type="pct"/>
            <w:textDirection w:val="lrTb"/>
            <w:noWrap w:val="false"/>
          </w:tcPr>
          <w:p>
            <w:pPr>
              <w:ind w:left="-104" w:right="-11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173,74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ffffff" w:themeFill="background1"/>
            <w:tcW w:w="27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2365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Цены на тепловую энергию, поставляемую потребителям (с НДС) 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51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руб./Гкал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10" w:type="pct"/>
            <w:textDirection w:val="lrTb"/>
            <w:noWrap w:val="false"/>
          </w:tcPr>
          <w:p>
            <w:pPr>
              <w:ind w:left="-104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2 111,94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10" w:type="pct"/>
            <w:textDirection w:val="lrTb"/>
            <w:noWrap w:val="false"/>
          </w:tcPr>
          <w:p>
            <w:pPr>
              <w:ind w:left="-104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2 296,79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10" w:type="pct"/>
            <w:textDirection w:val="lrTb"/>
            <w:noWrap w:val="false"/>
          </w:tcPr>
          <w:p>
            <w:pPr>
              <w:ind w:left="-104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2 467,19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10" w:type="pct"/>
            <w:textDirection w:val="lrTb"/>
            <w:noWrap w:val="false"/>
          </w:tcPr>
          <w:p>
            <w:pPr>
              <w:ind w:left="-104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2 649,77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10" w:type="pct"/>
            <w:textDirection w:val="lrTb"/>
            <w:noWrap w:val="false"/>
          </w:tcPr>
          <w:p>
            <w:pPr>
              <w:ind w:left="-104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2 845,85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297" w:type="pct"/>
            <w:textDirection w:val="lrTb"/>
            <w:noWrap w:val="false"/>
          </w:tcPr>
          <w:p>
            <w:pPr>
              <w:ind w:left="-104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4 278,55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ffffff" w:themeFill="background1"/>
            <w:tcW w:w="27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2365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Среднегодовой тариф в сфере электроснабжения для населения (с НДС) 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51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руб./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кВт·ч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10" w:type="pct"/>
            <w:textDirection w:val="lrTb"/>
            <w:noWrap w:val="false"/>
          </w:tcPr>
          <w:p>
            <w:pPr>
              <w:ind w:left="-104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4,98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10" w:type="pct"/>
            <w:textDirection w:val="lrTb"/>
            <w:noWrap w:val="false"/>
          </w:tcPr>
          <w:p>
            <w:pPr>
              <w:ind w:left="-104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10" w:type="pct"/>
            <w:textDirection w:val="lrTb"/>
            <w:noWrap w:val="false"/>
          </w:tcPr>
          <w:p>
            <w:pPr>
              <w:ind w:left="-104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5,45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10" w:type="pct"/>
            <w:textDirection w:val="lrTb"/>
            <w:noWrap w:val="false"/>
          </w:tcPr>
          <w:p>
            <w:pPr>
              <w:ind w:left="-104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5,66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10" w:type="pct"/>
            <w:textDirection w:val="lrTb"/>
            <w:noWrap w:val="false"/>
          </w:tcPr>
          <w:p>
            <w:pPr>
              <w:ind w:left="-104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5,87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297" w:type="pct"/>
            <w:textDirection w:val="lrTb"/>
            <w:noWrap w:val="false"/>
          </w:tcPr>
          <w:p>
            <w:pPr>
              <w:ind w:left="-104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7,34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ffffff" w:themeFill="background1"/>
            <w:tcW w:w="27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2365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Среднегодовой тариф на коммунальные услуги по газоснабжению (с НДС)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51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руб./куб. м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10" w:type="pct"/>
            <w:textDirection w:val="lrTb"/>
            <w:noWrap w:val="false"/>
          </w:tcPr>
          <w:p>
            <w:pPr>
              <w:ind w:left="-104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6,36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10" w:type="pct"/>
            <w:textDirection w:val="lrTb"/>
            <w:noWrap w:val="false"/>
          </w:tcPr>
          <w:p>
            <w:pPr>
              <w:ind w:left="-104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6,71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10" w:type="pct"/>
            <w:textDirection w:val="lrTb"/>
            <w:noWrap w:val="false"/>
          </w:tcPr>
          <w:p>
            <w:pPr>
              <w:ind w:left="-104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6,96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10" w:type="pct"/>
            <w:textDirection w:val="lrTb"/>
            <w:noWrap w:val="false"/>
          </w:tcPr>
          <w:p>
            <w:pPr>
              <w:ind w:left="-104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7,22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10" w:type="pct"/>
            <w:textDirection w:val="lrTb"/>
            <w:noWrap w:val="false"/>
          </w:tcPr>
          <w:p>
            <w:pPr>
              <w:ind w:left="-104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7,50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297" w:type="pct"/>
            <w:textDirection w:val="lrTb"/>
            <w:noWrap w:val="false"/>
          </w:tcPr>
          <w:p>
            <w:pPr>
              <w:ind w:left="-104" w:right="-11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9,38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ffffff" w:themeFill="background1"/>
            <w:tcW w:w="271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2365" w:type="pct"/>
            <w:vMerge w:val="restar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Среднегодовой тариф (с НДС) на компонент на тепловую энергию для целей горячего водоснабжения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51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руб./Гкал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10" w:type="pct"/>
            <w:textDirection w:val="lrTb"/>
            <w:noWrap w:val="false"/>
          </w:tcPr>
          <w:p>
            <w:pPr>
              <w:ind w:left="-104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2 111,94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10" w:type="pct"/>
            <w:textDirection w:val="lrTb"/>
            <w:noWrap w:val="false"/>
          </w:tcPr>
          <w:p>
            <w:pPr>
              <w:ind w:left="-104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2 296,79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10" w:type="pct"/>
            <w:textDirection w:val="lrTb"/>
            <w:noWrap w:val="false"/>
          </w:tcPr>
          <w:p>
            <w:pPr>
              <w:ind w:left="-104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2 467,19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10" w:type="pct"/>
            <w:textDirection w:val="lrTb"/>
            <w:noWrap w:val="false"/>
          </w:tcPr>
          <w:p>
            <w:pPr>
              <w:ind w:left="-104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2 649,77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10" w:type="pct"/>
            <w:textDirection w:val="lrTb"/>
            <w:noWrap w:val="false"/>
          </w:tcPr>
          <w:p>
            <w:pPr>
              <w:ind w:left="-104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2 845,85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297" w:type="pct"/>
            <w:textDirection w:val="lrTb"/>
            <w:noWrap w:val="false"/>
          </w:tcPr>
          <w:p>
            <w:pPr>
              <w:ind w:left="-104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4 278,55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ffffff" w:themeFill="background1"/>
            <w:tcW w:w="2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236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51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руб./куб. м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10" w:type="pct"/>
            <w:textDirection w:val="lrTb"/>
            <w:noWrap w:val="false"/>
          </w:tcPr>
          <w:p>
            <w:pPr>
              <w:ind w:left="-104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38,75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10" w:type="pct"/>
            <w:textDirection w:val="lrTb"/>
            <w:noWrap w:val="false"/>
          </w:tcPr>
          <w:p>
            <w:pPr>
              <w:ind w:left="-104" w:right="-11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41,58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10" w:type="pct"/>
            <w:textDirection w:val="lrTb"/>
            <w:noWrap w:val="false"/>
          </w:tcPr>
          <w:p>
            <w:pPr>
              <w:ind w:left="-104" w:right="-11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43,20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10" w:type="pct"/>
            <w:textDirection w:val="lrTb"/>
            <w:noWrap w:val="false"/>
          </w:tcPr>
          <w:p>
            <w:pPr>
              <w:ind w:left="-104" w:right="-11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44,88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310" w:type="pct"/>
            <w:textDirection w:val="lrTb"/>
            <w:noWrap w:val="false"/>
          </w:tcPr>
          <w:p>
            <w:pPr>
              <w:ind w:left="-104" w:right="-11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46,64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297" w:type="pct"/>
            <w:textDirection w:val="lrTb"/>
            <w:noWrap w:val="false"/>
          </w:tcPr>
          <w:p>
            <w:pPr>
              <w:ind w:left="-104" w:right="-11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58,67</w:t>
            </w:r>
            <w:bookmarkEnd w:id="572"/>
            <w:r/>
            <w:r>
              <w:rPr>
                <w:sz w:val="20"/>
                <w:szCs w:val="20"/>
              </w:rPr>
            </w:r>
          </w:p>
        </w:tc>
      </w:tr>
    </w:tbl>
    <w:p>
      <w:pPr>
        <w:pStyle w:val="985"/>
        <w:sectPr>
          <w:footnotePr/>
          <w:endnotePr/>
          <w:type w:val="nextPage"/>
          <w:pgSz w:w="16838" w:h="11906" w:orient="landscape"/>
          <w:pgMar w:top="1134" w:right="567" w:bottom="1134" w:left="1418" w:header="567" w:footer="567" w:gutter="0"/>
          <w:cols w:num="1" w:sep="0" w:space="708" w:equalWidth="1"/>
          <w:docGrid w:linePitch="360"/>
        </w:sectPr>
      </w:pPr>
      <w:r/>
      <w:r/>
    </w:p>
    <w:p>
      <w:pPr>
        <w:pStyle w:val="1544"/>
        <w:rPr>
          <w:b/>
          <w:bCs/>
          <w:sz w:val="28"/>
          <w:szCs w:val="28"/>
        </w:rPr>
      </w:pPr>
      <w:r/>
      <w:bookmarkStart w:id="573" w:name="_Toc119947536"/>
      <w:r/>
      <w:bookmarkStart w:id="574" w:name="_Toc175216069"/>
      <w:r>
        <w:rPr>
          <w:b/>
          <w:bCs/>
          <w:sz w:val="28"/>
          <w:szCs w:val="28"/>
        </w:rPr>
        <w:t xml:space="preserve">6.3. Доступность программы для населения</w:t>
      </w:r>
      <w:bookmarkEnd w:id="573"/>
      <w:r/>
      <w:bookmarkEnd w:id="574"/>
      <w:r/>
      <w:r>
        <w:rPr>
          <w:b/>
          <w:bCs/>
          <w:sz w:val="28"/>
          <w:szCs w:val="28"/>
        </w:rPr>
      </w:r>
    </w:p>
    <w:p>
      <w:pPr>
        <w:pStyle w:val="154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Доступн</w:t>
      </w:r>
      <w:r>
        <w:rPr>
          <w:sz w:val="28"/>
          <w:szCs w:val="28"/>
        </w:rPr>
        <w:t xml:space="preserve">ость для потребителей товаров и услуг организаций коммунального комплекса характеризуется возможностью приобретения и оплаты потребителями соответствующих товаров и услуг организаций коммунального комплекса с учетом цен и надбавок к ценам для потребителей.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Оценка доступности для граждан прогнозируемой совокупной платы за потребляемые коммунальные услуги основана на объективных данных о платежеспособности населения</w:t>
      </w:r>
      <w:r>
        <w:rPr>
          <w:sz w:val="28"/>
          <w:szCs w:val="28"/>
        </w:rPr>
        <w:t xml:space="preserve">, которые должны лежать в основе формирования тарифной политики и определения необходимой и возможной бюджетной помощи на компенсацию мер социальной поддержки населения и на выплату субсидий малообеспеченным гражданам на оплату жилья и коммунальных услуг.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Обоснование доступности программы для населения приведено в обосновывающих материалах, в том числе с учетом трех вариантов тарифов по водоснабжению и водоотведению.</w:t>
      </w:r>
      <w:r>
        <w:rPr>
          <w:sz w:val="28"/>
          <w:szCs w:val="28"/>
        </w:rPr>
      </w:r>
    </w:p>
    <w:p>
      <w:pPr>
        <w:pStyle w:val="157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результате расчета совок</w:t>
      </w:r>
      <w:r>
        <w:rPr>
          <w:rFonts w:eastAsia="Calibri"/>
          <w:sz w:val="28"/>
          <w:szCs w:val="28"/>
        </w:rPr>
        <w:t xml:space="preserve">упного платежа граждан муниципального образования город Пермь за коммунальные услуги определена прогнозная доля расходов на жилищно-коммунальные услуги в совокупном доходе средней семьи и сформированы критерии доступности коммунальных услуг для населения (</w:t>
      </w:r>
      <w:r>
        <w:rPr>
          <w:rFonts w:eastAsia="Calibri"/>
          <w:sz w:val="28"/>
          <w:szCs w:val="28"/>
        </w:rPr>
        <w:fldChar w:fldCharType="begin"/>
      </w:r>
      <w:r>
        <w:rPr>
          <w:rFonts w:eastAsia="Calibri"/>
          <w:sz w:val="28"/>
          <w:szCs w:val="28"/>
        </w:rPr>
        <w:instrText xml:space="preserve"> REF _Ref166579919 \h  \* MERGEFORMAT </w:instrText>
      </w:r>
      <w:r>
        <w:rPr>
          <w:rFonts w:eastAsia="Calibri"/>
          <w:sz w:val="28"/>
          <w:szCs w:val="28"/>
        </w:rPr>
        <w:fldChar w:fldCharType="separate"/>
      </w:r>
      <w:r>
        <w:rPr>
          <w:sz w:val="28"/>
          <w:szCs w:val="28"/>
        </w:rPr>
        <w:t xml:space="preserve">Таблица</w:t>
      </w:r>
      <w:r>
        <w:rPr>
          <w:rFonts w:eastAsia="Calibri"/>
          <w:sz w:val="28"/>
          <w:szCs w:val="28"/>
        </w:rPr>
        <w:fldChar w:fldCharType="end"/>
      </w:r>
      <w:r>
        <w:rPr>
          <w:rFonts w:eastAsia="Calibri"/>
          <w:sz w:val="28"/>
          <w:szCs w:val="28"/>
        </w:rPr>
        <w:t xml:space="preserve"> 6.5).</w:t>
      </w:r>
      <w:r>
        <w:rPr>
          <w:rFonts w:eastAsia="Calibri"/>
          <w:sz w:val="28"/>
          <w:szCs w:val="28"/>
        </w:rPr>
      </w:r>
    </w:p>
    <w:p>
      <w:pPr>
        <w:pStyle w:val="1570"/>
        <w:rPr>
          <w:rFonts w:eastAsia="Calibri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567" w:footer="567" w:gutter="0"/>
          <w:cols w:num="1" w:sep="0" w:space="708" w:equalWidth="1"/>
          <w:docGrid w:linePitch="360"/>
        </w:sect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1544"/>
        <w:jc w:val="right"/>
        <w:rPr>
          <w:b/>
          <w:bCs/>
          <w:sz w:val="28"/>
          <w:szCs w:val="28"/>
        </w:rPr>
      </w:pPr>
      <w:r/>
      <w:bookmarkStart w:id="575" w:name="_Ref166579919"/>
      <w:r/>
      <w:bookmarkStart w:id="576" w:name="_Toc175216152"/>
      <w:r/>
      <w:bookmarkStart w:id="577" w:name="_Hlk168644889"/>
      <w:r>
        <w:rPr>
          <w:b/>
          <w:bCs/>
          <w:sz w:val="28"/>
          <w:szCs w:val="28"/>
        </w:rPr>
        <w:t xml:space="preserve">Таблица</w:t>
      </w:r>
      <w:bookmarkEnd w:id="575"/>
      <w:r>
        <w:rPr>
          <w:b/>
          <w:bCs/>
          <w:sz w:val="28"/>
          <w:szCs w:val="28"/>
        </w:rPr>
        <w:t xml:space="preserve"> 6.5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Критерии доступности коммунальных услуг для населения</w:t>
      </w:r>
      <w:bookmarkEnd w:id="576"/>
      <w:r/>
      <w:bookmarkEnd w:id="577"/>
      <w:r>
        <w:rPr>
          <w:b/>
          <w:bCs/>
          <w:sz w:val="28"/>
          <w:szCs w:val="28"/>
        </w:rPr>
      </w:r>
    </w:p>
    <w:p>
      <w:pPr>
        <w:pStyle w:val="154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81"/>
        <w:gridCol w:w="7606"/>
        <w:gridCol w:w="988"/>
        <w:gridCol w:w="992"/>
        <w:gridCol w:w="992"/>
        <w:gridCol w:w="992"/>
        <w:gridCol w:w="992"/>
        <w:gridCol w:w="992"/>
        <w:gridCol w:w="934"/>
      </w:tblGrid>
      <w:tr>
        <w:tblPrEx/>
        <w:trPr>
          <w:trHeight w:val="20"/>
          <w:tblHeader/>
        </w:trPr>
        <w:tc>
          <w:tcPr>
            <w:shd w:val="clear" w:color="auto" w:fill="auto"/>
            <w:tcW w:w="193" w:type="pct"/>
            <w:textDirection w:val="lrTb"/>
            <w:noWrap/>
          </w:tcPr>
          <w:p>
            <w:pPr>
              <w:ind w:left="-120" w:right="-10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№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2524" w:type="pct"/>
            <w:vAlign w:val="center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Наименование показателя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8" w:type="pct"/>
            <w:vAlign w:val="center"/>
            <w:textDirection w:val="lrTb"/>
            <w:noWrap/>
          </w:tcPr>
          <w:p>
            <w:pPr>
              <w:ind w:left="-101" w:right="-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Ед. изм.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vAlign w:val="center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vAlign w:val="center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vAlign w:val="center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vAlign w:val="center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0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2034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9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gridSpan w:val="8"/>
            <w:shd w:val="clear" w:color="auto" w:fill="auto"/>
            <w:tcW w:w="480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Плата населения по каждому коммунальному ресурсу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9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2524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Совокупная плата населения за коммунальные услуги по водоснабжению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8" w:type="pct"/>
            <w:textDirection w:val="lrTb"/>
            <w:noWrap w:val="false"/>
          </w:tcPr>
          <w:p>
            <w:pPr>
              <w:ind w:left="-104" w:right="-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млн руб.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1 925,47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2 054,40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2 128,79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2 206,50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2 293,80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09" w:type="pct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2 840,75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9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2524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Совокупная плата населения за коммунальные услуги по водоотведению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8" w:type="pct"/>
            <w:textDirection w:val="lrTb"/>
            <w:noWrap w:val="false"/>
          </w:tcPr>
          <w:p>
            <w:pPr>
              <w:ind w:left="-104" w:right="-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млн руб.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1 663,81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1 775,16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1 839,51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1 906,66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1 982,10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09" w:type="pct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2 454,72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9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2524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Совокупная плата населения за коммунальные услуги в сфере обращения с ТКО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8" w:type="pct"/>
            <w:textDirection w:val="lrTb"/>
            <w:noWrap w:val="false"/>
          </w:tcPr>
          <w:p>
            <w:pPr>
              <w:ind w:left="-104" w:right="-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млн руб.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209,69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224,34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232,47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240,95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249,80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09" w:type="pct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310,22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9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2524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Совокупная плата населения за коммунальные услуги по теплоснабжению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8" w:type="pct"/>
            <w:textDirection w:val="lrTb"/>
            <w:noWrap w:val="false"/>
          </w:tcPr>
          <w:p>
            <w:pPr>
              <w:ind w:left="-104" w:right="-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млн руб.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8 398,15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9 413,45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10 424,22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11 535,59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12 771,26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09" w:type="pct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22 028,58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93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2524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Совокупная плата населения за коммунальные услуги по электроснабжению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8" w:type="pct"/>
            <w:textDirection w:val="lrTb"/>
            <w:noWrap w:val="false"/>
          </w:tcPr>
          <w:p>
            <w:pPr>
              <w:ind w:left="-104" w:right="-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млн руб.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7 530,06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8 150,02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8 618,32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9 068,07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9 512,17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09" w:type="pct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12 226,87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93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2524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Совокупная плата населения за коммунальные услуги по газоснабжению 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8" w:type="pct"/>
            <w:textDirection w:val="lrTb"/>
            <w:noWrap w:val="false"/>
          </w:tcPr>
          <w:p>
            <w:pPr>
              <w:ind w:left="-104" w:right="-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млн руб.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3 620,96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3 906,74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4 130,52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4 353,81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4 586,91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09" w:type="pct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6 157,14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93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2524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Совокупная плата населения за коммунальные услуги по горячему водоснабжению (компонент на тепловую энергию)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8" w:type="pct"/>
            <w:textDirection w:val="lrTb"/>
            <w:noWrap w:val="false"/>
          </w:tcPr>
          <w:p>
            <w:pPr>
              <w:ind w:left="-104" w:right="-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млн руб.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1 432,96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1 481,22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1 571,79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1 668,48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1 771,87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09" w:type="pct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2 511,83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9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gridSpan w:val="8"/>
            <w:shd w:val="clear" w:color="auto" w:fill="auto"/>
            <w:tcW w:w="480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Критерии доступности коммунальных услуг для населения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93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2524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Доля расходов на коммунальные услуги в совокупном доходе семьи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3,77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3,79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3,77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3,80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3,86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0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4,19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93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2524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Критерий высокого уровня доступности, не более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до 7,20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до 7,20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до 7,20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до 7,20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до 7,20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0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до 7,20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93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2524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Уровень собираемости платежей за коммунальные услуги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95,70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95,70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95,74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95,71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95,64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0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95,14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93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2524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Критерий высокого уровня доступности, не менее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 92,00 до 95,00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 92,00 до 95,00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 92,00 до 95,00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 92,00 до 95,00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 92,00 до 95,00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09" w:type="pct"/>
            <w:textDirection w:val="lrTb"/>
            <w:noWrap w:val="false"/>
          </w:tcPr>
          <w:p>
            <w:pPr>
              <w:ind w:left="-126" w:right="-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 92,00 до 95,00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93" w:type="pct"/>
            <w:vMerge w:val="restar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2524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Доля населения с доходами ниже прожиточного минимума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7,75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7,81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7,88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7,94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7,99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0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8,29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93" w:type="pct"/>
            <w:vMerge w:val="continue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2524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Критерий доступного уровня, не более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 8,00 до 12,00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 8,00 до 12,00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 8,00 до 12,00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 8,00 до 12,00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 8,00 до 12,00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0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 8,00 до 12,00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93" w:type="pct"/>
            <w:vMerge w:val="restar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2524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Доля получателей субсидий на оплату коммунальных услуг в общей численности населения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9,50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9,56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9,51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9,64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9,85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0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11,25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93" w:type="pct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2524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Критерий доступного уровня, не более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 10,00 до 15,00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 10,00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 15,00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 10,00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 15,00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 10,00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 15,00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 10,00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 15,00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09" w:type="pct"/>
            <w:textDirection w:val="lrTb"/>
            <w:noWrap w:val="false"/>
          </w:tcPr>
          <w:p>
            <w:pPr>
              <w:ind w:left="-36" w:right="-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 10,00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  <w:p>
            <w:pPr>
              <w:ind w:left="-36" w:right="-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 15,00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</w:tbl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  <w:sectPr>
          <w:footnotePr/>
          <w:endnotePr/>
          <w:type w:val="nextPage"/>
          <w:pgSz w:w="16838" w:h="11906" w:orient="landscape"/>
          <w:pgMar w:top="1134" w:right="567" w:bottom="1134" w:left="1418" w:header="567" w:footer="567" w:gutter="0"/>
          <w:cols w:num="1" w:sep="0" w:space="708" w:equalWidth="1"/>
          <w:docGrid w:linePitch="360"/>
        </w:sectPr>
      </w:pPr>
      <w:r>
        <w:rPr>
          <w:lang w:eastAsia="en-US"/>
        </w:rPr>
      </w:r>
      <w:r>
        <w:rPr>
          <w:lang w:eastAsia="en-US"/>
        </w:rPr>
      </w:r>
    </w:p>
    <w:p>
      <w:pPr>
        <w:pStyle w:val="1570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Полученный результат по критериям доступности коммунальных услуг «доля расходов на коммунальные услуги в совокупном доходе семьи», «уровень собираемости платежей за коммунальные услуги» соответствуе</w:t>
      </w:r>
      <w:r>
        <w:rPr>
          <w:sz w:val="28"/>
          <w:szCs w:val="28"/>
        </w:rPr>
        <w:t xml:space="preserve">т высокому уровню доступности в соответствии со средними значениями, рекомендуемыми в рамках приказа Министерства регионального развития Российской Федерации от 23.08.2010 № 378 «Об утверждении методических указаний по расчету предельных индексов изменения</w:t>
      </w:r>
      <w:r>
        <w:rPr>
          <w:sz w:val="28"/>
          <w:szCs w:val="28"/>
        </w:rPr>
        <w:t xml:space="preserve"> размера платы граждан за коммунальные услуги». Критерии «доля населения с доходами ниже прожиточного минимума» и «доля получателей субсидий на оплату коммунальных услуг в общей численности населения» соответствует простому (доступному) уровню доступности.</w:t>
      </w:r>
      <w:r>
        <w:rPr>
          <w:sz w:val="28"/>
          <w:szCs w:val="28"/>
          <w:highlight w:val="yellow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Таким образом, коммунальные услуги остаются доступными для </w:t>
      </w:r>
      <w:r>
        <w:rPr>
          <w:sz w:val="28"/>
          <w:szCs w:val="28"/>
        </w:rPr>
        <w:t xml:space="preserve">населения  на</w:t>
      </w:r>
      <w:r>
        <w:rPr>
          <w:sz w:val="28"/>
          <w:szCs w:val="28"/>
        </w:rPr>
        <w:t xml:space="preserve"> период до  2034 года.</w:t>
      </w:r>
      <w:r>
        <w:rPr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/>
      <w:bookmarkStart w:id="578" w:name="_Toc119947537"/>
      <w:r/>
      <w:bookmarkStart w:id="579" w:name="_Toc175216070"/>
      <w:r/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VII</w:t>
      </w:r>
      <w:r>
        <w:rPr>
          <w:b/>
          <w:bCs/>
          <w:sz w:val="28"/>
          <w:szCs w:val="28"/>
        </w:rPr>
        <w:t xml:space="preserve">. Управление программой</w:t>
      </w:r>
      <w:bookmarkEnd w:id="578"/>
      <w:r/>
      <w:bookmarkEnd w:id="579"/>
      <w:r/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  <w:highlight w:val="cyan"/>
        </w:rPr>
      </w:pPr>
      <w:r>
        <w:rPr>
          <w:b/>
          <w:bCs/>
          <w:sz w:val="28"/>
          <w:szCs w:val="28"/>
          <w:highlight w:val="cyan"/>
        </w:rPr>
      </w:r>
      <w:r>
        <w:rPr>
          <w:b/>
          <w:bCs/>
          <w:sz w:val="28"/>
          <w:szCs w:val="28"/>
          <w:highlight w:val="cyan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Система управления Программой включает организационную схему управления реализацией Программы, алгоритм мониторинга и внесения изменений в Программу.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Структура системы управления Программой выглядит следующим образом: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система ответственности по основным направлениям реализации Программы;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система мониторинга и индикативных показателей эффективности реализации Программы.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Основным принципом реализации Программы является принцип сбалансированности интересов населения, </w:t>
      </w:r>
      <w:r>
        <w:rPr>
          <w:sz w:val="28"/>
          <w:szCs w:val="28"/>
        </w:rPr>
        <w:t xml:space="preserve">ресурсоснабжающих</w:t>
      </w:r>
      <w:r>
        <w:rPr>
          <w:sz w:val="28"/>
          <w:szCs w:val="28"/>
        </w:rPr>
        <w:t xml:space="preserve"> организаций, предприятий и организаций различных форм собственности.</w:t>
      </w:r>
      <w:r>
        <w:rPr>
          <w:sz w:val="28"/>
          <w:szCs w:val="28"/>
        </w:rPr>
      </w:r>
    </w:p>
    <w:p>
      <w:pPr>
        <w:pStyle w:val="1544"/>
        <w:rPr>
          <w:sz w:val="28"/>
          <w:szCs w:val="28"/>
        </w:rPr>
      </w:pPr>
      <w:r/>
      <w:bookmarkStart w:id="580" w:name="_Toc119947538"/>
      <w:r/>
      <w:bookmarkStart w:id="581" w:name="_Toc175216071"/>
      <w:r/>
      <w:r>
        <w:rPr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7.1. Ответственный за реализацию программы</w:t>
      </w:r>
      <w:bookmarkEnd w:id="580"/>
      <w:r/>
      <w:bookmarkEnd w:id="581"/>
      <w:r/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Ответственным исполнителем за реализацию и исполнение Программы является департамент жилищно-коммунального хозяйства администрации города Перми и </w:t>
      </w:r>
      <w:r>
        <w:rPr>
          <w:sz w:val="28"/>
          <w:szCs w:val="28"/>
        </w:rPr>
        <w:t xml:space="preserve">ресурсоснабжающие</w:t>
      </w:r>
      <w:r>
        <w:rPr>
          <w:sz w:val="28"/>
          <w:szCs w:val="28"/>
        </w:rPr>
        <w:t xml:space="preserve"> организации, осуществляющие регулируемые виды деятельности на территории города Перми. В ходе реализации настоящей Программы исполнитель и соисполнитель в рамках своих полномочий: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осуществляют контроль за реализацией Программы;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осуществляют непосредственно организационные, методические и контрольные функции, которые обеспечивают: 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разработку ежегодного плана мероприятий по реализации Программы с уточнением объемов и источников финансирования мероприятий; 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методическое, информационное и организационное сопровождение работы по реализации комплекса программных мероприятий;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обеспечивают организационное, техническое и методическое содействие организациям, участвующим в реализации Программы;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вносят предложения о принятии нормативных правовых актов, необходимых для реализации Программы;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обеспечивают взаимодействие органов местного самоуправления и организаций, участвующих в реализации Программы;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осуществляют мероприятия в сфере информационного освещения и сопровождения реализации Программы;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представляют ежегодно главе муниципального образования доклад о ходе работ по настоящей Программе, достигнутых результатах и эффективности использования финансовых средств;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инициируют при необходимости экспертные проверки хода реализации отдельных инвестиционных проектов Программы;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вносят предложения о корректировке, продлении срока реализации настоящей Программы или о прекращении ее выполнения (при необходимости);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завершении настоящей Программы представляют Главе города Перми доклад о ее выполнении за весь период реализации. </w:t>
      </w:r>
      <w:r>
        <w:rPr>
          <w:sz w:val="28"/>
          <w:szCs w:val="28"/>
        </w:rPr>
      </w:r>
    </w:p>
    <w:p>
      <w:pPr>
        <w:pStyle w:val="1544"/>
        <w:tabs>
          <w:tab w:val="left" w:pos="8647" w:leader="none"/>
        </w:tabs>
        <w:rPr>
          <w:sz w:val="28"/>
          <w:szCs w:val="28"/>
        </w:rPr>
      </w:pPr>
      <w:r/>
      <w:bookmarkStart w:id="582" w:name="_Toc119947539"/>
      <w:r/>
      <w:bookmarkStart w:id="583" w:name="_Toc175216072"/>
      <w:r/>
      <w:r>
        <w:rPr>
          <w:sz w:val="28"/>
          <w:szCs w:val="28"/>
        </w:rPr>
      </w:r>
    </w:p>
    <w:p>
      <w:pPr>
        <w:pStyle w:val="1544"/>
        <w:tabs>
          <w:tab w:val="left" w:pos="8647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7.2. План-график реализации инвестиционных проектов программы</w:t>
      </w:r>
      <w:bookmarkEnd w:id="582"/>
      <w:r/>
      <w:bookmarkEnd w:id="583"/>
      <w:r/>
      <w:r>
        <w:rPr>
          <w:b/>
          <w:bCs/>
          <w:sz w:val="28"/>
          <w:szCs w:val="28"/>
        </w:rPr>
      </w:r>
    </w:p>
    <w:p>
      <w:pPr>
        <w:pStyle w:val="1544"/>
        <w:tabs>
          <w:tab w:val="left" w:pos="864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План-график работ по реализации Программы должен соответствовать</w:t>
      </w:r>
      <w:r>
        <w:rPr>
          <w:sz w:val="28"/>
          <w:szCs w:val="28"/>
        </w:rPr>
        <w:t xml:space="preserve"> плану реализации проектов, содержащемуся в разделе 5 Программы «Анализ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программой».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осуще</w:t>
      </w:r>
      <w:r>
        <w:rPr>
          <w:sz w:val="28"/>
          <w:szCs w:val="28"/>
        </w:rPr>
        <w:t xml:space="preserve">ствляется путем реализации инвестиционных программ организаций коммунального комплекса по мероприятиям, вошедшим в Программу, а также в процессе реализации федеральных, краевых и муниципальных программ и в других случаях, предусмотренных законодательством.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В целях разработки инвестиционных программ коммунальных предприятий разрабатываются технические задания, которые в обязательном порядке содержат: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цели и задачи разработки и реализации инвестиционной программы организации коммунального комплекса;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требования к инвестиционной программе (перечень необходимых к выполнению работ);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сроки разработки инвестиционной программы.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В рамках разработки инвестиционной программы должны быть определены финансовые потребности для ее реализации и источники финансирования.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Сроки и порядок утверждения тарифов принимаются в соответствии с действующим законодательством уполномоченным органом.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Определение возможности выделения бюджетных средств на реализацию Программы (по необходимости) производится ежегодно в период формирования проекта бюджета города Перми в сроки, установленные соответствующими нормативными актами.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План-график по организации работ, направленных на реализацию мероприятий Программы, приведен в таблице 7.1.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44"/>
        <w:jc w:val="right"/>
        <w:rPr>
          <w:b/>
          <w:bCs/>
          <w:sz w:val="28"/>
          <w:szCs w:val="28"/>
        </w:rPr>
      </w:pPr>
      <w:r/>
      <w:bookmarkStart w:id="584" w:name="_Toc175216153"/>
      <w:r>
        <w:rPr>
          <w:b/>
          <w:bCs/>
          <w:sz w:val="28"/>
          <w:szCs w:val="28"/>
        </w:rPr>
        <w:t xml:space="preserve">Таблица 7.1</w:t>
      </w:r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План-график по организации работ, направленных на реализацию мероприятий Программы</w:t>
      </w:r>
      <w:bookmarkEnd w:id="584"/>
      <w:r/>
      <w:r>
        <w:rPr>
          <w:b/>
          <w:bCs/>
          <w:sz w:val="28"/>
          <w:szCs w:val="28"/>
        </w:rPr>
      </w:r>
    </w:p>
    <w:p>
      <w:pPr>
        <w:pStyle w:val="154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918"/>
        <w:gridCol w:w="3043"/>
        <w:gridCol w:w="4176"/>
      </w:tblGrid>
      <w:tr>
        <w:tblPrEx/>
        <w:trPr>
          <w:jc w:val="center"/>
          <w:trHeight w:val="20"/>
          <w:tblHeader/>
        </w:trPr>
        <w:tc>
          <w:tcPr>
            <w:shd w:val="clear" w:color="auto" w:fill="auto"/>
            <w:tcW w:w="1439" w:type="pct"/>
            <w:textDirection w:val="lrTb"/>
            <w:noWrap w:val="false"/>
          </w:tcPr>
          <w:p>
            <w:pPr>
              <w:pStyle w:val="1544"/>
            </w:pPr>
            <w:r>
              <w:t xml:space="preserve">Мероприятия по реализации Программы</w:t>
            </w:r>
            <w:r/>
          </w:p>
        </w:tc>
        <w:tc>
          <w:tcPr>
            <w:shd w:val="clear" w:color="auto" w:fill="auto"/>
            <w:tcW w:w="1501" w:type="pct"/>
            <w:textDirection w:val="lrTb"/>
            <w:noWrap w:val="false"/>
          </w:tcPr>
          <w:p>
            <w:pPr>
              <w:pStyle w:val="1539"/>
              <w:ind w:left="-57" w:right="-57"/>
              <w:keepLines/>
              <w:keepNext/>
              <w:rPr>
                <w:rFonts w:asciiTheme="minorHAnsi" w:hAnsiTheme="minorHAnsi" w:cstheme="minorHAnsi"/>
                <w:iCs w:val="0"/>
              </w:rPr>
            </w:pPr>
            <w:r>
              <w:rPr>
                <w:rFonts w:asciiTheme="minorHAnsi" w:hAnsiTheme="minorHAnsi" w:cstheme="minorHAnsi"/>
                <w:iCs w:val="0"/>
              </w:rPr>
              <w:t xml:space="preserve">Ответственный исполнитель, соисполнитель</w:t>
            </w:r>
            <w:r>
              <w:rPr>
                <w:rFonts w:asciiTheme="minorHAnsi" w:hAnsiTheme="minorHAnsi" w:cstheme="minorHAnsi"/>
                <w:iCs w:val="0"/>
              </w:rPr>
            </w:r>
          </w:p>
        </w:tc>
        <w:tc>
          <w:tcPr>
            <w:shd w:val="clear" w:color="auto" w:fill="auto"/>
            <w:tcW w:w="2060" w:type="pct"/>
            <w:textDirection w:val="lrTb"/>
            <w:noWrap w:val="false"/>
          </w:tcPr>
          <w:p>
            <w:pPr>
              <w:pStyle w:val="1539"/>
              <w:ind w:left="-57" w:right="-57"/>
              <w:keepLines/>
              <w:keepNext/>
              <w:rPr>
                <w:rFonts w:asciiTheme="minorHAnsi" w:hAnsiTheme="minorHAnsi" w:cstheme="minorHAnsi"/>
                <w:iCs w:val="0"/>
              </w:rPr>
            </w:pPr>
            <w:r>
              <w:rPr>
                <w:rFonts w:asciiTheme="minorHAnsi" w:hAnsiTheme="minorHAnsi" w:cstheme="minorHAnsi"/>
                <w:iCs w:val="0"/>
              </w:rPr>
              <w:t xml:space="preserve">Сроки реализации</w:t>
            </w:r>
            <w:r>
              <w:rPr>
                <w:rFonts w:asciiTheme="minorHAnsi" w:hAnsiTheme="minorHAnsi" w:cstheme="minorHAnsi"/>
                <w:iCs w:val="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Borders>
              <w:top w:val="single" w:color="auto" w:sz="4" w:space="0"/>
            </w:tcBorders>
            <w:tcW w:w="1439" w:type="pct"/>
            <w:textDirection w:val="lrTb"/>
            <w:noWrap w:val="false"/>
          </w:tcPr>
          <w:p>
            <w:pPr>
              <w:pStyle w:val="1544"/>
              <w:jc w:val="left"/>
            </w:pPr>
            <w:r>
              <w:t xml:space="preserve">Разработка инвестиционных программ организаций коммунального комплекса</w:t>
            </w:r>
            <w:r/>
          </w:p>
        </w:tc>
        <w:tc>
          <w:tcPr>
            <w:shd w:val="clear" w:color="auto" w:fill="auto"/>
            <w:tcW w:w="1501" w:type="pct"/>
            <w:textDirection w:val="lrTb"/>
            <w:noWrap w:val="false"/>
          </w:tcPr>
          <w:p>
            <w:pPr>
              <w:pStyle w:val="1539"/>
              <w:ind w:left="22" w:right="-57" w:hanging="22"/>
              <w:jc w:val="left"/>
              <w:keepLines/>
              <w:keepNext/>
              <w:rPr>
                <w:rFonts w:asciiTheme="minorHAnsi" w:hAnsiTheme="minorHAnsi" w:cstheme="minorHAnsi"/>
                <w:iCs w:val="0"/>
              </w:rPr>
            </w:pPr>
            <w:r>
              <w:rPr>
                <w:rFonts w:asciiTheme="minorHAnsi" w:hAnsiTheme="minorHAnsi" w:cstheme="minorHAnsi"/>
                <w:iCs w:val="0"/>
              </w:rPr>
              <w:t xml:space="preserve">организации коммунального комплекса города Перми</w:t>
            </w:r>
            <w:r>
              <w:rPr>
                <w:rFonts w:asciiTheme="minorHAnsi" w:hAnsiTheme="minorHAnsi" w:cstheme="minorHAnsi"/>
                <w:iCs w:val="0"/>
              </w:rPr>
            </w:r>
          </w:p>
        </w:tc>
        <w:tc>
          <w:tcPr>
            <w:shd w:val="clear" w:color="auto" w:fill="auto"/>
            <w:tcW w:w="2060" w:type="pct"/>
            <w:textDirection w:val="lrTb"/>
            <w:noWrap w:val="false"/>
          </w:tcPr>
          <w:p>
            <w:pPr>
              <w:pStyle w:val="1539"/>
              <w:ind w:left="22" w:right="-57" w:hanging="22"/>
              <w:jc w:val="left"/>
              <w:keepLines/>
              <w:keepNext/>
              <w:rPr>
                <w:rFonts w:asciiTheme="minorHAnsi" w:hAnsiTheme="minorHAnsi" w:cstheme="minorHAnsi"/>
                <w:iCs w:val="0"/>
              </w:rPr>
            </w:pPr>
            <w:r>
              <w:rPr>
                <w:rFonts w:asciiTheme="minorHAnsi" w:hAnsiTheme="minorHAnsi" w:cstheme="minorHAnsi"/>
                <w:iCs w:val="0"/>
              </w:rPr>
              <w:t xml:space="preserve">в соответствии с требованиями действующего законодательства</w:t>
            </w:r>
            <w:r>
              <w:rPr>
                <w:rFonts w:asciiTheme="minorHAnsi" w:hAnsiTheme="minorHAnsi" w:cstheme="minorHAnsi"/>
                <w:iCs w:val="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1439" w:type="pct"/>
            <w:textDirection w:val="lrTb"/>
            <w:noWrap w:val="false"/>
          </w:tcPr>
          <w:p>
            <w:pPr>
              <w:pStyle w:val="1544"/>
              <w:jc w:val="left"/>
            </w:pPr>
            <w:r>
              <w:t xml:space="preserve">Утверждение тарифов организаций коммунального комплекса, утверждение инвестиционных программ</w:t>
            </w:r>
            <w:r/>
          </w:p>
        </w:tc>
        <w:tc>
          <w:tcPr>
            <w:shd w:val="clear" w:color="auto" w:fill="auto"/>
            <w:tcW w:w="1501" w:type="pct"/>
            <w:textDirection w:val="lrTb"/>
            <w:noWrap w:val="false"/>
          </w:tcPr>
          <w:p>
            <w:pPr>
              <w:ind w:left="22" w:hanging="22"/>
              <w:keepLines/>
              <w:keepNext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Министерство тарифного регулирования и энергетики Пермского края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2060" w:type="pct"/>
            <w:textDirection w:val="lrTb"/>
            <w:noWrap w:val="false"/>
          </w:tcPr>
          <w:p>
            <w:pPr>
              <w:pStyle w:val="1539"/>
              <w:ind w:left="22" w:right="-57" w:hanging="22"/>
              <w:jc w:val="left"/>
              <w:keepLines/>
              <w:keepNext/>
              <w:rPr>
                <w:rFonts w:asciiTheme="minorHAnsi" w:hAnsiTheme="minorHAnsi" w:cstheme="minorHAnsi"/>
                <w:iCs w:val="0"/>
              </w:rPr>
            </w:pPr>
            <w:r>
              <w:rPr>
                <w:rFonts w:asciiTheme="minorHAnsi" w:hAnsiTheme="minorHAnsi" w:cstheme="minorHAnsi"/>
                <w:iCs w:val="0"/>
              </w:rPr>
              <w:t xml:space="preserve">не позднее периода окончания действия утвержденного тарифа.</w:t>
            </w:r>
            <w:r>
              <w:rPr>
                <w:rFonts w:asciiTheme="minorHAnsi" w:hAnsiTheme="minorHAnsi" w:cstheme="minorHAnsi"/>
                <w:iCs w:val="0"/>
              </w:rPr>
            </w:r>
          </w:p>
          <w:p>
            <w:pPr>
              <w:pStyle w:val="1539"/>
              <w:ind w:left="22" w:right="-57" w:hanging="22"/>
              <w:jc w:val="left"/>
              <w:keepLines/>
              <w:keepNext/>
              <w:rPr>
                <w:rFonts w:asciiTheme="minorHAnsi" w:hAnsiTheme="minorHAnsi" w:cstheme="minorHAnsi"/>
                <w:iCs w:val="0"/>
              </w:rPr>
            </w:pPr>
            <w:r>
              <w:rPr>
                <w:rFonts w:asciiTheme="minorHAnsi" w:hAnsiTheme="minorHAnsi" w:cstheme="minorHAnsi"/>
                <w:iCs w:val="0"/>
              </w:rPr>
              <w:t xml:space="preserve">Период действия тарифов на товары и услуги организаций коммунального комплекса, а также на подключение к системам коммунальной инфраструктуры определяется ответственным исполнителем, но не может быть менее одного года</w:t>
            </w:r>
            <w:r>
              <w:rPr>
                <w:rFonts w:asciiTheme="minorHAnsi" w:hAnsiTheme="minorHAnsi" w:cstheme="minorHAnsi"/>
                <w:iCs w:val="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1439" w:type="pct"/>
            <w:textDirection w:val="lrTb"/>
            <w:noWrap w:val="false"/>
          </w:tcPr>
          <w:p>
            <w:pPr>
              <w:pStyle w:val="1544"/>
              <w:jc w:val="left"/>
            </w:pPr>
            <w:r>
              <w:t xml:space="preserve">Принятие решений по выделению бюджетных средств</w:t>
            </w:r>
            <w:r/>
          </w:p>
        </w:tc>
        <w:tc>
          <w:tcPr>
            <w:shd w:val="clear" w:color="auto" w:fill="auto"/>
            <w:tcW w:w="1501" w:type="pct"/>
            <w:textDirection w:val="lrTb"/>
            <w:noWrap w:val="false"/>
          </w:tcPr>
          <w:p>
            <w:pPr>
              <w:pStyle w:val="1539"/>
              <w:ind w:left="22" w:right="-57" w:hanging="22"/>
              <w:jc w:val="left"/>
              <w:keepLines/>
              <w:keepNext/>
              <w:rPr>
                <w:rFonts w:eastAsia="Times New Roman" w:asciiTheme="minorHAnsi" w:hAnsiTheme="minorHAnsi" w:cstheme="minorHAnsi"/>
                <w:iCs w:val="0"/>
              </w:rPr>
            </w:pPr>
            <w:r>
              <w:rPr>
                <w:rFonts w:eastAsia="Times New Roman" w:asciiTheme="minorHAnsi" w:hAnsiTheme="minorHAnsi" w:cstheme="minorHAnsi"/>
                <w:iCs w:val="0"/>
              </w:rPr>
              <w:t xml:space="preserve">Правительство </w:t>
            </w:r>
            <w:r>
              <w:rPr>
                <w:rFonts w:asciiTheme="minorHAnsi" w:hAnsiTheme="minorHAnsi" w:cstheme="minorHAnsi"/>
              </w:rPr>
              <w:t xml:space="preserve">Пермского края</w:t>
            </w:r>
            <w:r>
              <w:rPr>
                <w:rFonts w:eastAsia="Times New Roman" w:asciiTheme="minorHAnsi" w:hAnsiTheme="minorHAnsi" w:cstheme="minorHAnsi"/>
                <w:iCs w:val="0"/>
              </w:rPr>
              <w:t xml:space="preserve">,</w:t>
            </w:r>
            <w:r>
              <w:rPr>
                <w:rFonts w:eastAsia="Times New Roman" w:asciiTheme="minorHAnsi" w:hAnsiTheme="minorHAnsi" w:cstheme="minorHAnsi"/>
                <w:iCs w:val="0"/>
              </w:rPr>
            </w:r>
          </w:p>
          <w:p>
            <w:pPr>
              <w:pStyle w:val="1539"/>
              <w:ind w:left="22" w:right="-57" w:hanging="22"/>
              <w:jc w:val="left"/>
              <w:keepLines/>
              <w:keepNext/>
              <w:rPr>
                <w:rFonts w:asciiTheme="minorHAnsi" w:hAnsiTheme="minorHAnsi" w:cstheme="minorHAnsi"/>
                <w:iCs w:val="0"/>
              </w:rPr>
            </w:pPr>
            <w:r>
              <w:rPr>
                <w:rFonts w:eastAsia="Times New Roman" w:asciiTheme="minorHAnsi" w:hAnsiTheme="minorHAnsi" w:cstheme="minorHAnsi"/>
                <w:iCs w:val="0"/>
              </w:rPr>
              <w:t xml:space="preserve">администрация города </w:t>
            </w:r>
            <w:r>
              <w:rPr>
                <w:rFonts w:asciiTheme="minorHAnsi" w:hAnsiTheme="minorHAnsi" w:cstheme="minorHAnsi"/>
                <w:iCs w:val="0"/>
              </w:rPr>
              <w:t xml:space="preserve">Перми</w:t>
            </w:r>
            <w:r>
              <w:rPr>
                <w:rFonts w:asciiTheme="minorHAnsi" w:hAnsiTheme="minorHAnsi" w:cstheme="minorHAnsi"/>
                <w:iCs w:val="0"/>
              </w:rPr>
            </w:r>
          </w:p>
        </w:tc>
        <w:tc>
          <w:tcPr>
            <w:shd w:val="clear" w:color="auto" w:fill="auto"/>
            <w:tcW w:w="2060" w:type="pct"/>
            <w:textDirection w:val="lrTb"/>
            <w:noWrap w:val="false"/>
          </w:tcPr>
          <w:p>
            <w:pPr>
              <w:pStyle w:val="1539"/>
              <w:ind w:left="22" w:right="-57" w:hanging="22"/>
              <w:jc w:val="left"/>
              <w:keepLines/>
              <w:keepNext/>
              <w:rPr>
                <w:rFonts w:asciiTheme="minorHAnsi" w:hAnsiTheme="minorHAnsi" w:cstheme="minorHAnsi"/>
                <w:iCs w:val="0"/>
              </w:rPr>
            </w:pPr>
            <w:r>
              <w:rPr>
                <w:rFonts w:asciiTheme="minorHAnsi" w:hAnsiTheme="minorHAnsi" w:cstheme="minorHAnsi"/>
                <w:iCs w:val="0"/>
              </w:rPr>
              <w:t xml:space="preserve">ежегодно (на очередной финансовый год)</w:t>
            </w:r>
            <w:r>
              <w:rPr>
                <w:rFonts w:asciiTheme="minorHAnsi" w:hAnsiTheme="minorHAnsi" w:cstheme="minorHAnsi"/>
                <w:iCs w:val="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1439" w:type="pct"/>
            <w:textDirection w:val="lrTb"/>
            <w:noWrap w:val="false"/>
          </w:tcPr>
          <w:p>
            <w:pPr>
              <w:pStyle w:val="1544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Подготовка и проведение конкурсов для привлечения инвесторов (в том числе концессия)</w:t>
            </w:r>
            <w:r>
              <w:rPr>
                <w:rFonts w:eastAsia="Times New Roman"/>
              </w:rPr>
            </w:r>
          </w:p>
        </w:tc>
        <w:tc>
          <w:tcPr>
            <w:shd w:val="clear" w:color="auto" w:fill="auto"/>
            <w:tcW w:w="1501" w:type="pct"/>
            <w:textDirection w:val="lrTb"/>
            <w:noWrap w:val="false"/>
          </w:tcPr>
          <w:p>
            <w:pPr>
              <w:pStyle w:val="1539"/>
              <w:ind w:left="22" w:right="-57" w:hanging="22"/>
              <w:jc w:val="left"/>
              <w:keepLines/>
              <w:keepNext/>
              <w:rPr>
                <w:rFonts w:eastAsia="Times New Roman" w:asciiTheme="minorHAnsi" w:hAnsiTheme="minorHAnsi" w:cstheme="minorHAnsi"/>
                <w:iCs w:val="0"/>
              </w:rPr>
            </w:pPr>
            <w:r>
              <w:rPr>
                <w:rFonts w:eastAsia="Times New Roman" w:asciiTheme="minorHAnsi" w:hAnsiTheme="minorHAnsi" w:cstheme="minorHAnsi"/>
                <w:iCs w:val="0"/>
              </w:rPr>
              <w:t xml:space="preserve">Правительство </w:t>
            </w:r>
            <w:r>
              <w:rPr>
                <w:rFonts w:asciiTheme="minorHAnsi" w:hAnsiTheme="minorHAnsi" w:cstheme="minorHAnsi"/>
              </w:rPr>
              <w:t xml:space="preserve">Пермского края</w:t>
            </w:r>
            <w:r>
              <w:rPr>
                <w:rFonts w:eastAsia="Times New Roman" w:asciiTheme="minorHAnsi" w:hAnsiTheme="minorHAnsi" w:cstheme="minorHAnsi"/>
                <w:iCs w:val="0"/>
              </w:rPr>
              <w:t xml:space="preserve">, </w:t>
            </w:r>
            <w:r>
              <w:rPr>
                <w:rFonts w:eastAsia="Times New Roman" w:asciiTheme="minorHAnsi" w:hAnsiTheme="minorHAnsi" w:cstheme="minorHAnsi"/>
                <w:iCs w:val="0"/>
              </w:rPr>
            </w:r>
          </w:p>
          <w:p>
            <w:pPr>
              <w:pStyle w:val="1539"/>
              <w:ind w:left="22" w:right="-57" w:hanging="22"/>
              <w:jc w:val="left"/>
              <w:keepLines/>
              <w:keepNext/>
              <w:rPr>
                <w:rFonts w:eastAsia="Times New Roman" w:asciiTheme="minorHAnsi" w:hAnsiTheme="minorHAnsi" w:cstheme="minorHAnsi"/>
                <w:iCs w:val="0"/>
              </w:rPr>
            </w:pPr>
            <w:r>
              <w:rPr>
                <w:rFonts w:eastAsia="Times New Roman" w:asciiTheme="minorHAnsi" w:hAnsiTheme="minorHAnsi" w:cstheme="minorHAnsi"/>
                <w:iCs w:val="0"/>
              </w:rPr>
              <w:t xml:space="preserve">администрация города </w:t>
            </w:r>
            <w:r>
              <w:rPr>
                <w:rFonts w:asciiTheme="minorHAnsi" w:hAnsiTheme="minorHAnsi" w:cstheme="minorHAnsi"/>
                <w:iCs w:val="0"/>
              </w:rPr>
              <w:t xml:space="preserve">Перми</w:t>
            </w:r>
            <w:r>
              <w:rPr>
                <w:rFonts w:eastAsia="Times New Roman" w:asciiTheme="minorHAnsi" w:hAnsiTheme="minorHAnsi" w:cstheme="minorHAnsi"/>
                <w:iCs w:val="0"/>
              </w:rPr>
            </w:r>
          </w:p>
        </w:tc>
        <w:tc>
          <w:tcPr>
            <w:shd w:val="clear" w:color="auto" w:fill="auto"/>
            <w:tcW w:w="2060" w:type="pct"/>
            <w:textDirection w:val="lrTb"/>
            <w:noWrap w:val="false"/>
          </w:tcPr>
          <w:p>
            <w:pPr>
              <w:pStyle w:val="1539"/>
              <w:ind w:left="22" w:right="-57" w:hanging="22"/>
              <w:jc w:val="left"/>
              <w:keepLines/>
              <w:keepNext/>
              <w:rPr>
                <w:rFonts w:eastAsia="Times New Roman" w:asciiTheme="minorHAnsi" w:hAnsiTheme="minorHAnsi" w:cstheme="minorHAnsi"/>
                <w:iCs w:val="0"/>
              </w:rPr>
            </w:pPr>
            <w:r>
              <w:rPr>
                <w:rFonts w:asciiTheme="minorHAnsi" w:hAnsiTheme="minorHAnsi" w:cstheme="minorHAnsi"/>
                <w:iCs w:val="0"/>
              </w:rPr>
              <w:t xml:space="preserve">ежегодно (на очередной финансовый год)</w:t>
            </w:r>
            <w:r>
              <w:rPr>
                <w:rFonts w:eastAsia="Times New Roman" w:asciiTheme="minorHAnsi" w:hAnsiTheme="minorHAnsi" w:cstheme="minorHAnsi"/>
                <w:iCs w:val="0"/>
              </w:rPr>
            </w:r>
          </w:p>
        </w:tc>
      </w:tr>
    </w:tbl>
    <w:p>
      <w:pPr>
        <w:pStyle w:val="15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/>
      <w:bookmarkStart w:id="585" w:name="_Toc119947540"/>
      <w:r/>
      <w:bookmarkStart w:id="586" w:name="_Toc175216073"/>
      <w:r>
        <w:rPr>
          <w:b/>
          <w:bCs/>
          <w:sz w:val="28"/>
          <w:szCs w:val="28"/>
        </w:rPr>
        <w:t xml:space="preserve">7.3. Порядок предоставления отчетности по выполнению программы</w:t>
      </w:r>
      <w:bookmarkEnd w:id="585"/>
      <w:r/>
      <w:bookmarkEnd w:id="586"/>
      <w:r/>
      <w:r>
        <w:rPr>
          <w:b/>
          <w:bCs/>
          <w:sz w:val="28"/>
          <w:szCs w:val="28"/>
        </w:rPr>
      </w:r>
    </w:p>
    <w:p>
      <w:pPr>
        <w:pStyle w:val="1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Мониторинг разработки и утверждения программ комплексного развития систем коммунальной инфраструктуры осуществляется согласно </w:t>
      </w:r>
      <w:bookmarkStart w:id="587" w:name="_Hlk166593867"/>
      <w:r>
        <w:rPr>
          <w:sz w:val="28"/>
          <w:szCs w:val="28"/>
        </w:rPr>
        <w:t xml:space="preserve">приказу Федерального агентства по строительству и </w:t>
      </w:r>
      <w:r>
        <w:rPr>
          <w:rStyle w:val="1555"/>
          <w:i w:val="0"/>
          <w:iCs/>
          <w:sz w:val="28"/>
          <w:szCs w:val="28"/>
        </w:rPr>
        <w:t xml:space="preserve">жилищно-коммунальному хозяйству</w:t>
      </w:r>
      <w:r>
        <w:rPr>
          <w:sz w:val="28"/>
          <w:szCs w:val="28"/>
        </w:rPr>
        <w:t xml:space="preserve"> от 28.10.2013 № 397/ГС «О порядке осуществления мониторинга разработки и утверждения программ комплексного развития систем коммунальной инфраструктуры поселений, городских округов».</w:t>
      </w:r>
      <w:bookmarkEnd w:id="587"/>
      <w:r/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Мониторинг программ комплексного развития осуществляет уполномоченный орган государственной власти субъекта Российской Федерации.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Представление отчетности осуществляется исполнителями в рамках мониторинга, целью которого является регулярный контроль за ходом реализации настоящей Программы. Мониторинг осуществляется на ежеквартальной и ежегодной основе. </w:t>
      </w:r>
      <w:r>
        <w:rPr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sz w:val="28"/>
          <w:szCs w:val="28"/>
        </w:rPr>
      </w:pPr>
      <w:r>
        <w:rPr>
          <w:sz w:val="28"/>
          <w:szCs w:val="28"/>
        </w:rPr>
        <w:t xml:space="preserve">Основными этапами</w:t>
      </w:r>
      <w:r>
        <w:rPr>
          <w:rFonts w:asciiTheme="minorHAnsi" w:hAnsiTheme="minorHAnsi" w:cstheme="minorHAnsi"/>
          <w:sz w:val="28"/>
          <w:szCs w:val="28"/>
        </w:rPr>
        <w:t xml:space="preserve"> мониторинга являются: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58"/>
        <w:numPr>
          <w:ilvl w:val="0"/>
          <w:numId w:val="0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первый этап – мониторинг процедуры разработки Программы;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второй этап – мониторинг процедуры утверждения Программы;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третий этап – мониторинг реализации мероприятий и внесения изменений в Программу.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Основными источниками получения (сбора и систематизации) информации о выполнении Программы являются: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орган местного самоуправления </w:t>
      </w:r>
      <w:r>
        <w:rPr>
          <w:sz w:val="28"/>
          <w:szCs w:val="28"/>
          <w:lang w:eastAsia="ru-RU"/>
        </w:rPr>
        <w:t xml:space="preserve">города Перми </w:t>
      </w:r>
      <w:r>
        <w:rPr>
          <w:sz w:val="28"/>
          <w:szCs w:val="28"/>
        </w:rPr>
        <w:t xml:space="preserve">(администрация города Перми);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организации, осуществляющие электро-, газо-, тепло-, водоснабжение и водоотведение, утилизацию, обезвреживание и захоронение ТКО;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организации, осуществляющие разработку документов территориального планирования в границах поселения, городского округа.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Основные задачи осуществления мониторинга реализации Программы: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формирование комплексного подхода, преодоление ведомственных и межмуниципальных барьеров при реализации Программы;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создание эффективного механизма контроля над достижением целевых показателей в ходе реализации Программы, инвестиционных программ </w:t>
      </w:r>
      <w:r>
        <w:rPr>
          <w:sz w:val="28"/>
          <w:szCs w:val="28"/>
        </w:rPr>
        <w:t xml:space="preserve">ресурсоснабжающих</w:t>
      </w:r>
      <w:r>
        <w:rPr>
          <w:sz w:val="28"/>
          <w:szCs w:val="28"/>
        </w:rPr>
        <w:t xml:space="preserve"> организаций, государственных программ, включающих мероприятия, направленные на развитие коммунальной инфраструктуры;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создание системы, ориентированной на результат в реализации Программы, позволяющей решать вопросы на межмуниципальном уровне с учетом интересов города Перми;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создание на базе Генерального плана в рамках долгосрочной концепции развития субъекта Российской Федерации единой обновляемой электронной информационной базы, содержащей сведения о состоянии и перспективах развития коммунальной инфраструктуры.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Периодичность представления информации по результатам мониторинга: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ежеквартально (до 10 числа следующего месяца) – информация по итогам мониторинга представляется муниципальными образованиями субъекту Российской Федерации в соответствии с действующим законодательством.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44"/>
        <w:keepLines/>
        <w:keepNext/>
        <w:rPr>
          <w:b/>
          <w:bCs/>
          <w:sz w:val="28"/>
          <w:szCs w:val="28"/>
        </w:rPr>
      </w:pPr>
      <w:r/>
      <w:bookmarkStart w:id="588" w:name="_Toc119947541"/>
      <w:r/>
      <w:bookmarkStart w:id="589" w:name="_Toc175216074"/>
      <w:r>
        <w:rPr>
          <w:b/>
          <w:bCs/>
          <w:sz w:val="28"/>
          <w:szCs w:val="28"/>
        </w:rPr>
        <w:t xml:space="preserve">7.4. Порядок и сроки корректировки программы</w:t>
      </w:r>
      <w:bookmarkEnd w:id="588"/>
      <w:r/>
      <w:bookmarkEnd w:id="589"/>
      <w:r/>
      <w:r>
        <w:rPr>
          <w:b/>
          <w:bCs/>
          <w:sz w:val="28"/>
          <w:szCs w:val="28"/>
        </w:rPr>
      </w:r>
    </w:p>
    <w:p>
      <w:pPr>
        <w:pStyle w:val="1544"/>
        <w:keepLines/>
        <w:keepNext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Разработка и последующая корректировка Программы базируются на</w:t>
      </w:r>
      <w:r>
        <w:rPr>
          <w:sz w:val="28"/>
          <w:szCs w:val="28"/>
        </w:rPr>
        <w:t xml:space="preserve"> необходимости достижения нормативных показателей качества предоставления коммунальных услуг при соблюдении ограничений по платежной способности потребителей, то есть при обеспечении не только технической, но и экономической доступности коммунальных услуг.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Программа разрабатывается на срок до 2034 года. При необходимости по итогам мониторинга разрабатываются предложения по корректировке Программы.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Предложения по корректировке Программы должны содержать: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описание фактической ситуации (фактическое значение индикаторов на момент сбора информации, описание условий внешней среды);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анализ ситуации в динамике (сравнение фактического значения индикаторов на момент сбора информации с точкой начала реализации Программы);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анализ эффективности реализации Программы (сравнительный анализ затрат, направленных на реализацию Программы, с полученным эффектом);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выводы и рекомендации.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Порядок корректировки настоящей Программы определен следующим образом.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Корректировка осуществляется в следующих случаях: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установления в ходе мониторинга невозможности достижения целевых показателей; 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значительного отклонения от запланированных показателей;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сокращения объемов финансирования;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изменения в содержании мероприятий, установленных схемой и программой развити</w:t>
      </w:r>
      <w:r>
        <w:rPr>
          <w:sz w:val="28"/>
          <w:szCs w:val="28"/>
        </w:rPr>
        <w:t xml:space="preserve">я электрических систем России на 2023-2028 годы (утвержденной приказом Министерства энергетики Российской Федерации от 28.02.2023 № 108), Генеральной схемой размещения объектов электроэнергетики до 2035 года (утвержденной распоряжением Правительства Россий</w:t>
      </w:r>
      <w:r>
        <w:rPr>
          <w:sz w:val="28"/>
          <w:szCs w:val="28"/>
        </w:rPr>
        <w:t xml:space="preserve">ской Федерации от 09.06.2017 № 1209-р), федеральной программой газификации, соответствующими межрегиональными, региональными программами газификации, схемами теплоснабжения, схемами водоснабжения и водоотведения, программами в области обращения с отходами;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исключения из компетенции администрации города Перми полномочий, в соответствии с которыми реализуется настоящая Программа.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Решение о корректировке настоящей Программы принимает администрация города Перми. 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Изме</w:t>
      </w:r>
      <w:r>
        <w:rPr>
          <w:sz w:val="28"/>
          <w:szCs w:val="28"/>
        </w:rPr>
        <w:t xml:space="preserve">нения в настоящую Программу разрабатываются и вносятся департаментом жилищно-коммунального хозяйства администрации города Перми после их согласования с другими структурными подразделениями администрации города Перми и исполнителями инвестиционных проектов.</w:t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Корректировка Программы осуществляется в соответствии с требованиями к разработке и утверждению программ комплексного развития систем коммунальной инфраструктуры.</w:t>
      </w:r>
      <w:r>
        <w:rPr>
          <w:sz w:val="28"/>
          <w:szCs w:val="28"/>
        </w:rPr>
      </w:r>
    </w:p>
    <w:p>
      <w:pPr>
        <w:pStyle w:val="1557"/>
        <w:keepLines w:val="0"/>
        <w:keepNext w:val="0"/>
        <w:spacing w:after="0"/>
        <w:widowControl w:val="off"/>
        <w:rPr>
          <w:sz w:val="28"/>
          <w:szCs w:val="28"/>
        </w:rPr>
      </w:pPr>
      <w:r/>
      <w:bookmarkStart w:id="590" w:name="_Toc121125636"/>
      <w:r/>
      <w:bookmarkStart w:id="591" w:name="_Toc175216075"/>
      <w:r/>
      <w:r>
        <w:rPr>
          <w:sz w:val="28"/>
          <w:szCs w:val="28"/>
        </w:rPr>
      </w:r>
    </w:p>
    <w:p>
      <w:r/>
      <w:r/>
    </w:p>
    <w:p>
      <w:r/>
      <w:r/>
    </w:p>
    <w:p>
      <w:pPr>
        <w:pStyle w:val="1557"/>
        <w:keepLines w:val="0"/>
        <w:keepNext w:val="0"/>
        <w:spacing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Обосновывающие материалы</w:t>
      </w:r>
      <w:bookmarkEnd w:id="590"/>
      <w:r/>
      <w:bookmarkEnd w:id="591"/>
      <w:r/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Обосновывающие материалы содержат следующие разделы:</w:t>
      </w:r>
      <w:r>
        <w:rPr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Раздел 1. Обоснование прогнозируемого спроса на коммунальные ресурсы.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Раздел 2. Обоснование целевых показателей комплексного развития коммунальной инфраструктуры, а также мероприятий, входящих в план застройки городского округа.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Раздел 3. Характеристика состояния и проблем соответствующей системы коммунальной инфраструктуры.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Раздел 4. Оценка реализации мероприятий в области </w:t>
      </w:r>
      <w:r>
        <w:rPr>
          <w:rFonts w:asciiTheme="minorHAnsi" w:hAnsiTheme="minorHAnsi" w:cstheme="minorHAnsi"/>
          <w:sz w:val="28"/>
          <w:szCs w:val="28"/>
        </w:rPr>
        <w:t xml:space="preserve">энерго</w:t>
      </w:r>
      <w:r>
        <w:rPr>
          <w:rFonts w:asciiTheme="minorHAnsi" w:hAnsiTheme="minorHAnsi" w:cstheme="minorHAnsi"/>
          <w:sz w:val="28"/>
          <w:szCs w:val="28"/>
        </w:rPr>
        <w:t xml:space="preserve">- и ресурсосбережения, мероприятий по сбору и учету информации об использовании энергетических ресурсов в целях выявления возможностей энергосбережения и повышения энергетической эффективности. 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Раздел 5. Обоснование целевых показателей развития соответствующей системы коммунальной инфраструктуры. 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Раздел 6. Перечень инвестиционных проектов в отношении соответствующей системы коммунальной инфраструктуры. 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Раздел 7. Финансовые потребности для реализации программы. 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Раздел 8. Предложения по организации реализации инвестиционных проектов. 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Раздел 9. Обоснование использования в качестве источников финансирования инвестиционных проектов тарифов, платы за подключение (технологическое присоединение) объектов капитального строительства к системам коммунальной инфраструктуры. 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Раздел 10. Результаты оценки совокупного платежа граждан за коммунальные услуги на соответствие критериям доступности. 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Раздел 11. Прогнозируемые расходы бюджетов всех уровней на оказание мер социальной поддержки, в том числе предоставление отдельным категориям граждан субсидий на оплату жилого помещения и коммунальных услуг.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Раздел 12. Модели для расчета программы.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Приложение к Программе комплексного развития систем коммунальной инфраструктуры города Перми до 2034 года (прилагается отдельно).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70"/>
        <w:rPr>
          <w:sz w:val="28"/>
          <w:szCs w:val="28"/>
        </w:rPr>
      </w:pPr>
      <w:r>
        <w:rPr>
          <w:sz w:val="28"/>
          <w:szCs w:val="28"/>
        </w:rPr>
        <w:t xml:space="preserve">Обосновывающие материалы содержат информацию, предназначенную для служебного пользования, а также сведения, относящиеся к государственной тайне, и в открытом доступе не публикуются в соответствии с: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Российской Федерации от 03.11.1994 № 1233 «Об ут</w:t>
      </w:r>
      <w:r>
        <w:rPr>
          <w:sz w:val="28"/>
          <w:szCs w:val="28"/>
        </w:rPr>
        <w:t xml:space="preserve">верждении Положения о порядке обращения со служебной информацией ограниченного распространения в федеральных органах исполнительной власти, уполномоченном органе управления использования атомной энергии и уполномоченном органе по космической деятельности»;</w:t>
      </w:r>
      <w:r>
        <w:rPr>
          <w:sz w:val="28"/>
          <w:szCs w:val="28"/>
        </w:rPr>
      </w:r>
    </w:p>
    <w:p>
      <w:pPr>
        <w:pStyle w:val="1458"/>
        <w:numPr>
          <w:ilvl w:val="0"/>
          <w:numId w:val="0"/>
        </w:numPr>
        <w:ind w:firstLine="709"/>
      </w:pPr>
      <w:r>
        <w:rPr>
          <w:sz w:val="28"/>
          <w:szCs w:val="28"/>
        </w:rPr>
        <w:t xml:space="preserve">Указом Президента Российской Федерации от 30.11.1995 № 1203 «Об утверждении Перечня сведений, отнесенных к государственной тайне».</w:t>
      </w:r>
      <w:r/>
    </w:p>
    <w:sectPr>
      <w:footnotePr/>
      <w:endnotePr/>
      <w:type w:val="nextPage"/>
      <w:pgSz w:w="11906" w:h="16838" w:orient="portrait"/>
      <w:pgMar w:top="1134" w:right="567" w:bottom="1134" w:left="1418" w:header="567" w:footer="567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  <w:p>
      <w:r/>
      <w:r/>
    </w:p>
  </w:endnote>
  <w:endnote w:type="continuationSeparator" w:id="0">
    <w:p>
      <w:r>
        <w:continuationSeparator/>
      </w:r>
      <w:r/>
    </w:p>
    <w:p>
      <w:r/>
      <w:r/>
    </w:p>
    <w:p>
      <w:r>
        <w:rPr>
          <w:b/>
          <w:spacing w:val="-10"/>
          <w:szCs w:val="20"/>
        </w:rPr>
        <w:t xml:space="preserve">Схема водоснабжения и водоотведения городского поселения Углич </w:t>
      </w:r>
      <w:r>
        <w:rPr>
          <w:b/>
          <w:spacing w:val="-10"/>
          <w:szCs w:val="20"/>
        </w:rPr>
        <w:br/>
      </w:r>
      <w:r>
        <w:rPr>
          <w:b/>
          <w:spacing w:val="-10"/>
          <w:szCs w:val="20"/>
        </w:rPr>
        <w:t xml:space="preserve">Угличского</w:t>
      </w:r>
      <w:r>
        <w:rPr>
          <w:b/>
          <w:spacing w:val="-10"/>
          <w:szCs w:val="20"/>
        </w:rPr>
        <w:t xml:space="preserve"> муниципального района Ярославской области на период с 2018 по 2027 гг.</w:t>
      </w:r>
      <w:r/>
    </w:p>
  </w:endnote>
  <w:endnote w:type="continuationNotice" w:id="1">
    <w:p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3020204020204"/>
  </w:font>
  <w:font w:name="Calibri">
    <w:panose1 w:val="020F0502020204030204"/>
  </w:font>
  <w:font w:name="Tahoma">
    <w:panose1 w:val="020B0604030504040204"/>
  </w:font>
  <w:font w:name="Arial Black">
    <w:panose1 w:val="020B0A04020102020204"/>
  </w:font>
  <w:font w:name="Cambria">
    <w:panose1 w:val="02040803050406030204"/>
  </w:font>
  <w:font w:name="Arial Unicode MS">
    <w:panose1 w:val="020B0604020202020204"/>
  </w:font>
  <w:font w:name="Rubius Icons LTProtect Accent">
    <w:panose1 w:val="02000603000000000000"/>
  </w:font>
  <w:font w:name="Arial">
    <w:panose1 w:val="020B0604020202020204"/>
  </w:font>
  <w:font w:name="Arial Narrow">
    <w:panose1 w:val="020B0604020202020204"/>
  </w:font>
  <w:font w:name="TimesNewRomanPS-BoldMT">
    <w:panose1 w:val="02020603050405020304"/>
  </w:font>
  <w:font w:name="Microsoft YaHei">
    <w:panose1 w:val="020B0503020204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  <w:p>
      <w:r/>
      <w:r/>
    </w:p>
  </w:footnote>
  <w:footnote w:type="continuationSeparator" w:id="0">
    <w:p>
      <w:r>
        <w:continuationSeparator/>
      </w:r>
      <w:r/>
    </w:p>
    <w:p>
      <w:r/>
      <w:r/>
    </w:p>
  </w:footnote>
  <w:footnote w:type="continuationNotice" w:id="1">
    <w:p>
      <w:r/>
      <w:r/>
    </w:p>
  </w:footnote>
  <w:footnote w:id="3">
    <w:p>
      <w:pPr>
        <w:pStyle w:val="1320"/>
        <w:jc w:val="both"/>
      </w:pPr>
      <w:r>
        <w:rPr>
          <w:rStyle w:val="1482"/>
        </w:rPr>
        <w:footnoteRef/>
      </w:r>
      <w:r>
        <w:t xml:space="preserve"> Максимальный уровень цены на тепловую энергию, по которой теплоснабжающая организация может продавать тепло потребителям в зоне своей ответственности. </w:t>
      </w:r>
      <w:r/>
    </w:p>
  </w:footnote>
  <w:footnote w:id="4">
    <w:p>
      <w:pPr>
        <w:pStyle w:val="1320"/>
      </w:pPr>
      <w:r>
        <w:rPr>
          <w:rStyle w:val="1482"/>
        </w:rPr>
        <w:footnoteRef/>
      </w:r>
      <w:r>
        <w:t xml:space="preserve"> До 05.05.2022 Пермское краевое государственное унитарное предприятие «</w:t>
      </w:r>
      <w:r>
        <w:t xml:space="preserve">Теплоэнерго</w:t>
      </w:r>
      <w:r>
        <w:t xml:space="preserve">».</w:t>
      </w:r>
      <w:r/>
    </w:p>
  </w:footnote>
  <w:footnote w:id="5">
    <w:p>
      <w:pPr>
        <w:pStyle w:val="1320"/>
      </w:pPr>
      <w:r>
        <w:rPr>
          <w:rStyle w:val="1482"/>
        </w:rPr>
        <w:footnoteRef/>
      </w:r>
      <w:r>
        <w:t xml:space="preserve"> https://giep.permkrai.ru/dokumenty/317227/</w:t>
      </w:r>
      <w:r/>
    </w:p>
  </w:footnote>
  <w:footnote w:id="6">
    <w:p>
      <w:pPr>
        <w:pStyle w:val="1320"/>
        <w:jc w:val="both"/>
      </w:pPr>
      <w:r>
        <w:rPr>
          <w:rStyle w:val="1482"/>
        </w:rPr>
        <w:footnoteRef/>
      </w:r>
      <w:r>
        <w:t xml:space="preserve"> Под автономным энергосбережением понимается процесс снижения потребления топливно-энергетических ресурсов при соблюдении условия «при прочих равных», который происходит в силу естественных причин (развитие технологий, обновление фондов и т.п.).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37059564"/>
      <w:docPartObj>
        <w:docPartGallery w:val="Page Numbers (Top of Page)"/>
        <w:docPartUnique w:val="true"/>
      </w:docPartObj>
      <w:rPr/>
    </w:sdtPr>
    <w:sdtContent>
      <w:p>
        <w:pPr>
          <w:pStyle w:val="970"/>
          <w:jc w:val="center"/>
          <w:rPr>
            <w:szCs w:val="24"/>
          </w:rPr>
        </w:pPr>
        <w:r>
          <w:rPr>
            <w:szCs w:val="24"/>
          </w:rPr>
          <w:fldChar w:fldCharType="begin"/>
        </w:r>
        <w:r>
          <w:rPr>
            <w:szCs w:val="24"/>
          </w:rPr>
          <w:instrText xml:space="preserve">PAGE   \* MERGEFORMAT</w:instrText>
        </w:r>
        <w:r>
          <w:rPr>
            <w:szCs w:val="24"/>
          </w:rPr>
          <w:fldChar w:fldCharType="separate"/>
        </w:r>
        <w:r>
          <w:rPr>
            <w:szCs w:val="24"/>
          </w:rPr>
          <w:t xml:space="preserve">131</w:t>
        </w:r>
        <w:r>
          <w:rPr>
            <w:szCs w:val="24"/>
          </w:rPr>
          <w:fldChar w:fldCharType="end"/>
        </w:r>
        <w:r>
          <w:rPr>
            <w:szCs w:val="24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0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10"/>
      <w:isLgl w:val="false"/>
      <w:suff w:val="tab"/>
      <w:lvlText w:val="РАЗДЕЛ %1"/>
      <w:lvlJc w:val="left"/>
      <w:pPr>
        <w:ind w:left="0" w:firstLine="0"/>
        <w:tabs>
          <w:tab w:val="num" w:pos="0" w:leader="none"/>
        </w:tabs>
      </w:pPr>
      <w:rPr>
        <w:rFonts w:hint="default"/>
      </w:rPr>
    </w:lvl>
    <w:lvl w:ilvl="1">
      <w:start w:val="1"/>
      <w:numFmt w:val="decimal"/>
      <w:pStyle w:val="811"/>
      <w:isLgl w:val="false"/>
      <w:suff w:val="tab"/>
      <w:lvlText w:val="%1.%2"/>
      <w:lvlJc w:val="left"/>
      <w:pPr>
        <w:ind w:left="0" w:firstLine="0"/>
        <w:tabs>
          <w:tab w:val="num" w:pos="0" w:leader="none"/>
        </w:tabs>
      </w:pPr>
      <w:rPr>
        <w:rFonts w:hint="default"/>
      </w:rPr>
    </w:lvl>
    <w:lvl w:ilvl="2">
      <w:start w:val="1"/>
      <w:numFmt w:val="decimal"/>
      <w:pStyle w:val="812"/>
      <w:isLgl w:val="false"/>
      <w:suff w:val="tab"/>
      <w:lvlText w:val="%1.%2.%3"/>
      <w:lvlJc w:val="right"/>
      <w:pPr>
        <w:ind w:left="0" w:firstLine="0"/>
        <w:tabs>
          <w:tab w:val="num" w:pos="0" w:leader="none"/>
        </w:tabs>
      </w:pPr>
      <w:rPr>
        <w:b/>
        <w:bCs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abstractNum w:abstractNumId="1">
    <w:multiLevelType w:val="hybridMultilevel"/>
    <w:styleLink w:val="1141"/>
    <w:lvl w:ilvl="0">
      <w:start w:val="1"/>
      <w:numFmt w:val="bullet"/>
      <w:pStyle w:val="1141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multiLevelType w:val="hybridMultilevel"/>
    <w:styleLink w:val="1138"/>
    <w:lvl w:ilvl="0">
      <w:start w:val="1"/>
      <w:numFmt w:val="decimal"/>
      <w:pStyle w:val="1138"/>
      <w:isLgl w:val="false"/>
      <w:suff w:val="tab"/>
      <w:lvlText w:val="Раздел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72" w:hanging="504"/>
      </w:pPr>
      <w:rPr>
        <w:rFonts w:hint="default" w:ascii="Times New Roman" w:hAnsi="Times New Roman"/>
        <w:b/>
        <w:bCs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3">
      <w:start w:val="1"/>
      <w:numFmt w:val="russianLower"/>
      <w:pStyle w:val="813"/>
      <w:isLgl w:val="false"/>
      <w:suff w:val="tab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pStyle w:val="147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styleLink w:val="1541"/>
    <w:lvl w:ilvl="0">
      <w:start w:val="3"/>
      <w:numFmt w:val="decimal"/>
      <w:pStyle w:val="1541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5">
    <w:multiLevelType w:val="hybridMultilevel"/>
    <w:styleLink w:val="1208"/>
    <w:lvl w:ilvl="0">
      <w:start w:val="1"/>
      <w:numFmt w:val="decimal"/>
      <w:pStyle w:val="1208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1.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styleLink w:val="1142"/>
    <w:lvl w:ilvl="0">
      <w:start w:val="1"/>
      <w:numFmt w:val="decimal"/>
      <w:pStyle w:val="1142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ascii="Arial" w:hAnsi="Arial"/>
        <w:b/>
        <w:sz w:val="22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  <w:rPr>
        <w:rFonts w:ascii="Arial" w:hAnsi="Arial"/>
        <w:b/>
        <w:sz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7">
    <w:multiLevelType w:val="hybridMultilevel"/>
    <w:lvl w:ilvl="0">
      <w:start w:val="1"/>
      <w:numFmt w:val="decimal"/>
      <w:pStyle w:val="1543"/>
      <w:isLgl w:val="false"/>
      <w:suff w:val="tab"/>
      <w:lvlText w:val="%1."/>
      <w:lvlJc w:val="left"/>
      <w:pPr>
        <w:ind w:left="734" w:hanging="360"/>
      </w:pPr>
      <w:rPr>
        <w:rFonts w:hint="default"/>
      </w:rPr>
    </w:lvl>
    <w:lvl w:ilvl="1">
      <w:start w:val="7"/>
      <w:numFmt w:val="decimal"/>
      <w:isLgl/>
      <w:suff w:val="tab"/>
      <w:lvlText w:val="%1.%2."/>
      <w:lvlJc w:val="left"/>
      <w:pPr>
        <w:ind w:left="1443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92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01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5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5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08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17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966" w:hanging="1800"/>
      </w:pPr>
      <w:rPr>
        <w:rFonts w:hint="default"/>
      </w:rPr>
    </w:lvl>
  </w:abstractNum>
  <w:abstractNum w:abstractNumId="8">
    <w:multiLevelType w:val="hybridMultilevel"/>
    <w:styleLink w:val="1170"/>
    <w:lvl w:ilvl="0">
      <w:start w:val="1"/>
      <w:numFmt w:val="decimal"/>
      <w:pStyle w:val="1170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decimal"/>
      <w:isLgl/>
      <w:suff w:val="tab"/>
      <w:lvlText w:val="%1.%2"/>
      <w:lvlJc w:val="left"/>
      <w:pPr>
        <w:ind w:left="927" w:hanging="360"/>
      </w:pPr>
    </w:lvl>
    <w:lvl w:ilvl="2">
      <w:start w:val="1"/>
      <w:numFmt w:val="decimal"/>
      <w:isLgl/>
      <w:suff w:val="tab"/>
      <w:lvlText w:val="%1.%2.%3"/>
      <w:lvlJc w:val="left"/>
      <w:pPr>
        <w:ind w:left="1287" w:hanging="720"/>
      </w:pPr>
    </w:lvl>
    <w:lvl w:ilvl="3">
      <w:start w:val="1"/>
      <w:numFmt w:val="decimal"/>
      <w:isLgl/>
      <w:suff w:val="tab"/>
      <w:lvlText w:val="%1.%2.%3.%4"/>
      <w:lvlJc w:val="left"/>
      <w:pPr>
        <w:ind w:left="1287" w:hanging="720"/>
      </w:pPr>
    </w:lvl>
    <w:lvl w:ilvl="4">
      <w:start w:val="1"/>
      <w:numFmt w:val="decimal"/>
      <w:isLgl/>
      <w:suff w:val="tab"/>
      <w:lvlText w:val="%1.%2.%3.%4.%5"/>
      <w:lvlJc w:val="left"/>
      <w:pPr>
        <w:ind w:left="1647" w:hanging="1080"/>
      </w:pPr>
    </w:lvl>
    <w:lvl w:ilvl="5">
      <w:start w:val="1"/>
      <w:numFmt w:val="decimal"/>
      <w:isLgl/>
      <w:suff w:val="tab"/>
      <w:lvlText w:val="%1.%2.%3.%4.%5.%6"/>
      <w:lvlJc w:val="left"/>
      <w:pPr>
        <w:ind w:left="1647" w:hanging="1080"/>
      </w:pPr>
    </w:lvl>
    <w:lvl w:ilvl="6">
      <w:start w:val="1"/>
      <w:numFmt w:val="decimal"/>
      <w:isLgl/>
      <w:suff w:val="tab"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suff w:val="tab"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suff w:val="tab"/>
      <w:lvlText w:val="%1.%2.%3.%4.%5.%6.%7.%8.%9"/>
      <w:lvlJc w:val="left"/>
      <w:pPr>
        <w:ind w:left="2007" w:hanging="1440"/>
      </w:pPr>
    </w:lvl>
  </w:abstractNum>
  <w:abstractNum w:abstractNumId="9">
    <w:multiLevelType w:val="hybridMultilevel"/>
    <w:styleLink w:val="1143"/>
    <w:lvl w:ilvl="0">
      <w:start w:val="1"/>
      <w:numFmt w:val="bullet"/>
      <w:pStyle w:val="1143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styleLink w:val="1139"/>
    <w:lvl w:ilvl="0">
      <w:start w:val="1"/>
      <w:numFmt w:val="decimal"/>
      <w:pStyle w:val="1139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800"/>
      </w:pPr>
    </w:lvl>
  </w:abstractNum>
  <w:abstractNum w:abstractNumId="11">
    <w:multiLevelType w:val="hybridMultilevel"/>
    <w:lvl w:ilvl="0">
      <w:start w:val="1"/>
      <w:numFmt w:val="bullet"/>
      <w:pStyle w:val="1458"/>
      <w:isLgl w:val="false"/>
      <w:suff w:val="tab"/>
      <w:lvlText w:val=""/>
      <w:lvlJc w:val="left"/>
      <w:pPr>
        <w:ind w:left="1220" w:firstLine="199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styleLink w:val="993"/>
    <w:lvl w:ilvl="0">
      <w:start w:val="1"/>
      <w:numFmt w:val="decimal"/>
      <w:pStyle w:val="993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817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818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multiLevelType w:val="hybridMultilevel"/>
    <w:styleLink w:val="1140"/>
    <w:lvl w:ilvl="0">
      <w:start w:val="1"/>
      <w:numFmt w:val="bullet"/>
      <w:pStyle w:val="1140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"/>
  </w:num>
  <w:num w:numId="5">
    <w:abstractNumId w:val="6"/>
  </w:num>
  <w:num w:numId="6">
    <w:abstractNumId w:val="9"/>
  </w:num>
  <w:num w:numId="7">
    <w:abstractNumId w:val="8"/>
  </w:num>
  <w:num w:numId="8">
    <w:abstractNumId w:val="5"/>
  </w:num>
  <w:num w:numId="9">
    <w:abstractNumId w:val="3"/>
  </w:num>
  <w:num w:numId="10">
    <w:abstractNumId w:val="2"/>
    <w:lvlOverride w:ilvl="0">
      <w:lvl w:ilvl="0">
        <w:start w:val="1"/>
        <w:numFmt w:val="decimal"/>
        <w:pStyle w:val="1138"/>
        <w:isLgl w:val="false"/>
        <w:suff w:val="tab"/>
        <w:lvlText w:val="%1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isLgl w:val="false"/>
        <w:suff w:val="tab"/>
        <w:lvlText w:val="%2."/>
        <w:lvlJc w:val="left"/>
        <w:pPr>
          <w:ind w:left="1789" w:hanging="360"/>
        </w:pPr>
      </w:lvl>
    </w:lvlOverride>
    <w:lvlOverride w:ilvl="2">
      <w:lvl w:ilvl="2">
        <w:start w:val="1"/>
        <w:numFmt w:val="lowerRoman"/>
        <w:isLgl w:val="false"/>
        <w:suff w:val="tab"/>
        <w:lvlText w:val="%3."/>
        <w:lvlJc w:val="right"/>
        <w:pPr>
          <w:ind w:left="2509" w:hanging="180"/>
        </w:pPr>
      </w:lvl>
    </w:lvlOverride>
    <w:lvlOverride w:ilvl="3">
      <w:lvl w:ilvl="3">
        <w:start w:val="1"/>
        <w:numFmt w:val="decimal"/>
        <w:pStyle w:val="813"/>
        <w:isLgl w:val="false"/>
        <w:suff w:val="tab"/>
        <w:lvlText w:val="%4."/>
        <w:lvlJc w:val="left"/>
        <w:pPr>
          <w:ind w:left="3229" w:hanging="360"/>
        </w:pPr>
      </w:lvl>
    </w:lvlOverride>
    <w:lvlOverride w:ilvl="4">
      <w:lvl w:ilvl="4">
        <w:start w:val="1"/>
        <w:numFmt w:val="lowerLetter"/>
        <w:isLgl w:val="false"/>
        <w:suff w:val="tab"/>
        <w:lvlText w:val="%5."/>
        <w:lvlJc w:val="left"/>
        <w:pPr>
          <w:ind w:left="3949" w:hanging="360"/>
        </w:pPr>
      </w:lvl>
    </w:lvlOverride>
    <w:lvlOverride w:ilvl="5">
      <w:lvl w:ilvl="5">
        <w:start w:val="1"/>
        <w:numFmt w:val="lowerRoman"/>
        <w:isLgl w:val="false"/>
        <w:suff w:val="tab"/>
        <w:lvlText w:val="%6."/>
        <w:lvlJc w:val="right"/>
        <w:pPr>
          <w:ind w:left="4669" w:hanging="180"/>
        </w:pPr>
      </w:lvl>
    </w:lvlOverride>
    <w:lvlOverride w:ilvl="6">
      <w:lvl w:ilvl="6">
        <w:start w:val="1"/>
        <w:numFmt w:val="decimal"/>
        <w:isLgl w:val="false"/>
        <w:suff w:val="tab"/>
        <w:lvlText w:val="%7."/>
        <w:lvlJc w:val="left"/>
        <w:pPr>
          <w:ind w:left="5389" w:hanging="360"/>
        </w:pPr>
      </w:lvl>
    </w:lvlOverride>
    <w:lvlOverride w:ilvl="7">
      <w:lvl w:ilvl="7">
        <w:start w:val="1"/>
        <w:numFmt w:val="lowerLetter"/>
        <w:isLgl w:val="false"/>
        <w:suff w:val="tab"/>
        <w:lvlText w:val="%8."/>
        <w:lvlJc w:val="left"/>
        <w:pPr>
          <w:ind w:left="6109" w:hanging="360"/>
        </w:pPr>
      </w:lvl>
    </w:lvlOverride>
    <w:lvlOverride w:ilvl="8">
      <w:lvl w:ilvl="8">
        <w:start w:val="1"/>
        <w:numFmt w:val="lowerRoman"/>
        <w:isLgl w:val="false"/>
        <w:suff w:val="tab"/>
        <w:lvlText w:val="%9."/>
        <w:lvlJc w:val="right"/>
        <w:pPr>
          <w:ind w:left="6829" w:hanging="180"/>
        </w:pPr>
      </w:lvl>
    </w:lvlOverride>
  </w:num>
  <w:num w:numId="11">
    <w:abstractNumId w:val="4"/>
  </w:num>
  <w:num w:numId="12">
    <w:abstractNumId w:val="7"/>
  </w:num>
  <w:num w:numId="13">
    <w:abstractNumId w:val="2"/>
  </w:num>
  <w:num w:numId="14">
    <w:abstractNumId w:val="11"/>
  </w:num>
  <w:num w:numId="15">
    <w:abstractNumId w:val="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  <w:footnote w:id="1"/>
  </w:footnotePr>
  <w:endnotePr>
    <w:pos w:val="sectEnd"/>
    <w:numFmt w:val="lowerRoman"/>
    <w:numStart w:val="1"/>
    <w:numRestart w:val="continuous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4"/>
        <w:szCs w:val="24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7">
    <w:name w:val="Subtitle Char"/>
    <w:basedOn w:val="819"/>
    <w:link w:val="832"/>
    <w:uiPriority w:val="11"/>
    <w:rPr>
      <w:sz w:val="24"/>
      <w:szCs w:val="24"/>
    </w:rPr>
  </w:style>
  <w:style w:type="character" w:styleId="39">
    <w:name w:val="Quote Char"/>
    <w:link w:val="834"/>
    <w:uiPriority w:val="29"/>
    <w:rPr>
      <w:i/>
    </w:rPr>
  </w:style>
  <w:style w:type="character" w:styleId="41">
    <w:name w:val="Intense Quote Char"/>
    <w:link w:val="836"/>
    <w:uiPriority w:val="30"/>
    <w:rPr>
      <w:i/>
    </w:rPr>
  </w:style>
  <w:style w:type="table" w:styleId="50">
    <w:name w:val="Plain Table 1"/>
    <w:basedOn w:val="8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8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809" w:default="1">
    <w:name w:val="Normal"/>
    <w:pPr>
      <w:spacing w:after="0" w:line="240" w:lineRule="auto"/>
    </w:pPr>
    <w:rPr>
      <w:rFonts w:eastAsia="Times New Roman"/>
      <w:lang w:eastAsia="ru-RU"/>
    </w:rPr>
  </w:style>
  <w:style w:type="paragraph" w:styleId="810">
    <w:name w:val="Heading 1"/>
    <w:basedOn w:val="809"/>
    <w:next w:val="809"/>
    <w:link w:val="973"/>
    <w:uiPriority w:val="9"/>
    <w:qFormat/>
    <w:pPr>
      <w:numPr>
        <w:ilvl w:val="0"/>
        <w:numId w:val="15"/>
      </w:numPr>
      <w:contextualSpacing/>
      <w:ind w:left="709"/>
      <w:spacing w:after="480"/>
      <w:tabs>
        <w:tab w:val="num" w:pos="709" w:leader="none"/>
        <w:tab w:val="left" w:pos="1985" w:leader="none"/>
      </w:tabs>
      <w:outlineLvl w:val="0"/>
    </w:pPr>
    <w:rPr>
      <w:rFonts w:eastAsiaTheme="minorHAnsi" w:cstheme="minorBidi"/>
      <w:b/>
      <w:lang w:eastAsia="en-US"/>
    </w:rPr>
  </w:style>
  <w:style w:type="paragraph" w:styleId="811">
    <w:name w:val="Heading 2"/>
    <w:basedOn w:val="810"/>
    <w:next w:val="809"/>
    <w:link w:val="975"/>
    <w:uiPriority w:val="9"/>
    <w:unhideWhenUsed/>
    <w:qFormat/>
    <w:pPr>
      <w:numPr>
        <w:ilvl w:val="1"/>
      </w:numPr>
      <w:ind w:left="709"/>
      <w:spacing w:after="360"/>
      <w:tabs>
        <w:tab w:val="clear" w:pos="0" w:leader="none"/>
        <w:tab w:val="left" w:pos="1276" w:leader="none"/>
        <w:tab w:val="clear" w:pos="1985" w:leader="none"/>
      </w:tabs>
      <w:outlineLvl w:val="1"/>
    </w:pPr>
  </w:style>
  <w:style w:type="paragraph" w:styleId="812">
    <w:name w:val="Heading 3"/>
    <w:basedOn w:val="809"/>
    <w:next w:val="809"/>
    <w:link w:val="976"/>
    <w:uiPriority w:val="9"/>
    <w:unhideWhenUsed/>
    <w:qFormat/>
    <w:pPr>
      <w:numPr>
        <w:ilvl w:val="2"/>
        <w:numId w:val="15"/>
      </w:numPr>
      <w:ind w:left="709" w:firstLine="425"/>
      <w:jc w:val="both"/>
      <w:keepNext/>
      <w:spacing w:after="120"/>
      <w:tabs>
        <w:tab w:val="clear" w:pos="0" w:leader="none"/>
      </w:tabs>
      <w:outlineLvl w:val="2"/>
    </w:pPr>
    <w:rPr>
      <w:rFonts w:eastAsiaTheme="minorHAnsi" w:cstheme="minorBidi"/>
      <w:b/>
      <w:lang w:eastAsia="en-US"/>
    </w:rPr>
  </w:style>
  <w:style w:type="paragraph" w:styleId="813">
    <w:name w:val="Heading 4"/>
    <w:basedOn w:val="809"/>
    <w:next w:val="809"/>
    <w:link w:val="977"/>
    <w:uiPriority w:val="9"/>
    <w:unhideWhenUsed/>
    <w:qFormat/>
    <w:pPr>
      <w:numPr>
        <w:ilvl w:val="3"/>
        <w:numId w:val="10"/>
      </w:numPr>
      <w:contextualSpacing/>
      <w:keepNext/>
      <w:spacing w:before="120" w:line="276" w:lineRule="auto"/>
      <w:outlineLvl w:val="3"/>
    </w:pPr>
    <w:rPr>
      <w:rFonts w:eastAsiaTheme="minorHAnsi"/>
      <w:b/>
      <w:i/>
      <w:lang w:eastAsia="en-US"/>
    </w:rPr>
  </w:style>
  <w:style w:type="paragraph" w:styleId="814">
    <w:name w:val="Heading 5"/>
    <w:basedOn w:val="809"/>
    <w:next w:val="809"/>
    <w:link w:val="997"/>
    <w:uiPriority w:val="9"/>
    <w:unhideWhenUsed/>
    <w:qFormat/>
    <w:pPr>
      <w:ind w:left="1008" w:hanging="1008"/>
      <w:keepLines/>
      <w:keepNext/>
      <w:spacing w:before="200" w:line="276" w:lineRule="auto"/>
      <w:outlineLvl w:val="4"/>
    </w:pPr>
    <w:rPr>
      <w:rFonts w:ascii="Cambria" w:hAnsi="Cambria" w:eastAsiaTheme="minorEastAsia" w:cstheme="minorBidi"/>
      <w:color w:val="243f60"/>
      <w:szCs w:val="22"/>
    </w:rPr>
  </w:style>
  <w:style w:type="paragraph" w:styleId="815">
    <w:name w:val="Heading 6"/>
    <w:basedOn w:val="809"/>
    <w:next w:val="809"/>
    <w:link w:val="978"/>
    <w:uiPriority w:val="9"/>
    <w:unhideWhenUsed/>
    <w:qFormat/>
    <w:pPr>
      <w:spacing w:before="240" w:after="60" w:line="276" w:lineRule="auto"/>
      <w:outlineLvl w:val="5"/>
    </w:pPr>
    <w:rPr>
      <w:rFonts w:asciiTheme="minorHAnsi" w:hAnsiTheme="minorHAnsi" w:eastAsiaTheme="minorEastAsia" w:cstheme="minorBidi"/>
      <w:b/>
      <w:bCs/>
      <w:sz w:val="22"/>
      <w:szCs w:val="22"/>
      <w:lang w:eastAsia="en-US"/>
    </w:rPr>
  </w:style>
  <w:style w:type="paragraph" w:styleId="816">
    <w:name w:val="Heading 7"/>
    <w:basedOn w:val="809"/>
    <w:next w:val="809"/>
    <w:link w:val="979"/>
    <w:uiPriority w:val="9"/>
    <w:unhideWhenUsed/>
    <w:qFormat/>
    <w:pPr>
      <w:spacing w:before="240" w:after="60" w:line="276" w:lineRule="auto"/>
      <w:outlineLvl w:val="6"/>
    </w:pPr>
    <w:rPr>
      <w:rFonts w:asciiTheme="minorHAnsi" w:hAnsiTheme="minorHAnsi" w:eastAsiaTheme="minorEastAsia" w:cstheme="minorBidi"/>
      <w:lang w:eastAsia="en-US"/>
    </w:rPr>
  </w:style>
  <w:style w:type="paragraph" w:styleId="817">
    <w:name w:val="Heading 8"/>
    <w:basedOn w:val="809"/>
    <w:next w:val="809"/>
    <w:link w:val="980"/>
    <w:uiPriority w:val="9"/>
    <w:unhideWhenUsed/>
    <w:qFormat/>
    <w:pPr>
      <w:numPr>
        <w:ilvl w:val="7"/>
        <w:numId w:val="1"/>
      </w:numPr>
      <w:keepLines/>
      <w:keepNext/>
      <w:spacing w:before="200" w:line="276" w:lineRule="auto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en-US"/>
    </w:rPr>
  </w:style>
  <w:style w:type="paragraph" w:styleId="818">
    <w:name w:val="Heading 9"/>
    <w:basedOn w:val="809"/>
    <w:next w:val="809"/>
    <w:link w:val="981"/>
    <w:uiPriority w:val="9"/>
    <w:unhideWhenUsed/>
    <w:qFormat/>
    <w:pPr>
      <w:numPr>
        <w:ilvl w:val="8"/>
        <w:numId w:val="1"/>
      </w:numPr>
      <w:keepLines/>
      <w:keepNext/>
      <w:spacing w:before="200" w:line="276" w:lineRule="auto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en-US"/>
    </w:rPr>
  </w:style>
  <w:style w:type="character" w:styleId="819" w:default="1">
    <w:name w:val="Default Paragraph Font"/>
    <w:uiPriority w:val="1"/>
    <w:semiHidden/>
    <w:unhideWhenUsed/>
  </w:style>
  <w:style w:type="table" w:styleId="8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1" w:default="1">
    <w:name w:val="No List"/>
    <w:uiPriority w:val="99"/>
    <w:semiHidden/>
    <w:unhideWhenUsed/>
  </w:style>
  <w:style w:type="character" w:styleId="822" w:customStyle="1">
    <w:name w:val="Heading 1 Char"/>
    <w:basedOn w:val="819"/>
    <w:uiPriority w:val="9"/>
    <w:rPr>
      <w:rFonts w:ascii="Arial" w:hAnsi="Arial" w:eastAsia="Arial" w:cs="Arial"/>
      <w:sz w:val="40"/>
      <w:szCs w:val="40"/>
    </w:rPr>
  </w:style>
  <w:style w:type="character" w:styleId="823" w:customStyle="1">
    <w:name w:val="Heading 2 Char"/>
    <w:basedOn w:val="819"/>
    <w:uiPriority w:val="9"/>
    <w:rPr>
      <w:rFonts w:ascii="Arial" w:hAnsi="Arial" w:eastAsia="Arial" w:cs="Arial"/>
      <w:sz w:val="34"/>
    </w:rPr>
  </w:style>
  <w:style w:type="character" w:styleId="824" w:customStyle="1">
    <w:name w:val="Heading 3 Char"/>
    <w:basedOn w:val="819"/>
    <w:uiPriority w:val="9"/>
    <w:rPr>
      <w:rFonts w:ascii="Arial" w:hAnsi="Arial" w:eastAsia="Arial" w:cs="Arial"/>
      <w:sz w:val="30"/>
      <w:szCs w:val="30"/>
    </w:rPr>
  </w:style>
  <w:style w:type="character" w:styleId="825" w:customStyle="1">
    <w:name w:val="Heading 4 Char"/>
    <w:basedOn w:val="819"/>
    <w:uiPriority w:val="9"/>
    <w:rPr>
      <w:rFonts w:ascii="Arial" w:hAnsi="Arial" w:eastAsia="Arial" w:cs="Arial"/>
      <w:b/>
      <w:bCs/>
      <w:sz w:val="26"/>
      <w:szCs w:val="26"/>
    </w:rPr>
  </w:style>
  <w:style w:type="character" w:styleId="826" w:customStyle="1">
    <w:name w:val="Heading 5 Char"/>
    <w:basedOn w:val="819"/>
    <w:uiPriority w:val="9"/>
    <w:rPr>
      <w:rFonts w:ascii="Arial" w:hAnsi="Arial" w:eastAsia="Arial" w:cs="Arial"/>
      <w:b/>
      <w:bCs/>
      <w:sz w:val="24"/>
      <w:szCs w:val="24"/>
    </w:rPr>
  </w:style>
  <w:style w:type="character" w:styleId="827" w:customStyle="1">
    <w:name w:val="Heading 6 Char"/>
    <w:basedOn w:val="819"/>
    <w:uiPriority w:val="9"/>
    <w:rPr>
      <w:rFonts w:ascii="Arial" w:hAnsi="Arial" w:eastAsia="Arial" w:cs="Arial"/>
      <w:b/>
      <w:bCs/>
      <w:sz w:val="22"/>
      <w:szCs w:val="22"/>
    </w:rPr>
  </w:style>
  <w:style w:type="character" w:styleId="828" w:customStyle="1">
    <w:name w:val="Heading 7 Char"/>
    <w:basedOn w:val="8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9" w:customStyle="1">
    <w:name w:val="Heading 8 Char"/>
    <w:basedOn w:val="819"/>
    <w:uiPriority w:val="9"/>
    <w:rPr>
      <w:rFonts w:ascii="Arial" w:hAnsi="Arial" w:eastAsia="Arial" w:cs="Arial"/>
      <w:i/>
      <w:iCs/>
      <w:sz w:val="22"/>
      <w:szCs w:val="22"/>
    </w:rPr>
  </w:style>
  <w:style w:type="character" w:styleId="830" w:customStyle="1">
    <w:name w:val="Heading 9 Char"/>
    <w:basedOn w:val="819"/>
    <w:uiPriority w:val="9"/>
    <w:rPr>
      <w:rFonts w:ascii="Arial" w:hAnsi="Arial" w:eastAsia="Arial" w:cs="Arial"/>
      <w:i/>
      <w:iCs/>
      <w:sz w:val="21"/>
      <w:szCs w:val="21"/>
    </w:rPr>
  </w:style>
  <w:style w:type="character" w:styleId="831" w:customStyle="1">
    <w:name w:val="Title Char"/>
    <w:basedOn w:val="819"/>
    <w:uiPriority w:val="10"/>
    <w:rPr>
      <w:sz w:val="48"/>
      <w:szCs w:val="48"/>
    </w:rPr>
  </w:style>
  <w:style w:type="paragraph" w:styleId="832">
    <w:name w:val="Subtitle"/>
    <w:basedOn w:val="809"/>
    <w:next w:val="809"/>
    <w:link w:val="833"/>
    <w:uiPriority w:val="11"/>
    <w:qFormat/>
    <w:pPr>
      <w:spacing w:before="200" w:after="200"/>
    </w:pPr>
  </w:style>
  <w:style w:type="character" w:styleId="833" w:customStyle="1">
    <w:name w:val="Подзаголовок Знак"/>
    <w:basedOn w:val="819"/>
    <w:link w:val="832"/>
    <w:uiPriority w:val="11"/>
    <w:rPr>
      <w:sz w:val="24"/>
      <w:szCs w:val="24"/>
    </w:rPr>
  </w:style>
  <w:style w:type="paragraph" w:styleId="834">
    <w:name w:val="Quote"/>
    <w:basedOn w:val="809"/>
    <w:next w:val="809"/>
    <w:link w:val="835"/>
    <w:uiPriority w:val="29"/>
    <w:qFormat/>
    <w:pPr>
      <w:ind w:left="720" w:right="720"/>
    </w:pPr>
    <w:rPr>
      <w:i/>
    </w:rPr>
  </w:style>
  <w:style w:type="character" w:styleId="835" w:customStyle="1">
    <w:name w:val="Цитата 2 Знак"/>
    <w:link w:val="834"/>
    <w:uiPriority w:val="29"/>
    <w:rPr>
      <w:i/>
    </w:rPr>
  </w:style>
  <w:style w:type="paragraph" w:styleId="836">
    <w:name w:val="Intense Quote"/>
    <w:basedOn w:val="809"/>
    <w:next w:val="809"/>
    <w:link w:val="83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7" w:customStyle="1">
    <w:name w:val="Выделенная цитата Знак"/>
    <w:link w:val="836"/>
    <w:uiPriority w:val="30"/>
    <w:rPr>
      <w:i/>
    </w:rPr>
  </w:style>
  <w:style w:type="character" w:styleId="838" w:customStyle="1">
    <w:name w:val="Header Char"/>
    <w:basedOn w:val="819"/>
    <w:uiPriority w:val="99"/>
  </w:style>
  <w:style w:type="character" w:styleId="839" w:customStyle="1">
    <w:name w:val="Footer Char"/>
    <w:basedOn w:val="819"/>
    <w:uiPriority w:val="99"/>
  </w:style>
  <w:style w:type="character" w:styleId="840" w:customStyle="1">
    <w:name w:val="Caption Char"/>
    <w:uiPriority w:val="99"/>
  </w:style>
  <w:style w:type="table" w:styleId="841" w:customStyle="1">
    <w:name w:val="Table Grid Light"/>
    <w:basedOn w:val="82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42" w:customStyle="1">
    <w:name w:val="Таблица простая 11"/>
    <w:basedOn w:val="82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3" w:customStyle="1">
    <w:name w:val="Таблица простая 21"/>
    <w:basedOn w:val="82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4" w:customStyle="1">
    <w:name w:val="Таблица простая 31"/>
    <w:basedOn w:val="8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5" w:customStyle="1">
    <w:name w:val="Таблица простая 41"/>
    <w:basedOn w:val="8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Таблица простая 51"/>
    <w:basedOn w:val="8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7" w:customStyle="1">
    <w:name w:val="Таблица-сетка 1 светлая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Grid Table 1 Light - Accent 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Grid Table 1 Light - Accent 2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Grid Table 1 Light - Accent 3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Grid Table 1 Light - Accent 4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Grid Table 1 Light - Accent 5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Grid Table 1 Light - Accent 6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Таблица-сетка 2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2 - Accent 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2 - Accent 2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2 - Accent 3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2 - Accent 4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2 - Accent 5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2 - Accent 6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Таблица-сетка 3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3 - Accent 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3 - Accent 2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3 - Accent 3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3 - Accent 4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3 - Accent 5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3 - Accent 6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Таблица-сетка 41"/>
    <w:basedOn w:val="8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9" w:customStyle="1">
    <w:name w:val="Grid Table 4 - Accent 1"/>
    <w:basedOn w:val="8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70" w:customStyle="1">
    <w:name w:val="Grid Table 4 - Accent 2"/>
    <w:basedOn w:val="8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71" w:customStyle="1">
    <w:name w:val="Grid Table 4 - Accent 3"/>
    <w:basedOn w:val="8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72" w:customStyle="1">
    <w:name w:val="Grid Table 4 - Accent 4"/>
    <w:basedOn w:val="8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73" w:customStyle="1">
    <w:name w:val="Grid Table 4 - Accent 5"/>
    <w:basedOn w:val="8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74" w:customStyle="1">
    <w:name w:val="Grid Table 4 - Accent 6"/>
    <w:basedOn w:val="8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75" w:customStyle="1">
    <w:name w:val="Таблица-сетка 5 темная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76" w:customStyle="1">
    <w:name w:val="Grid Table 5 Dark- Accent 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77" w:customStyle="1">
    <w:name w:val="Grid Table 5 Dark - Accent 2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78" w:customStyle="1">
    <w:name w:val="Grid Table 5 Dark - Accent 3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79" w:customStyle="1">
    <w:name w:val="Grid Table 5 Dark- Accent 4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80" w:customStyle="1">
    <w:name w:val="Grid Table 5 Dark - Accent 5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81" w:customStyle="1">
    <w:name w:val="Grid Table 5 Dark - Accent 6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82" w:customStyle="1">
    <w:name w:val="Таблица-сетка 6 цветная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83" w:customStyle="1">
    <w:name w:val="Grid Table 6 Colorful - Accent 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84" w:customStyle="1">
    <w:name w:val="Grid Table 6 Colorful - Accent 2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85" w:customStyle="1">
    <w:name w:val="Grid Table 6 Colorful - Accent 3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86" w:customStyle="1">
    <w:name w:val="Grid Table 6 Colorful - Accent 4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87" w:customStyle="1">
    <w:name w:val="Grid Table 6 Colorful - Accent 5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88" w:customStyle="1">
    <w:name w:val="Grid Table 6 Colorful - Accent 6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89" w:customStyle="1">
    <w:name w:val="Таблица-сетка 7 цветная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0" w:customStyle="1">
    <w:name w:val="Grid Table 7 Colorful - Accent 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1" w:customStyle="1">
    <w:name w:val="Grid Table 7 Colorful - Accent 2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2" w:customStyle="1">
    <w:name w:val="Grid Table 7 Colorful - Accent 3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3" w:customStyle="1">
    <w:name w:val="Grid Table 7 Colorful - Accent 4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4" w:customStyle="1">
    <w:name w:val="Grid Table 7 Colorful - Accent 5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5" w:customStyle="1">
    <w:name w:val="Grid Table 7 Colorful - Accent 6"/>
    <w:basedOn w:val="8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6" w:customStyle="1">
    <w:name w:val="Список-таблица 1 светлая1"/>
    <w:basedOn w:val="8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1 Light - Accent 1"/>
    <w:basedOn w:val="8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1 Light - Accent 2"/>
    <w:basedOn w:val="8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1 Light - Accent 3"/>
    <w:basedOn w:val="8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st Table 1 Light - Accent 4"/>
    <w:basedOn w:val="8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List Table 1 Light - Accent 5"/>
    <w:basedOn w:val="8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List Table 1 Light - Accent 6"/>
    <w:basedOn w:val="8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Список-таблица 2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04" w:customStyle="1">
    <w:name w:val="List Table 2 - Accent 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05" w:customStyle="1">
    <w:name w:val="List Table 2 - Accent 2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06" w:customStyle="1">
    <w:name w:val="List Table 2 - Accent 3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07" w:customStyle="1">
    <w:name w:val="List Table 2 - Accent 4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08" w:customStyle="1">
    <w:name w:val="List Table 2 - Accent 5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09" w:customStyle="1">
    <w:name w:val="List Table 2 - Accent 6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10" w:customStyle="1">
    <w:name w:val="Список-таблица 3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3 - Accent 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3 - Accent 2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3 - Accent 3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 w:customStyle="1">
    <w:name w:val="List Table 3 - Accent 4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 w:customStyle="1">
    <w:name w:val="List Table 3 - Accent 5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 w:customStyle="1">
    <w:name w:val="List Table 3 - Accent 6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 w:customStyle="1">
    <w:name w:val="Список-таблица 4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 w:customStyle="1">
    <w:name w:val="List Table 4 - Accent 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 w:customStyle="1">
    <w:name w:val="List Table 4 - Accent 2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4 - Accent 3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List Table 4 - Accent 4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List Table 4 - Accent 5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 w:customStyle="1">
    <w:name w:val="List Table 4 - Accent 6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 w:customStyle="1">
    <w:name w:val="Список-таблица 5 темная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5" w:customStyle="1">
    <w:name w:val="List Table 5 Dark - Accent 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6" w:customStyle="1">
    <w:name w:val="List Table 5 Dark - Accent 2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7" w:customStyle="1">
    <w:name w:val="List Table 5 Dark - Accent 3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8" w:customStyle="1">
    <w:name w:val="List Table 5 Dark - Accent 4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9" w:customStyle="1">
    <w:name w:val="List Table 5 Dark - Accent 5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0" w:customStyle="1">
    <w:name w:val="List Table 5 Dark - Accent 6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1" w:customStyle="1">
    <w:name w:val="Список-таблица 6 цветная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32" w:customStyle="1">
    <w:name w:val="List Table 6 Colorful - Accent 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33" w:customStyle="1">
    <w:name w:val="List Table 6 Colorful - Accent 2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34" w:customStyle="1">
    <w:name w:val="List Table 6 Colorful - Accent 3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35" w:customStyle="1">
    <w:name w:val="List Table 6 Colorful - Accent 4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36" w:customStyle="1">
    <w:name w:val="List Table 6 Colorful - Accent 5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37" w:customStyle="1">
    <w:name w:val="List Table 6 Colorful - Accent 6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38" w:customStyle="1">
    <w:name w:val="Список-таблица 7 цветная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9" w:customStyle="1">
    <w:name w:val="List Table 7 Colorful - Accent 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0" w:customStyle="1">
    <w:name w:val="List Table 7 Colorful - Accent 2"/>
    <w:basedOn w:val="8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1" w:customStyle="1">
    <w:name w:val="List Table 7 Colorful - Accent 3"/>
    <w:basedOn w:val="8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2" w:customStyle="1">
    <w:name w:val="List Table 7 Colorful - Accent 4"/>
    <w:basedOn w:val="8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3" w:customStyle="1">
    <w:name w:val="List Table 7 Colorful - Accent 5"/>
    <w:basedOn w:val="8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4" w:customStyle="1">
    <w:name w:val="List Table 7 Colorful - Accent 6"/>
    <w:basedOn w:val="8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5" w:customStyle="1">
    <w:name w:val="Lined - Accent"/>
    <w:basedOn w:val="8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6" w:customStyle="1">
    <w:name w:val="Lined - Accent 1"/>
    <w:basedOn w:val="8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7" w:customStyle="1">
    <w:name w:val="Lined - Accent 2"/>
    <w:basedOn w:val="8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8" w:customStyle="1">
    <w:name w:val="Lined - Accent 3"/>
    <w:basedOn w:val="8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9" w:customStyle="1">
    <w:name w:val="Lined - Accent 4"/>
    <w:basedOn w:val="8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50" w:customStyle="1">
    <w:name w:val="Lined - Accent 5"/>
    <w:basedOn w:val="8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51" w:customStyle="1">
    <w:name w:val="Lined - Accent 6"/>
    <w:basedOn w:val="8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52" w:customStyle="1">
    <w:name w:val="Bordered &amp; Lined - Accent"/>
    <w:basedOn w:val="8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3" w:customStyle="1">
    <w:name w:val="Bordered &amp; Lined - Accent 1"/>
    <w:basedOn w:val="8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54" w:customStyle="1">
    <w:name w:val="Bordered &amp; Lined - Accent 2"/>
    <w:basedOn w:val="8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55" w:customStyle="1">
    <w:name w:val="Bordered &amp; Lined - Accent 3"/>
    <w:basedOn w:val="8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56" w:customStyle="1">
    <w:name w:val="Bordered &amp; Lined - Accent 4"/>
    <w:basedOn w:val="8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57" w:customStyle="1">
    <w:name w:val="Bordered &amp; Lined - Accent 5"/>
    <w:basedOn w:val="8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58" w:customStyle="1">
    <w:name w:val="Bordered &amp; Lined - Accent 6"/>
    <w:basedOn w:val="8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59" w:customStyle="1">
    <w:name w:val="Bordered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60" w:customStyle="1">
    <w:name w:val="Bordered - Accent 1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61" w:customStyle="1">
    <w:name w:val="Bordered - Accent 2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62" w:customStyle="1">
    <w:name w:val="Bordered - Accent 3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63" w:customStyle="1">
    <w:name w:val="Bordered - Accent 4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64" w:customStyle="1">
    <w:name w:val="Bordered - Accent 5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65" w:customStyle="1">
    <w:name w:val="Bordered - Accent 6"/>
    <w:basedOn w:val="8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66" w:customStyle="1">
    <w:name w:val="Footnote Text Char"/>
    <w:uiPriority w:val="99"/>
    <w:rPr>
      <w:sz w:val="18"/>
    </w:rPr>
  </w:style>
  <w:style w:type="character" w:styleId="967" w:customStyle="1">
    <w:name w:val="Endnote Text Char"/>
    <w:uiPriority w:val="99"/>
    <w:rPr>
      <w:sz w:val="20"/>
    </w:rPr>
  </w:style>
  <w:style w:type="paragraph" w:styleId="968" w:customStyle="1">
    <w:name w:val="Рис_подпись"/>
    <w:basedOn w:val="809"/>
    <w:next w:val="985"/>
    <w:link w:val="969"/>
    <w:qFormat/>
    <w:pPr>
      <w:jc w:val="center"/>
      <w:keepLines/>
      <w:keepNext/>
      <w:spacing w:after="240"/>
    </w:pPr>
    <w:rPr>
      <w:rFonts w:eastAsiaTheme="minorHAnsi" w:cstheme="minorBidi"/>
      <w:lang w:eastAsia="en-US"/>
    </w:rPr>
  </w:style>
  <w:style w:type="character" w:styleId="969" w:customStyle="1">
    <w:name w:val="Рис_подпись Знак"/>
    <w:link w:val="968"/>
    <w:rPr>
      <w:rFonts w:cstheme="minorBidi"/>
    </w:rPr>
  </w:style>
  <w:style w:type="paragraph" w:styleId="970">
    <w:name w:val="Header"/>
    <w:basedOn w:val="809"/>
    <w:link w:val="971"/>
    <w:uiPriority w:val="99"/>
    <w:unhideWhenUsed/>
    <w:pPr>
      <w:tabs>
        <w:tab w:val="center" w:pos="4677" w:leader="none"/>
        <w:tab w:val="right" w:pos="9355" w:leader="none"/>
      </w:tabs>
    </w:pPr>
    <w:rPr>
      <w:rFonts w:eastAsiaTheme="minorEastAsia" w:cstheme="minorBidi"/>
      <w:szCs w:val="22"/>
      <w:lang w:eastAsia="en-US"/>
    </w:rPr>
  </w:style>
  <w:style w:type="character" w:styleId="971" w:customStyle="1">
    <w:name w:val="Верхний колонтитул Знак"/>
    <w:basedOn w:val="819"/>
    <w:link w:val="970"/>
    <w:uiPriority w:val="99"/>
    <w:rPr>
      <w:rFonts w:eastAsiaTheme="minorEastAsia" w:cstheme="minorBidi"/>
      <w:szCs w:val="22"/>
    </w:rPr>
  </w:style>
  <w:style w:type="paragraph" w:styleId="972">
    <w:name w:val="Footer"/>
    <w:basedOn w:val="809"/>
    <w:link w:val="974"/>
    <w:uiPriority w:val="99"/>
    <w:unhideWhenUsed/>
    <w:qFormat/>
    <w:pPr>
      <w:tabs>
        <w:tab w:val="center" w:pos="4677" w:leader="none"/>
        <w:tab w:val="right" w:pos="9355" w:leader="none"/>
      </w:tabs>
    </w:pPr>
    <w:rPr>
      <w:rFonts w:eastAsiaTheme="minorEastAsia" w:cstheme="minorBidi"/>
      <w:szCs w:val="22"/>
      <w:lang w:eastAsia="en-US"/>
    </w:rPr>
  </w:style>
  <w:style w:type="character" w:styleId="973" w:customStyle="1">
    <w:name w:val="Заголовок 1 Знак"/>
    <w:link w:val="810"/>
    <w:uiPriority w:val="9"/>
    <w:rPr>
      <w:rFonts w:cstheme="minorBidi"/>
      <w:b/>
    </w:rPr>
  </w:style>
  <w:style w:type="character" w:styleId="974" w:customStyle="1">
    <w:name w:val="Нижний колонтитул Знак"/>
    <w:basedOn w:val="819"/>
    <w:link w:val="972"/>
    <w:uiPriority w:val="99"/>
    <w:qFormat/>
    <w:rPr>
      <w:rFonts w:eastAsiaTheme="minorEastAsia" w:cstheme="minorBidi"/>
      <w:szCs w:val="22"/>
    </w:rPr>
  </w:style>
  <w:style w:type="character" w:styleId="975" w:customStyle="1">
    <w:name w:val="Заголовок 2 Знак"/>
    <w:link w:val="811"/>
    <w:uiPriority w:val="9"/>
    <w:qFormat/>
    <w:rPr>
      <w:rFonts w:cstheme="minorBidi"/>
      <w:b/>
    </w:rPr>
  </w:style>
  <w:style w:type="character" w:styleId="976" w:customStyle="1">
    <w:name w:val="Заголовок 3 Знак"/>
    <w:link w:val="812"/>
    <w:uiPriority w:val="9"/>
    <w:rPr>
      <w:rFonts w:cstheme="minorBidi"/>
      <w:b/>
    </w:rPr>
  </w:style>
  <w:style w:type="character" w:styleId="977" w:customStyle="1">
    <w:name w:val="Заголовок 4 Знак"/>
    <w:link w:val="813"/>
    <w:uiPriority w:val="9"/>
    <w:rPr>
      <w:b/>
      <w:i/>
    </w:rPr>
  </w:style>
  <w:style w:type="character" w:styleId="978" w:customStyle="1">
    <w:name w:val="Заголовок 6 Знак"/>
    <w:basedOn w:val="819"/>
    <w:link w:val="815"/>
    <w:uiPriority w:val="9"/>
    <w:rPr>
      <w:rFonts w:asciiTheme="minorHAnsi" w:hAnsiTheme="minorHAnsi" w:eastAsiaTheme="minorEastAsia" w:cstheme="minorBidi"/>
      <w:b/>
      <w:bCs/>
      <w:sz w:val="22"/>
      <w:szCs w:val="22"/>
    </w:rPr>
  </w:style>
  <w:style w:type="character" w:styleId="979" w:customStyle="1">
    <w:name w:val="Заголовок 7 Знак"/>
    <w:basedOn w:val="819"/>
    <w:link w:val="816"/>
    <w:uiPriority w:val="9"/>
    <w:rPr>
      <w:rFonts w:asciiTheme="minorHAnsi" w:hAnsiTheme="minorHAnsi" w:eastAsiaTheme="minorEastAsia" w:cstheme="minorBidi"/>
    </w:rPr>
  </w:style>
  <w:style w:type="character" w:styleId="980" w:customStyle="1">
    <w:name w:val="Заголовок 8 Знак"/>
    <w:basedOn w:val="819"/>
    <w:link w:val="817"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981" w:customStyle="1">
    <w:name w:val="Заголовок 9 Знак"/>
    <w:basedOn w:val="819"/>
    <w:link w:val="818"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982">
    <w:name w:val="toc 1"/>
    <w:basedOn w:val="809"/>
    <w:next w:val="809"/>
    <w:uiPriority w:val="39"/>
    <w:unhideWhenUsed/>
    <w:qFormat/>
    <w:pPr>
      <w:jc w:val="both"/>
      <w:spacing w:line="360" w:lineRule="auto"/>
      <w:tabs>
        <w:tab w:val="left" w:pos="284" w:leader="none"/>
        <w:tab w:val="right" w:pos="9911" w:leader="dot"/>
      </w:tabs>
    </w:pPr>
    <w:rPr>
      <w:rFonts w:eastAsiaTheme="minorEastAsia" w:cstheme="minorBidi"/>
      <w:szCs w:val="22"/>
      <w:lang w:eastAsia="en-US"/>
    </w:rPr>
  </w:style>
  <w:style w:type="paragraph" w:styleId="983">
    <w:name w:val="toc 2"/>
    <w:basedOn w:val="809"/>
    <w:next w:val="809"/>
    <w:uiPriority w:val="39"/>
    <w:unhideWhenUsed/>
    <w:pPr>
      <w:jc w:val="both"/>
      <w:spacing w:after="100" w:line="276" w:lineRule="auto"/>
      <w:tabs>
        <w:tab w:val="left" w:pos="284" w:leader="none"/>
        <w:tab w:val="left" w:pos="1320" w:leader="none"/>
        <w:tab w:val="right" w:pos="9911" w:leader="dot"/>
      </w:tabs>
    </w:pPr>
    <w:rPr>
      <w:rFonts w:eastAsiaTheme="minorEastAsia" w:cstheme="minorBidi"/>
      <w:szCs w:val="22"/>
      <w:lang w:eastAsia="en-US"/>
    </w:rPr>
  </w:style>
  <w:style w:type="character" w:styleId="984">
    <w:name w:val="Hyperlink"/>
    <w:basedOn w:val="819"/>
    <w:uiPriority w:val="99"/>
    <w:unhideWhenUsed/>
    <w:rPr>
      <w:color w:val="0000ff" w:themeColor="hyperlink"/>
      <w:u w:val="single"/>
    </w:rPr>
  </w:style>
  <w:style w:type="paragraph" w:styleId="985">
    <w:name w:val="No Spacing"/>
    <w:link w:val="986"/>
    <w:uiPriority w:val="1"/>
    <w:qFormat/>
    <w:pPr>
      <w:ind w:firstLine="709"/>
      <w:jc w:val="both"/>
      <w:spacing w:after="0" w:line="360" w:lineRule="auto"/>
    </w:pPr>
  </w:style>
  <w:style w:type="character" w:styleId="986" w:customStyle="1">
    <w:name w:val="Без интервала Знак"/>
    <w:link w:val="985"/>
    <w:uiPriority w:val="1"/>
    <w:qFormat/>
  </w:style>
  <w:style w:type="table" w:styleId="987" w:customStyle="1">
    <w:name w:val="Таблица"/>
    <w:basedOn w:val="820"/>
    <w:uiPriority w:val="99"/>
    <w:pPr>
      <w:jc w:val="center"/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b/>
        <w:i w:val="0"/>
        <w:sz w:val="20"/>
      </w:rPr>
      <w:trPr>
        <w:tblHeader/>
      </w:trPr>
    </w:tblStylePr>
  </w:style>
  <w:style w:type="table" w:styleId="988">
    <w:name w:val="Table Grid"/>
    <w:basedOn w:val="82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89" w:customStyle="1">
    <w:name w:val="Рис_тело"/>
    <w:basedOn w:val="809"/>
    <w:next w:val="968"/>
    <w:link w:val="990"/>
    <w:qFormat/>
    <w:pPr>
      <w:jc w:val="center"/>
      <w:keepNext/>
      <w:spacing w:before="240" w:line="276" w:lineRule="auto"/>
    </w:pPr>
    <w:rPr>
      <w:szCs w:val="22"/>
      <w:lang w:eastAsia="en-US"/>
    </w:rPr>
  </w:style>
  <w:style w:type="character" w:styleId="990" w:customStyle="1">
    <w:name w:val="Рис_тело Знак"/>
    <w:link w:val="989"/>
    <w:rPr>
      <w:rFonts w:eastAsia="Times New Roman"/>
      <w:szCs w:val="22"/>
    </w:rPr>
  </w:style>
  <w:style w:type="paragraph" w:styleId="991" w:customStyle="1">
    <w:name w:val="Табл_подпись"/>
    <w:basedOn w:val="968"/>
    <w:link w:val="992"/>
    <w:pPr>
      <w:spacing w:after="0"/>
    </w:pPr>
    <w:rPr>
      <w:b/>
    </w:rPr>
  </w:style>
  <w:style w:type="character" w:styleId="992" w:customStyle="1">
    <w:name w:val="Табл_подпись Знак"/>
    <w:basedOn w:val="969"/>
    <w:link w:val="991"/>
    <w:rPr>
      <w:rFonts w:cstheme="minorBidi"/>
      <w:b/>
    </w:rPr>
  </w:style>
  <w:style w:type="numbering" w:styleId="993" w:customStyle="1">
    <w:name w:val="WW8Num1"/>
    <w:pPr>
      <w:numPr>
        <w:ilvl w:val="0"/>
        <w:numId w:val="1"/>
      </w:numPr>
    </w:pPr>
  </w:style>
  <w:style w:type="character" w:styleId="994">
    <w:name w:val="annotation reference"/>
    <w:basedOn w:val="819"/>
    <w:unhideWhenUsed/>
    <w:qFormat/>
    <w:rPr>
      <w:sz w:val="16"/>
      <w:szCs w:val="16"/>
    </w:rPr>
  </w:style>
  <w:style w:type="character" w:styleId="995">
    <w:name w:val="Placeholder Text"/>
    <w:basedOn w:val="819"/>
    <w:uiPriority w:val="99"/>
    <w:semiHidden/>
    <w:rPr>
      <w:color w:val="808080"/>
    </w:rPr>
  </w:style>
  <w:style w:type="paragraph" w:styleId="996">
    <w:name w:val="Revision"/>
    <w:hidden/>
    <w:uiPriority w:val="99"/>
    <w:semiHidden/>
    <w:pPr>
      <w:spacing w:after="0" w:line="240" w:lineRule="auto"/>
    </w:pPr>
    <w:rPr>
      <w:rFonts w:eastAsiaTheme="minorEastAsia" w:cstheme="minorBidi"/>
      <w:szCs w:val="22"/>
    </w:rPr>
  </w:style>
  <w:style w:type="character" w:styleId="997" w:customStyle="1">
    <w:name w:val="Заголовок 5 Знак"/>
    <w:basedOn w:val="819"/>
    <w:link w:val="814"/>
    <w:uiPriority w:val="9"/>
    <w:rPr>
      <w:rFonts w:ascii="Cambria" w:hAnsi="Cambria" w:eastAsiaTheme="minorEastAsia" w:cstheme="minorBidi"/>
      <w:color w:val="243f60"/>
      <w:szCs w:val="22"/>
      <w:lang w:eastAsia="ru-RU"/>
    </w:rPr>
  </w:style>
  <w:style w:type="paragraph" w:styleId="998">
    <w:name w:val="endnote text"/>
    <w:basedOn w:val="809"/>
    <w:link w:val="999"/>
    <w:uiPriority w:val="99"/>
    <w:semiHidden/>
    <w:unhideWhenUsed/>
    <w:rPr>
      <w:sz w:val="20"/>
      <w:szCs w:val="20"/>
    </w:rPr>
  </w:style>
  <w:style w:type="character" w:styleId="999" w:customStyle="1">
    <w:name w:val="Текст концевой сноски Знак"/>
    <w:basedOn w:val="819"/>
    <w:link w:val="998"/>
    <w:uiPriority w:val="99"/>
    <w:semiHidden/>
    <w:rPr>
      <w:rFonts w:eastAsia="Times New Roman"/>
      <w:sz w:val="20"/>
      <w:szCs w:val="20"/>
      <w:lang w:eastAsia="ru-RU"/>
    </w:rPr>
  </w:style>
  <w:style w:type="character" w:styleId="1000">
    <w:name w:val="endnote reference"/>
    <w:basedOn w:val="819"/>
    <w:uiPriority w:val="99"/>
    <w:semiHidden/>
    <w:unhideWhenUsed/>
    <w:rPr>
      <w:vertAlign w:val="superscript"/>
    </w:rPr>
  </w:style>
  <w:style w:type="paragraph" w:styleId="1001">
    <w:name w:val="index 1"/>
    <w:basedOn w:val="809"/>
    <w:uiPriority w:val="99"/>
    <w:semiHidden/>
    <w:unhideWhenUsed/>
    <w:pPr>
      <w:ind w:firstLine="567"/>
      <w:jc w:val="both"/>
      <w:widowControl w:val="off"/>
    </w:pPr>
    <w:rPr>
      <w:rFonts w:eastAsia="Microsoft YaHei" w:cstheme="minorBidi"/>
      <w:sz w:val="20"/>
      <w:szCs w:val="22"/>
    </w:rPr>
  </w:style>
  <w:style w:type="paragraph" w:styleId="1002">
    <w:name w:val="index 2"/>
    <w:basedOn w:val="809"/>
    <w:uiPriority w:val="99"/>
    <w:semiHidden/>
    <w:unhideWhenUsed/>
    <w:pPr>
      <w:ind w:left="720" w:firstLine="567"/>
      <w:jc w:val="both"/>
      <w:widowControl w:val="off"/>
    </w:pPr>
    <w:rPr>
      <w:rFonts w:eastAsia="Microsoft YaHei"/>
      <w:sz w:val="20"/>
    </w:rPr>
  </w:style>
  <w:style w:type="paragraph" w:styleId="1003">
    <w:name w:val="index 3"/>
    <w:basedOn w:val="809"/>
    <w:uiPriority w:val="99"/>
    <w:semiHidden/>
    <w:unhideWhenUsed/>
    <w:pPr>
      <w:ind w:firstLine="567"/>
      <w:jc w:val="both"/>
      <w:widowControl w:val="off"/>
    </w:pPr>
    <w:rPr>
      <w:rFonts w:eastAsia="Microsoft YaHei" w:cstheme="minorBidi"/>
      <w:sz w:val="20"/>
      <w:szCs w:val="22"/>
    </w:rPr>
  </w:style>
  <w:style w:type="paragraph" w:styleId="1004">
    <w:name w:val="index 4"/>
    <w:basedOn w:val="809"/>
    <w:uiPriority w:val="99"/>
    <w:semiHidden/>
    <w:unhideWhenUsed/>
    <w:pPr>
      <w:ind w:left="1440" w:firstLine="567"/>
      <w:jc w:val="both"/>
      <w:widowControl w:val="off"/>
    </w:pPr>
    <w:rPr>
      <w:rFonts w:eastAsia="Microsoft YaHei"/>
      <w:sz w:val="20"/>
    </w:rPr>
  </w:style>
  <w:style w:type="paragraph" w:styleId="1005">
    <w:name w:val="index 5"/>
    <w:basedOn w:val="809"/>
    <w:uiPriority w:val="99"/>
    <w:semiHidden/>
    <w:unhideWhenUsed/>
    <w:pPr>
      <w:ind w:left="1800" w:firstLine="567"/>
      <w:jc w:val="both"/>
      <w:widowControl w:val="off"/>
    </w:pPr>
    <w:rPr>
      <w:rFonts w:eastAsia="Microsoft YaHei"/>
      <w:sz w:val="20"/>
    </w:rPr>
  </w:style>
  <w:style w:type="character" w:styleId="1006" w:customStyle="1">
    <w:name w:val="Нижний колонтитул Знак1"/>
    <w:uiPriority w:val="99"/>
    <w:semiHidden/>
    <w:rPr>
      <w:rFonts w:eastAsia="Times New Roman" w:cs="Times New Roman"/>
      <w:szCs w:val="22"/>
    </w:rPr>
  </w:style>
  <w:style w:type="paragraph" w:styleId="1007">
    <w:name w:val="index heading"/>
    <w:basedOn w:val="809"/>
    <w:next w:val="1001"/>
    <w:uiPriority w:val="99"/>
    <w:semiHidden/>
    <w:unhideWhenUsed/>
    <w:pPr>
      <w:ind w:firstLine="567"/>
      <w:jc w:val="both"/>
      <w:spacing w:line="480" w:lineRule="atLeast"/>
      <w:widowControl w:val="off"/>
    </w:pPr>
    <w:rPr>
      <w:rFonts w:ascii="Arial Black" w:hAnsi="Arial Black" w:eastAsia="Microsoft YaHei"/>
      <w:sz w:val="20"/>
    </w:rPr>
  </w:style>
  <w:style w:type="paragraph" w:styleId="1008">
    <w:name w:val="table of authorities"/>
    <w:basedOn w:val="809"/>
    <w:uiPriority w:val="99"/>
    <w:semiHidden/>
    <w:unhideWhenUsed/>
    <w:pPr>
      <w:ind w:left="1440" w:hanging="360"/>
      <w:jc w:val="both"/>
      <w:widowControl w:val="off"/>
      <w:tabs>
        <w:tab w:val="right" w:pos="7560" w:leader="dot"/>
      </w:tabs>
    </w:pPr>
    <w:rPr>
      <w:rFonts w:eastAsia="Microsoft YaHei"/>
      <w:sz w:val="20"/>
    </w:rPr>
  </w:style>
  <w:style w:type="paragraph" w:styleId="1009">
    <w:name w:val="toa heading"/>
    <w:basedOn w:val="809"/>
    <w:next w:val="1008"/>
    <w:uiPriority w:val="99"/>
    <w:semiHidden/>
    <w:unhideWhenUsed/>
    <w:pPr>
      <w:ind w:firstLine="567"/>
      <w:jc w:val="both"/>
      <w:keepNext/>
      <w:spacing w:line="480" w:lineRule="atLeast"/>
      <w:widowControl w:val="off"/>
    </w:pPr>
    <w:rPr>
      <w:rFonts w:ascii="Arial Black" w:hAnsi="Arial Black" w:eastAsia="Microsoft YaHei"/>
      <w:b/>
      <w:spacing w:val="-10"/>
      <w:sz w:val="20"/>
    </w:rPr>
  </w:style>
  <w:style w:type="character" w:styleId="1010" w:customStyle="1">
    <w:name w:val="Основной текст Знак1"/>
    <w:semiHidden/>
    <w:rPr>
      <w:rFonts w:eastAsia="Times New Roman" w:cs="Times New Roman"/>
      <w:szCs w:val="22"/>
    </w:rPr>
  </w:style>
  <w:style w:type="paragraph" w:styleId="1011">
    <w:name w:val="Document Map"/>
    <w:basedOn w:val="809"/>
    <w:link w:val="1012"/>
    <w:uiPriority w:val="99"/>
    <w:semiHidden/>
    <w:unhideWhenUsed/>
    <w:pPr>
      <w:ind w:firstLine="567"/>
      <w:jc w:val="both"/>
      <w:shd w:val="clear" w:color="auto" w:fill="000080"/>
      <w:widowControl w:val="off"/>
    </w:pPr>
    <w:rPr>
      <w:rFonts w:ascii="Tahoma" w:hAnsi="Tahoma" w:eastAsia="Microsoft YaHei" w:cs="Tahoma"/>
      <w:sz w:val="20"/>
    </w:rPr>
  </w:style>
  <w:style w:type="character" w:styleId="1012" w:customStyle="1">
    <w:name w:val="Схема документа Знак"/>
    <w:basedOn w:val="819"/>
    <w:link w:val="1011"/>
    <w:uiPriority w:val="99"/>
    <w:semiHidden/>
    <w:rPr>
      <w:rFonts w:ascii="Tahoma" w:hAnsi="Tahoma" w:eastAsia="Microsoft YaHei" w:cs="Tahoma"/>
      <w:sz w:val="20"/>
      <w:shd w:val="clear" w:color="auto" w:fill="000080"/>
      <w:lang w:eastAsia="ru-RU"/>
    </w:rPr>
  </w:style>
  <w:style w:type="character" w:styleId="1013" w:customStyle="1">
    <w:name w:val="рисунок Знак"/>
    <w:link w:val="1014"/>
    <w:semiHidden/>
    <w:rPr>
      <w:lang w:eastAsia="ru-RU"/>
    </w:rPr>
  </w:style>
  <w:style w:type="paragraph" w:styleId="1014" w:customStyle="1">
    <w:name w:val="рисунок"/>
    <w:basedOn w:val="809"/>
    <w:next w:val="809"/>
    <w:link w:val="1013"/>
    <w:semiHidden/>
    <w:pPr>
      <w:ind w:firstLine="567"/>
      <w:jc w:val="center"/>
      <w:keepNext/>
      <w:spacing w:line="360" w:lineRule="auto"/>
    </w:pPr>
    <w:rPr>
      <w:rFonts w:eastAsiaTheme="minorHAnsi"/>
    </w:rPr>
  </w:style>
  <w:style w:type="paragraph" w:styleId="1015" w:customStyle="1">
    <w:name w:val="Стиль Основной текст + 11 пт Первая строка:  095 см Перед:  6 пт"/>
    <w:basedOn w:val="809"/>
    <w:uiPriority w:val="99"/>
    <w:semiHidden/>
    <w:pPr>
      <w:ind w:firstLine="709"/>
      <w:jc w:val="both"/>
      <w:spacing w:line="360" w:lineRule="auto"/>
    </w:pPr>
    <w:rPr>
      <w:sz w:val="20"/>
      <w:szCs w:val="20"/>
    </w:rPr>
  </w:style>
  <w:style w:type="character" w:styleId="1016" w:customStyle="1">
    <w:name w:val="Заголовок 2 Знак1"/>
    <w:uiPriority w:val="9"/>
    <w:semiHidden/>
    <w:rPr>
      <w:rFonts w:hint="default" w:ascii="Cambria" w:hAnsi="Cambria" w:eastAsia="Times New Roman" w:cs="Times New Roman"/>
      <w:b/>
      <w:bCs/>
      <w:color w:val="4f81bd"/>
      <w:sz w:val="26"/>
      <w:szCs w:val="26"/>
    </w:rPr>
  </w:style>
  <w:style w:type="character" w:styleId="1017" w:customStyle="1">
    <w:name w:val="Заголовок 3 Знак1"/>
    <w:uiPriority w:val="9"/>
    <w:semiHidden/>
    <w:rPr>
      <w:rFonts w:hint="default" w:ascii="Cambria" w:hAnsi="Cambria" w:eastAsia="Times New Roman" w:cs="Times New Roman"/>
      <w:b/>
      <w:bCs/>
      <w:color w:val="4f81bd"/>
    </w:rPr>
  </w:style>
  <w:style w:type="table" w:styleId="1018">
    <w:name w:val="Table Simple 1"/>
    <w:basedOn w:val="820"/>
    <w:unhideWhenUsed/>
    <w:pPr>
      <w:ind w:firstLine="567"/>
      <w:jc w:val="both"/>
      <w:spacing w:before="120" w:after="120"/>
      <w:widowControl w:val="off"/>
    </w:pPr>
    <w:rPr>
      <w:rFonts w:eastAsia="Times New Roman"/>
      <w:lang w:eastAsia="ru-RU"/>
    </w:rPr>
    <w:tblPr>
      <w:tblBorders>
        <w:top w:val="single" w:color="008000" w:sz="12" w:space="0"/>
        <w:bottom w:val="single" w:color="008000" w:sz="12" w:space="0"/>
      </w:tblBorders>
    </w:tblPr>
    <w:tblStylePr w:type="firstRow">
      <w:tcPr>
        <w:tcBorders>
          <w:bottom w:val="single" w:color="008000" w:sz="6" w:space="0"/>
        </w:tcBorders>
      </w:tcPr>
    </w:tblStylePr>
    <w:tblStylePr w:type="lastRow">
      <w:tcPr>
        <w:tcBorders>
          <w:top w:val="single" w:color="008000" w:sz="6" w:space="0"/>
        </w:tcBorders>
      </w:tcPr>
    </w:tblStylePr>
  </w:style>
  <w:style w:type="table" w:styleId="1019">
    <w:name w:val="Table Simple 2"/>
    <w:basedOn w:val="820"/>
    <w:unhideWhenUsed/>
    <w:pPr>
      <w:ind w:firstLine="567"/>
      <w:jc w:val="both"/>
      <w:spacing w:line="360" w:lineRule="atLeast"/>
      <w:widowControl w:val="off"/>
    </w:pPr>
    <w:rPr>
      <w:rFonts w:eastAsia="Times New Roman"/>
      <w:lang w:eastAsia="ru-RU"/>
    </w:rPr>
    <w:tblPr/>
    <w:tblStylePr w:type="firstCol">
      <w:rPr>
        <w:b/>
        <w:bCs/>
      </w:rPr>
      <w:tcPr>
        <w:tcBorders>
          <w:right w:val="single" w:color="000000" w:sz="12" w:space="0"/>
        </w:tcBorders>
      </w:tcPr>
    </w:tblStylePr>
    <w:tblStylePr w:type="firstRow">
      <w:rPr>
        <w:b/>
        <w:bCs/>
      </w:rPr>
      <w:tcPr>
        <w:tcBorders>
          <w:bottom w:val="single" w:color="000000" w:sz="12" w:space="0"/>
        </w:tcBorders>
      </w:tcPr>
    </w:tblStylePr>
    <w:tblStylePr w:type="lastCol">
      <w:rPr>
        <w:b/>
        <w:bCs/>
      </w:rPr>
      <w:tcPr>
        <w:tcBorders>
          <w:left w:val="single" w:color="000000" w:sz="6" w:space="0"/>
        </w:tcBorders>
      </w:tcPr>
    </w:tblStylePr>
    <w:tblStylePr w:type="lastRow">
      <w:rPr>
        <w:b/>
        <w:bCs/>
        <w:color w:val="auto"/>
      </w:rPr>
      <w:tcPr>
        <w:tcBorders>
          <w:top w:val="single" w:color="000000" w:sz="6" w:space="0"/>
        </w:tcBorders>
      </w:tcPr>
    </w:tblStylePr>
    <w:tblStylePr w:type="neCell">
      <w:rPr>
        <w:b/>
        <w:bCs/>
      </w:rPr>
      <w:tcPr>
        <w:tcBorders>
          <w:left w:val="none" w:color="000000" w:sz="0" w:space="0"/>
        </w:tcBorders>
      </w:tcPr>
    </w:tblStylePr>
    <w:tblStylePr w:type="swCell">
      <w:rPr>
        <w:b/>
        <w:bCs/>
      </w:rPr>
      <w:tcPr>
        <w:tcBorders>
          <w:top w:val="none" w:color="000000" w:sz="0" w:space="0"/>
        </w:tcBorders>
      </w:tcPr>
    </w:tblStylePr>
  </w:style>
  <w:style w:type="table" w:styleId="1020">
    <w:name w:val="Table Simple 3"/>
    <w:basedOn w:val="820"/>
    <w:unhideWhenUsed/>
    <w:pPr>
      <w:ind w:firstLine="567"/>
      <w:jc w:val="both"/>
      <w:spacing w:before="120" w:after="120"/>
      <w:widowControl w:val="off"/>
    </w:pPr>
    <w:rPr>
      <w:rFonts w:eastAsia="Times New Roman"/>
      <w:lang w:eastAsia="ru-R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/>
        <w:bCs/>
        <w:color w:val="ffffff"/>
      </w:rPr>
      <w:tcPr>
        <w:shd w:val="solid" w:color="000000" w:fill="ffffff"/>
      </w:tcPr>
    </w:tblStylePr>
  </w:style>
  <w:style w:type="table" w:styleId="1021">
    <w:name w:val="Table Classic 1"/>
    <w:basedOn w:val="820"/>
    <w:unhideWhenUsed/>
    <w:pPr>
      <w:ind w:firstLine="567"/>
      <w:jc w:val="both"/>
      <w:spacing w:before="120" w:after="120"/>
      <w:widowControl w:val="off"/>
    </w:pPr>
    <w:rPr>
      <w:rFonts w:eastAsia="Times New Roman"/>
      <w:lang w:eastAsia="ru-RU"/>
    </w:rPr>
    <w:tblPr>
      <w:tblBorders>
        <w:top w:val="single" w:color="000000" w:sz="12" w:space="0"/>
        <w:bottom w:val="single" w:color="000000" w:sz="12" w:space="0"/>
      </w:tblBorders>
    </w:tblPr>
    <w:tblStylePr w:type="firstCol">
      <w:tcPr>
        <w:tcBorders>
          <w:right w:val="single" w:color="000000" w:sz="6" w:space="0"/>
        </w:tcBorders>
      </w:tcPr>
    </w:tblStylePr>
    <w:tblStylePr w:type="firstRow">
      <w:rPr>
        <w:i/>
        <w:iCs/>
      </w:rPr>
      <w:tcPr>
        <w:tcBorders>
          <w:bottom w:val="single" w:color="000000" w:sz="6" w:space="0"/>
        </w:tcBorders>
      </w:tcPr>
    </w:tblStylePr>
    <w:tblStylePr w:type="lastRow">
      <w:rPr>
        <w:color w:val="auto"/>
      </w:rPr>
      <w:tcPr>
        <w:tcBorders>
          <w:top w:val="single" w:color="000000" w:sz="6" w:space="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1022">
    <w:name w:val="Table Classic 2"/>
    <w:basedOn w:val="820"/>
    <w:unhideWhenUsed/>
    <w:pPr>
      <w:ind w:firstLine="567"/>
      <w:jc w:val="both"/>
      <w:spacing w:before="120" w:after="120"/>
      <w:widowControl w:val="off"/>
    </w:pPr>
    <w:rPr>
      <w:rFonts w:eastAsia="Times New Roman"/>
      <w:lang w:eastAsia="ru-RU"/>
    </w:rPr>
    <w:tblPr>
      <w:tblBorders>
        <w:top w:val="single" w:color="000000" w:sz="12" w:space="0"/>
        <w:bottom w:val="single" w:color="000000" w:sz="12" w:space="0"/>
      </w:tblBorders>
    </w:tblPr>
    <w:tblStylePr w:type="firstCol">
      <w:rPr>
        <w:b/>
        <w:bCs/>
      </w:rPr>
      <w:tcPr>
        <w:shd w:val="solid" w:color="c0c0c0" w:fill="ffffff"/>
      </w:tcPr>
    </w:tblStylePr>
    <w:tblStylePr w:type="firstRow">
      <w:rPr>
        <w:color w:val="ffffff"/>
      </w:rPr>
      <w:tcPr>
        <w:shd w:val="solid" w:color="800080" w:fill="ffffff"/>
        <w:tcBorders>
          <w:bottom w:val="single" w:color="000000" w:sz="6" w:space="0"/>
        </w:tcBorders>
      </w:tcPr>
    </w:tblStylePr>
    <w:tblStylePr w:type="lastRow">
      <w:tcPr>
        <w:tcBorders>
          <w:top w:val="single" w:color="000000" w:sz="6" w:space="0"/>
        </w:tcBorders>
      </w:tcPr>
    </w:tblStylePr>
    <w:tblStylePr w:type="nwCell">
      <w:tcPr>
        <w:shd w:val="solid" w:color="800080" w:fill="ffffff"/>
      </w:tcPr>
    </w:tblStylePr>
    <w:tblStylePr w:type="neCell">
      <w:rPr>
        <w:b/>
        <w:bCs/>
      </w:rPr>
    </w:tblStylePr>
    <w:tblStylePr w:type="swCell">
      <w:rPr>
        <w:color w:val="000080"/>
      </w:rPr>
    </w:tblStylePr>
  </w:style>
  <w:style w:type="table" w:styleId="1023">
    <w:name w:val="Table Columns 2"/>
    <w:basedOn w:val="820"/>
    <w:unhideWhenUsed/>
    <w:pPr>
      <w:ind w:firstLine="567"/>
      <w:jc w:val="both"/>
      <w:spacing w:line="360" w:lineRule="atLeast"/>
      <w:widowControl w:val="off"/>
    </w:pPr>
    <w:rPr>
      <w:rFonts w:eastAsia="Times New Roman"/>
      <w:b/>
      <w:bCs/>
      <w:lang w:eastAsia="ru-RU"/>
    </w:rPr>
    <w:tblPr>
      <w:tblStyleColBandSize w:val="1"/>
    </w:tblPr>
    <w:tblStylePr w:type="band1Vert">
      <w:rPr>
        <w:color w:val="auto"/>
      </w:rPr>
      <w:tcPr>
        <w:shd w:val="pct30" w:color="000000" w:fill="ffffff"/>
      </w:tcPr>
    </w:tblStylePr>
    <w:tblStylePr w:type="band2Vert">
      <w:rPr>
        <w:color w:val="auto"/>
      </w:rPr>
      <w:tcPr>
        <w:shd w:val="pct25" w:color="00ff00" w:fill="ffffff"/>
      </w:tcPr>
    </w:tblStylePr>
    <w:tblStylePr w:type="firstCol">
      <w:rPr>
        <w:b w:val="0"/>
        <w:bCs w:val="0"/>
        <w:color w:val="000000"/>
      </w:rPr>
    </w:tblStylePr>
    <w:tblStylePr w:type="firstRow">
      <w:rPr>
        <w:color w:val="ffffff"/>
      </w:rPr>
      <w:tcPr>
        <w:shd w:val="solid" w:color="000080" w:fill="ffffff"/>
      </w:tcPr>
    </w:tblStylePr>
    <w:tblStylePr w:type="lastCol">
      <w:rPr>
        <w:b w:val="0"/>
        <w:bCs w:val="0"/>
      </w:rPr>
    </w:tblStylePr>
    <w:tblStylePr w:type="lastRow">
      <w:rPr>
        <w:b w:val="0"/>
        <w:bCs w:val="0"/>
      </w:r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1024">
    <w:name w:val="Table Columns 3"/>
    <w:basedOn w:val="820"/>
    <w:unhideWhenUsed/>
    <w:pPr>
      <w:ind w:firstLine="567"/>
      <w:jc w:val="both"/>
      <w:spacing w:line="360" w:lineRule="atLeast"/>
      <w:widowControl w:val="off"/>
    </w:pPr>
    <w:rPr>
      <w:rFonts w:eastAsia="Times New Roman"/>
      <w:b/>
      <w:bCs/>
      <w:lang w:eastAsia="ru-RU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band1Vert">
      <w:rPr>
        <w:color w:val="auto"/>
      </w:rPr>
      <w:tcPr>
        <w:shd w:val="solid" w:color="c0c0c0" w:fill="ffffff"/>
      </w:tcPr>
    </w:tblStylePr>
    <w:tblStylePr w:type="band2Vert">
      <w:rPr>
        <w:color w:val="auto"/>
      </w:rPr>
      <w:tcPr>
        <w:shd w:val="pct10" w:color="000000" w:fill="ffffff"/>
      </w:tcPr>
    </w:tblStylePr>
    <w:tblStylePr w:type="firstCol">
      <w:rPr>
        <w:b w:val="0"/>
        <w:bCs w:val="0"/>
      </w:rPr>
    </w:tblStylePr>
    <w:tblStylePr w:type="firstRow">
      <w:rPr>
        <w:color w:val="ffffff"/>
      </w:rPr>
      <w:tcPr>
        <w:shd w:val="solid" w:color="000080" w:fill="ffffff"/>
      </w:tcPr>
    </w:tblStylePr>
    <w:tblStylePr w:type="lastCol">
      <w:rPr>
        <w:b w:val="0"/>
        <w:bCs w:val="0"/>
      </w:rPr>
    </w:tblStylePr>
    <w:tblStylePr w:type="lastRow">
      <w:rPr>
        <w:b w:val="0"/>
        <w:bCs w:val="0"/>
      </w:rPr>
      <w:tcPr>
        <w:tcBorders>
          <w:top w:val="single" w:color="000080" w:sz="6" w:space="0"/>
        </w:tcBorders>
      </w:tcPr>
    </w:tblStylePr>
    <w:tblStylePr w:type="neCell">
      <w:rPr>
        <w:b/>
        <w:bCs/>
      </w:rPr>
    </w:tblStylePr>
  </w:style>
  <w:style w:type="table" w:styleId="1025">
    <w:name w:val="Table Columns 4"/>
    <w:basedOn w:val="820"/>
    <w:unhideWhenUsed/>
    <w:pPr>
      <w:ind w:firstLine="567"/>
      <w:jc w:val="both"/>
      <w:spacing w:line="360" w:lineRule="atLeast"/>
      <w:widowControl w:val="off"/>
    </w:pPr>
    <w:rPr>
      <w:rFonts w:eastAsia="Times New Roman"/>
      <w:lang w:eastAsia="ru-RU"/>
    </w:rPr>
    <w:tblPr>
      <w:tblStyleColBandSize w:val="1"/>
    </w:tblPr>
    <w:tblStylePr w:type="band1Vert">
      <w:rPr>
        <w:color w:val="auto"/>
      </w:rPr>
      <w:tcPr>
        <w:shd w:val="pct50" w:color="008080" w:fill="ffffff"/>
      </w:tcPr>
    </w:tblStylePr>
    <w:tblStylePr w:type="band2Vert">
      <w:rPr>
        <w:color w:val="auto"/>
      </w:rPr>
      <w:tcPr>
        <w:shd w:val="pct10" w:color="000000" w:fill="ffffff"/>
      </w:tcPr>
    </w:tblStylePr>
    <w:tblStylePr w:type="firstRow">
      <w:rPr>
        <w:color w:val="ffffff"/>
      </w:rPr>
      <w:tcPr>
        <w:shd w:val="solid" w:color="000000" w:fill="ffffff"/>
      </w:tcPr>
    </w:tblStylePr>
    <w:tblStylePr w:type="lastCol">
      <w:rPr>
        <w:b/>
        <w:bCs/>
      </w:rPr>
    </w:tblStylePr>
    <w:tblStylePr w:type="lastRow">
      <w:rPr>
        <w:b/>
        <w:bCs/>
      </w:rPr>
    </w:tblStylePr>
  </w:style>
  <w:style w:type="table" w:styleId="1026">
    <w:name w:val="Table Columns 5"/>
    <w:basedOn w:val="820"/>
    <w:unhideWhenUsed/>
    <w:pPr>
      <w:ind w:firstLine="567"/>
      <w:jc w:val="both"/>
      <w:spacing w:line="360" w:lineRule="atLeast"/>
      <w:widowControl w:val="off"/>
    </w:pPr>
    <w:rPr>
      <w:rFonts w:eastAsia="Times New Roman"/>
      <w:lang w:eastAsia="ru-RU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band1Vert">
      <w:rPr>
        <w:color w:val="auto"/>
      </w:rPr>
      <w:tcPr>
        <w:shd w:val="solid" w:color="c0c0c0" w:fill="ffffff"/>
      </w:tcPr>
    </w:tblStylePr>
    <w:tblStylePr w:type="band2Vert">
      <w:rPr>
        <w:color w:val="auto"/>
      </w:rPr>
    </w:tblStylePr>
    <w:tblStylePr w:type="firstCol">
      <w:rPr>
        <w:b/>
        <w:bCs/>
      </w:rPr>
    </w:tblStylePr>
    <w:tblStylePr w:type="firstRow">
      <w:rPr>
        <w:b/>
        <w:bCs/>
        <w:i/>
        <w:iCs/>
      </w:rPr>
      <w:tcPr>
        <w:tcBorders>
          <w:bottom w:val="single" w:color="808080" w:sz="6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808080" w:sz="6" w:space="0"/>
        </w:tcBorders>
      </w:tcPr>
    </w:tblStylePr>
  </w:style>
  <w:style w:type="table" w:styleId="1027">
    <w:name w:val="Table Grid 1"/>
    <w:basedOn w:val="820"/>
    <w:unhideWhenUsed/>
    <w:pPr>
      <w:ind w:firstLine="567"/>
      <w:jc w:val="both"/>
      <w:spacing w:before="120" w:after="120"/>
      <w:widowControl w:val="off"/>
    </w:pPr>
    <w:rPr>
      <w:rFonts w:eastAsia="Times New Roman"/>
      <w:lang w:eastAsia="ru-RU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Col">
      <w:rPr>
        <w:i/>
        <w:iCs/>
      </w:rPr>
    </w:tblStylePr>
    <w:tblStylePr w:type="lastRow">
      <w:rPr>
        <w:i/>
        <w:iCs/>
      </w:rPr>
    </w:tblStylePr>
  </w:style>
  <w:style w:type="table" w:styleId="1028">
    <w:name w:val="Table Grid 2"/>
    <w:basedOn w:val="820"/>
    <w:unhideWhenUsed/>
    <w:pPr>
      <w:ind w:firstLine="567"/>
      <w:jc w:val="both"/>
      <w:spacing w:before="120" w:after="120"/>
      <w:widowControl w:val="off"/>
    </w:pPr>
    <w:rPr>
      <w:rFonts w:eastAsia="Times New Roman"/>
      <w:lang w:eastAsia="ru-RU"/>
    </w:rPr>
    <w:tblPr>
      <w:tblBorders>
        <w:insideH w:val="single" w:color="000000" w:sz="6" w:space="0"/>
        <w:insideV w:val="single" w:color="000000" w:sz="6" w:space="0"/>
      </w:tblBorders>
    </w:tbl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000000" w:sz="6" w:space="0"/>
        </w:tcBorders>
      </w:tcPr>
    </w:tblStylePr>
  </w:style>
  <w:style w:type="table" w:styleId="1029">
    <w:name w:val="Table Grid 5"/>
    <w:basedOn w:val="820"/>
    <w:unhideWhenUsed/>
    <w:pPr>
      <w:ind w:left="1080"/>
    </w:pPr>
    <w:rPr>
      <w:rFonts w:eastAsia="Times New Roman"/>
      <w:lang w:eastAsia="ru-R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blStylePr w:type="firstRow">
      <w:tcPr>
        <w:tcBorders>
          <w:bottom w:val="single" w:color="000000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</w:tblStylePr>
  </w:style>
  <w:style w:type="table" w:styleId="1030">
    <w:name w:val="Table Grid 8"/>
    <w:basedOn w:val="820"/>
    <w:unhideWhenUsed/>
    <w:pPr>
      <w:ind w:firstLine="567"/>
      <w:jc w:val="both"/>
      <w:spacing w:before="120" w:after="120"/>
      <w:widowControl w:val="off"/>
    </w:pPr>
    <w:rPr>
      <w:rFonts w:eastAsia="Times New Roman"/>
      <w:lang w:eastAsia="ru-RU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blStylePr w:type="firstRow">
      <w:rPr>
        <w:b/>
        <w:bCs/>
        <w:color w:val="ffffff"/>
      </w:rPr>
      <w:tcPr>
        <w:shd w:val="solid" w:color="000080" w:fill="ffffff"/>
      </w:tcPr>
    </w:tblStylePr>
    <w:tblStylePr w:type="lastCol">
      <w:rPr>
        <w:b/>
        <w:bCs/>
        <w:color w:val="auto"/>
      </w:rPr>
    </w:tblStylePr>
    <w:tblStylePr w:type="lastRow">
      <w:rPr>
        <w:b/>
        <w:bCs/>
        <w:color w:val="auto"/>
      </w:rPr>
    </w:tblStylePr>
  </w:style>
  <w:style w:type="table" w:styleId="1031">
    <w:name w:val="Table List 1"/>
    <w:basedOn w:val="820"/>
    <w:unhideWhenUsed/>
    <w:pPr>
      <w:ind w:firstLine="567"/>
      <w:jc w:val="both"/>
      <w:spacing w:line="360" w:lineRule="atLeast"/>
      <w:widowControl w:val="off"/>
    </w:pPr>
    <w:rPr>
      <w:rFonts w:eastAsia="Times New Roman"/>
      <w:lang w:eastAsia="ru-RU"/>
    </w:rPr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band1Horz">
      <w:rPr>
        <w:color w:val="auto"/>
      </w:rPr>
      <w:tcPr>
        <w:shd w:val="solid" w:color="c0c0c0" w:fill="ffffff"/>
      </w:tcPr>
    </w:tblStylePr>
    <w:tblStylePr w:type="band2Horz">
      <w:rPr>
        <w:color w:val="auto"/>
      </w:rPr>
    </w:tblStylePr>
    <w:tblStylePr w:type="firstRow">
      <w:rPr>
        <w:b/>
        <w:bCs/>
        <w:i/>
        <w:iCs/>
        <w:color w:val="800000"/>
      </w:rPr>
      <w:tcPr>
        <w:shd w:val="solid" w:color="c0c0c0" w:fill="ffffff"/>
        <w:tcBorders>
          <w:bottom w:val="single" w:color="000000" w:sz="6" w:space="0"/>
        </w:tcBorders>
      </w:tcPr>
    </w:tblStylePr>
    <w:tblStylePr w:type="lastRow">
      <w:tcPr>
        <w:tcBorders>
          <w:top w:val="single" w:color="000000" w:sz="6" w:space="0"/>
        </w:tcBorders>
      </w:tcPr>
    </w:tblStylePr>
    <w:tblStylePr w:type="swCell">
      <w:rPr>
        <w:b/>
        <w:bCs/>
      </w:rPr>
    </w:tblStylePr>
  </w:style>
  <w:style w:type="table" w:styleId="1032">
    <w:name w:val="Table List 2"/>
    <w:basedOn w:val="820"/>
    <w:unhideWhenUsed/>
    <w:pPr>
      <w:ind w:firstLine="567"/>
      <w:jc w:val="both"/>
      <w:spacing w:line="360" w:lineRule="atLeast"/>
      <w:widowControl w:val="off"/>
    </w:pPr>
    <w:rPr>
      <w:rFonts w:eastAsia="Times New Roman"/>
      <w:lang w:eastAsia="ru-RU"/>
    </w:rPr>
    <w:tblPr>
      <w:tblStyleRowBandSize w:val="2"/>
      <w:tblBorders>
        <w:bottom w:val="single" w:color="808080" w:sz="12" w:space="0"/>
      </w:tblBorders>
    </w:tblPr>
    <w:tblStylePr w:type="band1Horz">
      <w:rPr>
        <w:color w:val="auto"/>
      </w:rPr>
      <w:tcPr>
        <w:shd w:val="pct20" w:color="00ff00" w:fill="ffffff"/>
      </w:tcPr>
    </w:tblStylePr>
    <w:tblStylePr w:type="band2Horz">
      <w:rPr>
        <w:color w:val="auto"/>
      </w:rPr>
    </w:tblStylePr>
    <w:tblStylePr w:type="firstRow">
      <w:rPr>
        <w:b/>
        <w:bCs/>
        <w:color w:val="ffffff"/>
      </w:rPr>
      <w:tcPr>
        <w:shd w:val="pct75" w:color="008080" w:fill="008000"/>
        <w:tcBorders>
          <w:bottom w:val="single" w:color="000000" w:sz="6" w:space="0"/>
        </w:tcBorders>
      </w:tcPr>
    </w:tblStylePr>
    <w:tblStylePr w:type="lastRow">
      <w:tcPr>
        <w:tcBorders>
          <w:top w:val="single" w:color="000000" w:sz="6" w:space="0"/>
        </w:tcBorders>
      </w:tcPr>
    </w:tblStylePr>
    <w:tblStylePr w:type="swCell">
      <w:rPr>
        <w:b/>
        <w:bCs/>
      </w:rPr>
    </w:tblStylePr>
  </w:style>
  <w:style w:type="table" w:styleId="1033">
    <w:name w:val="Table Contemporary"/>
    <w:basedOn w:val="820"/>
    <w:unhideWhenUsed/>
    <w:pPr>
      <w:ind w:firstLine="567"/>
      <w:jc w:val="both"/>
      <w:spacing w:line="360" w:lineRule="atLeast"/>
      <w:widowControl w:val="off"/>
    </w:pPr>
    <w:rPr>
      <w:rFonts w:eastAsia="Times New Roman"/>
      <w:lang w:eastAsia="ru-RU"/>
    </w:r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band1Horz">
      <w:rPr>
        <w:color w:val="auto"/>
      </w:rPr>
      <w:tcPr>
        <w:shd w:val="pct5" w:color="000000" w:fill="ffffff"/>
      </w:tcPr>
    </w:tblStylePr>
    <w:tblStylePr w:type="band2Horz">
      <w:rPr>
        <w:color w:val="auto"/>
      </w:rPr>
      <w:tcPr>
        <w:shd w:val="pct20" w:color="000000" w:fill="ffffff"/>
      </w:tcPr>
    </w:tblStylePr>
    <w:tblStylePr w:type="firstRow">
      <w:rPr>
        <w:b/>
        <w:bCs/>
        <w:color w:val="auto"/>
      </w:rPr>
      <w:tcPr>
        <w:shd w:val="pct20" w:color="000000" w:fill="ffffff"/>
      </w:tcPr>
    </w:tblStylePr>
  </w:style>
  <w:style w:type="table" w:styleId="1034">
    <w:name w:val="Table Elegant"/>
    <w:basedOn w:val="820"/>
    <w:unhideWhenUsed/>
    <w:pPr>
      <w:ind w:firstLine="567"/>
      <w:jc w:val="both"/>
      <w:spacing w:before="120" w:after="120"/>
      <w:widowControl w:val="off"/>
    </w:pPr>
    <w:rPr>
      <w:rFonts w:eastAsia="Times New Roman"/>
      <w:lang w:eastAsia="ru-RU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firstRow">
      <w:rPr>
        <w:caps/>
        <w:color w:val="auto"/>
      </w:rPr>
    </w:tblStylePr>
  </w:style>
  <w:style w:type="table" w:styleId="1035">
    <w:name w:val="Table Professional"/>
    <w:basedOn w:val="820"/>
    <w:unhideWhenUsed/>
    <w:pPr>
      <w:ind w:firstLine="567"/>
      <w:jc w:val="both"/>
      <w:spacing w:before="120" w:after="120"/>
      <w:widowControl w:val="off"/>
    </w:pPr>
    <w:rPr>
      <w:rFonts w:eastAsia="Times New Roman"/>
      <w:lang w:eastAsia="ru-RU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firstRow">
      <w:rPr>
        <w:b/>
        <w:bCs/>
        <w:color w:val="auto"/>
      </w:rPr>
      <w:tcPr>
        <w:shd w:val="solid" w:color="000000" w:fill="ffffff"/>
      </w:tcPr>
    </w:tblStylePr>
  </w:style>
  <w:style w:type="table" w:styleId="1036">
    <w:name w:val="Table Subtle 1"/>
    <w:basedOn w:val="820"/>
    <w:unhideWhenUsed/>
    <w:pPr>
      <w:ind w:firstLine="567"/>
      <w:jc w:val="both"/>
      <w:spacing w:before="120" w:after="120"/>
      <w:widowControl w:val="off"/>
    </w:pPr>
    <w:rPr>
      <w:rFonts w:eastAsia="Times New Roman"/>
      <w:lang w:eastAsia="ru-RU"/>
    </w:rPr>
    <w:tblPr>
      <w:tblStyleRowBandSize w:val="1"/>
    </w:tblPr>
    <w:tblStylePr w:type="band1Horz">
      <w:tcPr>
        <w:shd w:val="pct25" w:color="808000" w:fill="ffffff"/>
        <w:tcBorders>
          <w:bottom w:val="single" w:color="000000" w:sz="6" w:space="0"/>
        </w:tcBorders>
      </w:tcPr>
    </w:tblStylePr>
    <w:tblStylePr w:type="firstCol">
      <w:tcPr>
        <w:tcBorders>
          <w:right w:val="single" w:color="000000" w:sz="12" w:space="0"/>
        </w:tcBorders>
      </w:tcPr>
    </w:tblStylePr>
    <w:tblStylePr w:type="firstRow">
      <w:tcPr>
        <w:tcBorders>
          <w:top w:val="single" w:color="000000" w:sz="6" w:space="0"/>
          <w:bottom w:val="single" w:color="000000" w:sz="12" w:space="0"/>
        </w:tcBorders>
      </w:tcPr>
    </w:tblStylePr>
    <w:tblStylePr w:type="lastCol">
      <w:tcPr>
        <w:tcBorders>
          <w:left w:val="single" w:color="000000" w:sz="12" w:space="0"/>
        </w:tcBorders>
      </w:tcPr>
    </w:tblStylePr>
    <w:tblStylePr w:type="lastRow">
      <w:tcPr>
        <w:shd w:val="pct25" w:color="800080" w:fill="ffffff"/>
        <w:tcBorders>
          <w:top w:val="single" w:color="000000" w:sz="12" w:space="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1037">
    <w:name w:val="Table Subtle 2"/>
    <w:basedOn w:val="820"/>
    <w:unhideWhenUsed/>
    <w:pPr>
      <w:ind w:firstLine="567"/>
      <w:jc w:val="both"/>
      <w:spacing w:before="120" w:after="120"/>
      <w:widowControl w:val="off"/>
    </w:pPr>
    <w:rPr>
      <w:rFonts w:eastAsia="Times New Roman"/>
      <w:lang w:eastAsia="ru-RU"/>
    </w:rPr>
    <w:tblPr>
      <w:tblBorders>
        <w:left w:val="single" w:color="000000" w:sz="6" w:space="0"/>
        <w:right w:val="single" w:color="000000" w:sz="6" w:space="0"/>
      </w:tblBorders>
    </w:tblPr>
    <w:tblStylePr w:type="firstCol">
      <w:tcPr>
        <w:shd w:val="pct25" w:color="008000" w:fill="ffffff"/>
        <w:tcBorders>
          <w:right w:val="single" w:color="000000" w:sz="12" w:space="0"/>
        </w:tcBorders>
      </w:tcPr>
    </w:tblStylePr>
    <w:tblStylePr w:type="firstRow">
      <w:tcPr>
        <w:tcBorders>
          <w:bottom w:val="single" w:color="000000" w:sz="12" w:space="0"/>
        </w:tcBorders>
      </w:tcPr>
    </w:tblStylePr>
    <w:tblStylePr w:type="lastCol">
      <w:tcPr>
        <w:shd w:val="pct25" w:color="808000" w:fill="ffffff"/>
        <w:tcBorders>
          <w:left w:val="single" w:color="000000" w:sz="12" w:space="0"/>
        </w:tcBorders>
      </w:tcPr>
    </w:tblStylePr>
    <w:tblStylePr w:type="lastRow">
      <w:tcPr>
        <w:tcBorders>
          <w:top w:val="single" w:color="000000" w:sz="12" w:space="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1038">
    <w:name w:val="Table Web 1"/>
    <w:basedOn w:val="820"/>
    <w:unhideWhenUsed/>
    <w:pPr>
      <w:ind w:firstLine="567"/>
      <w:jc w:val="both"/>
      <w:spacing w:before="120" w:after="120"/>
      <w:widowControl w:val="off"/>
    </w:pPr>
    <w:rPr>
      <w:rFonts w:eastAsia="Times New Roman"/>
      <w:lang w:eastAsia="ru-RU"/>
    </w:rPr>
    <w:tblPr>
      <w:tblCellSpacing w:w="2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rPr>
      <w:tblCellSpacing w:w="20" w:type="dxa"/>
    </w:trPr>
    <w:tblStylePr w:type="firstRow">
      <w:rPr>
        <w:color w:val="auto"/>
      </w:rPr>
    </w:tblStylePr>
  </w:style>
  <w:style w:type="table" w:styleId="1039">
    <w:name w:val="Table Web 2"/>
    <w:basedOn w:val="820"/>
    <w:unhideWhenUsed/>
    <w:pPr>
      <w:ind w:firstLine="567"/>
      <w:jc w:val="both"/>
      <w:spacing w:before="120" w:after="120"/>
      <w:widowControl w:val="off"/>
    </w:pPr>
    <w:rPr>
      <w:rFonts w:eastAsia="Times New Roman"/>
      <w:lang w:eastAsia="ru-RU"/>
    </w:rPr>
    <w:tblPr>
      <w:tblCellSpacing w:w="2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rPr>
      <w:tblCellSpacing w:w="20" w:type="dxa"/>
    </w:trPr>
    <w:tblStylePr w:type="firstRow">
      <w:rPr>
        <w:color w:val="auto"/>
      </w:rPr>
    </w:tblStylePr>
  </w:style>
  <w:style w:type="table" w:styleId="1040">
    <w:name w:val="Table Web 3"/>
    <w:basedOn w:val="820"/>
    <w:unhideWhenUsed/>
    <w:pPr>
      <w:ind w:firstLine="567"/>
      <w:jc w:val="both"/>
      <w:spacing w:before="120" w:after="120"/>
      <w:widowControl w:val="off"/>
    </w:pPr>
    <w:rPr>
      <w:rFonts w:eastAsia="Times New Roman"/>
      <w:lang w:eastAsia="ru-RU"/>
    </w:rPr>
    <w:tblPr>
      <w:tblCellSpacing w:w="20" w:type="dxa"/>
      <w:tblBorders>
        <w:top w:val="single" w:color="000000" w:sz="24" w:space="0"/>
        <w:left w:val="single" w:color="000000" w:sz="24" w:space="0"/>
        <w:bottom w:val="single" w:color="000000" w:sz="24" w:space="0"/>
        <w:right w:val="single" w:color="000000" w:sz="24" w:space="0"/>
        <w:insideH w:val="single" w:color="000000" w:sz="6" w:space="0"/>
        <w:insideV w:val="single" w:color="000000" w:sz="6" w:space="0"/>
      </w:tblBorders>
    </w:tblPr>
    <w:trPr>
      <w:tblCellSpacing w:w="20" w:type="dxa"/>
    </w:trPr>
    <w:tblStylePr w:type="firstRow">
      <w:rPr>
        <w:color w:val="auto"/>
      </w:rPr>
    </w:tblStylePr>
  </w:style>
  <w:style w:type="table" w:styleId="1041">
    <w:name w:val="Medium Shading 2 Accent 4"/>
    <w:basedOn w:val="820"/>
    <w:uiPriority w:val="64"/>
    <w:rPr>
      <w:rFonts w:eastAsia="Times New Roman"/>
      <w:lang w:eastAsia="ru-RU"/>
    </w:rPr>
    <w:tblPr>
      <w:tblStyleRowBandSize w:val="1"/>
      <w:tblStyleColBandSize w:val="1"/>
      <w:tblBorders>
        <w:top w:val="single" w:color="000000" w:sz="18" w:space="0"/>
        <w:bottom w:val="single" w:color="000000" w:sz="18" w:space="0"/>
      </w:tblBorders>
    </w:tblPr>
    <w:tblStylePr w:type="band1Horz">
      <w:tcPr>
        <w:shd w:val="clear" w:color="auto" w:fill="d8d8d8"/>
      </w:tcPr>
    </w:tblStylePr>
    <w:tblStylePr w:type="band1Vert">
      <w:tcPr>
        <w:shd w:val="clear" w:color="auto" w:fill="d8d8d8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  <w:color w:val="ffffff"/>
      </w:rPr>
      <w:tcPr>
        <w:shd w:val="clear" w:color="auto" w:fill="8064a2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fffff"/>
      </w:rPr>
      <w:pPr>
        <w:spacing w:beforeAutospacing="0" w:afterAutospacing="0" w:line="240" w:lineRule="auto"/>
      </w:pPr>
      <w:tcPr>
        <w:shd w:val="clear" w:color="auto" w:fill="8064a2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fffff"/>
      </w:rPr>
      <w:tcPr>
        <w:shd w:val="clear" w:color="auto" w:fill="8064a2"/>
        <w:tcBorders>
          <w:left w:val="none" w:color="000000" w:sz="4" w:space="0"/>
          <w:right w:val="none" w:color="000000" w:sz="4" w:space="0"/>
        </w:tcBorders>
      </w:tcPr>
    </w:tblStylePr>
    <w:tblStylePr w:type="lastRow">
      <w:rPr>
        <w:color w:val="auto"/>
      </w:rPr>
      <w:pPr>
        <w:spacing w:beforeAutospacing="0" w:afterAutospacing="0" w:line="240" w:lineRule="auto"/>
      </w:pPr>
      <w:tcPr>
        <w:shd w:val="clear" w:color="auto" w:fill="ffffff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fffff"/>
      </w:r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</w:style>
  <w:style w:type="table" w:styleId="1042" w:customStyle="1">
    <w:name w:val="Table Grid1"/>
    <w:basedOn w:val="820"/>
    <w:rPr>
      <w:rFonts w:eastAsia="Times New Roman"/>
      <w:lang w:eastAsia="ru-RU"/>
    </w:rPr>
    <w:tblPr>
      <w:tblStyleRow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band2Horz">
      <w:tcPr>
        <w:shd w:val="clear" w:color="auto" w:fill="d9d9d9"/>
      </w:tcPr>
    </w:tblStylePr>
    <w:tblStylePr w:type="firstRow">
      <w:tcPr>
        <w:shd w:val="clear" w:color="auto" w:fill="d9d9d9"/>
      </w:tcPr>
    </w:tblStylePr>
  </w:style>
  <w:style w:type="table" w:styleId="1043" w:customStyle="1">
    <w:name w:val="Папушкин"/>
    <w:basedOn w:val="988"/>
    <w:pPr>
      <w:jc w:val="center"/>
      <w:spacing w:after="200" w:line="276" w:lineRule="auto"/>
    </w:pPr>
    <w:rPr>
      <w:rFonts w:ascii="Arial" w:hAnsi="Arial" w:eastAsia="Times New Roman"/>
      <w:sz w:val="18"/>
      <w:szCs w:val="18"/>
      <w:lang w:eastAsia="ru-RU"/>
    </w:rPr>
    <w:tblPr>
      <w:tblStyleRowBandSize w:val="1"/>
    </w:tblPr>
    <w:tcPr>
      <w:vAlign w:val="center"/>
    </w:tcPr>
    <w:tblStylePr w:type="band1Horz">
      <w:tcPr>
        <w:shd w:val="clear" w:color="auto" w:fill="d9d9d9"/>
        <w:tcBorders>
          <w:top w:val="single" w:color="000000" w:sz="6" w:space="0"/>
          <w:bottom w:val="single" w:color="000000" w:sz="6" w:space="0"/>
        </w:tcBorders>
      </w:tcPr>
    </w:tblStylePr>
    <w:tblStylePr w:type="band2Horz">
      <w:tcPr>
        <w:shd w:val="clear" w:color="auto" w:fill="ffffff"/>
      </w:tcPr>
    </w:tblStylePr>
    <w:tblStylePr w:type="firstRow">
      <w:rPr>
        <w:b/>
      </w:rPr>
      <w:tcPr>
        <w:shd w:val="clear" w:color="auto" w:fill="d9d9d9"/>
        <w:tcBorders>
          <w:top w:val="single" w:color="000000" w:sz="24" w:space="0"/>
          <w:bottom w:val="single" w:color="000000" w:sz="24" w:space="0"/>
        </w:tcBorders>
      </w:tcPr>
    </w:tblStylePr>
    <w:tblStylePr w:type="lastRow">
      <w:tcPr>
        <w:shd w:val="clear" w:color="auto" w:fill="d9d9d9"/>
        <w:tcBorders>
          <w:bottom w:val="single" w:color="000000" w:sz="24" w:space="0"/>
        </w:tcBorders>
      </w:tcPr>
    </w:tblStylePr>
  </w:style>
  <w:style w:type="table" w:styleId="1044" w:customStyle="1">
    <w:name w:val="Сетка таблицы 52"/>
    <w:basedOn w:val="820"/>
    <w:pPr>
      <w:ind w:left="1080"/>
    </w:pPr>
    <w:rPr>
      <w:rFonts w:eastAsia="Times New Roman"/>
      <w:lang w:eastAsia="ru-R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blStylePr w:type="firstRow">
      <w:tcPr>
        <w:tcBorders>
          <w:bottom w:val="single" w:color="000000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</w:tblStylePr>
  </w:style>
  <w:style w:type="table" w:styleId="1045" w:customStyle="1">
    <w:name w:val="Средний список 11"/>
    <w:basedOn w:val="820"/>
    <w:uiPriority w:val="65"/>
    <w:rPr>
      <w:rFonts w:eastAsia="Times New Roman"/>
      <w:color w:val="000000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</w:tcPr>
    </w:tblStylePr>
    <w:tblStylePr w:type="band1Vert">
      <w:tcPr>
        <w:shd w:val="clear" w:color="auto" w:fill="c0c0c0"/>
      </w:tcPr>
    </w:tblStylePr>
    <w:tblStylePr w:type="firstCol">
      <w:rPr>
        <w:b/>
        <w:bCs/>
      </w:rPr>
    </w:tblStylePr>
    <w:tblStylePr w:type="firstRow">
      <w:rPr>
        <w:rFonts w:hint="default" w:ascii="Rubius Icons LTProtect Accent" w:hAnsi="Rubius Icons LTProtect Accent" w:eastAsia="Times New Roman" w:cs="Times New Roman"/>
      </w:rPr>
      <w:tcPr>
        <w:tcBorders>
          <w:top w:val="none" w:color="000000" w:sz="4" w:space="0"/>
          <w:bottom w:val="single" w:color="000000" w:sz="8" w:space="0"/>
        </w:tcBorders>
      </w:tcPr>
    </w:tblStylePr>
    <w:tblStylePr w:type="lastCol">
      <w:rPr>
        <w:b/>
        <w:bCs/>
      </w:rPr>
      <w:tcPr>
        <w:tcBorders>
          <w:top w:val="single" w:color="000000" w:sz="8" w:space="0"/>
          <w:bottom w:val="single" w:color="000000" w:sz="8" w:space="0"/>
        </w:tcBorders>
      </w:tcPr>
    </w:tblStylePr>
    <w:tblStylePr w:type="lastRow">
      <w:rPr>
        <w:b/>
        <w:bCs/>
        <w:color w:val="1f497d"/>
      </w:rPr>
      <w:tcPr>
        <w:tcBorders>
          <w:top w:val="single" w:color="000000" w:sz="8" w:space="0"/>
          <w:bottom w:val="single" w:color="000000" w:sz="8" w:space="0"/>
        </w:tcBorders>
      </w:tcPr>
    </w:tblStylePr>
  </w:style>
  <w:style w:type="table" w:styleId="1046" w:customStyle="1">
    <w:name w:val="Средний список 1 - Акцент 11"/>
    <w:basedOn w:val="820"/>
    <w:uiPriority w:val="65"/>
    <w:rPr>
      <w:rFonts w:eastAsia="Times New Roman"/>
      <w:color w:val="000000"/>
      <w:lang w:eastAsia="ru-RU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band1Horz">
      <w:tcPr>
        <w:shd w:val="clear" w:color="auto" w:fill="d3dfee"/>
      </w:tcPr>
    </w:tblStylePr>
    <w:tblStylePr w:type="band1Vert">
      <w:tcPr>
        <w:shd w:val="clear" w:color="auto" w:fill="d3dfee"/>
      </w:tcPr>
    </w:tblStylePr>
    <w:tblStylePr w:type="firstCol">
      <w:rPr>
        <w:b/>
        <w:bCs/>
      </w:rPr>
    </w:tblStylePr>
    <w:tblStylePr w:type="firstRow">
      <w:rPr>
        <w:rFonts w:hint="default" w:ascii="Rubius Icons LTProtect Accent" w:hAnsi="Rubius Icons LTProtect Accent" w:eastAsia="Times New Roman" w:cs="Times New Roman"/>
      </w:rPr>
      <w:tcPr>
        <w:tcBorders>
          <w:top w:val="none" w:color="000000" w:sz="4" w:space="0"/>
          <w:bottom w:val="single" w:color="4F81BD" w:sz="8" w:space="0"/>
        </w:tcBorders>
      </w:tcPr>
    </w:tblStylePr>
    <w:tblStylePr w:type="lastCol">
      <w:rPr>
        <w:b/>
        <w:bCs/>
      </w:rPr>
      <w:tcPr>
        <w:tcBorders>
          <w:top w:val="single" w:color="4F81BD" w:sz="8" w:space="0"/>
          <w:bottom w:val="single" w:color="4F81BD" w:sz="8" w:space="0"/>
        </w:tcBorders>
      </w:tcPr>
    </w:tblStylePr>
    <w:tblStylePr w:type="lastRow">
      <w:rPr>
        <w:b/>
        <w:bCs/>
        <w:color w:val="1f497d"/>
      </w:rPr>
      <w:tcPr>
        <w:tcBorders>
          <w:top w:val="single" w:color="4F81BD" w:sz="8" w:space="0"/>
          <w:bottom w:val="single" w:color="4F81BD" w:sz="8" w:space="0"/>
        </w:tcBorders>
      </w:tcPr>
    </w:tblStylePr>
  </w:style>
  <w:style w:type="table" w:styleId="1047" w:customStyle="1">
    <w:name w:val="Сетка таблицы1"/>
    <w:basedOn w:val="820"/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48" w:customStyle="1">
    <w:name w:val="Сетка таблицы2"/>
    <w:basedOn w:val="820"/>
    <w:uiPriority w:val="59"/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49" w:customStyle="1">
    <w:name w:val="Светлая заливка11"/>
    <w:basedOn w:val="820"/>
    <w:uiPriority w:val="60"/>
    <w:rPr>
      <w:rFonts w:eastAsia="Times New Roman"/>
      <w:color w:val="000000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</w:style>
  <w:style w:type="table" w:styleId="1050" w:customStyle="1">
    <w:name w:val="Светлая заливка1"/>
    <w:basedOn w:val="820"/>
    <w:uiPriority w:val="60"/>
    <w:rPr>
      <w:rFonts w:eastAsia="Times New Roman"/>
      <w:color w:val="000000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</w:style>
  <w:style w:type="table" w:styleId="1051" w:customStyle="1">
    <w:name w:val="Светлая заливка2"/>
    <w:basedOn w:val="820"/>
    <w:uiPriority w:val="60"/>
    <w:rPr>
      <w:rFonts w:eastAsia="Times New Roman"/>
      <w:color w:val="000000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</w:style>
  <w:style w:type="table" w:styleId="1052" w:customStyle="1">
    <w:name w:val="Сетка таблицы3"/>
    <w:basedOn w:val="820"/>
    <w:uiPriority w:val="59"/>
    <w:rPr>
      <w:rFonts w:ascii="Calibri" w:hAnsi="Calibri"/>
      <w:sz w:val="22"/>
      <w:szCs w:val="22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53" w:customStyle="1">
    <w:name w:val="Светлая заливка113"/>
    <w:basedOn w:val="820"/>
    <w:uiPriority w:val="60"/>
    <w:rPr>
      <w:rFonts w:eastAsia="Times New Roman"/>
      <w:color w:val="000000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</w:style>
  <w:style w:type="table" w:styleId="1054" w:customStyle="1">
    <w:name w:val="Светлая заливка115"/>
    <w:basedOn w:val="820"/>
    <w:uiPriority w:val="60"/>
    <w:rPr>
      <w:rFonts w:eastAsia="Times New Roman"/>
      <w:color w:val="000000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</w:style>
  <w:style w:type="table" w:styleId="1055" w:customStyle="1">
    <w:name w:val="Светлая заливка111"/>
    <w:basedOn w:val="820"/>
    <w:uiPriority w:val="60"/>
    <w:rPr>
      <w:rFonts w:eastAsia="Times New Roman"/>
      <w:color w:val="000000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</w:style>
  <w:style w:type="table" w:styleId="1056" w:customStyle="1">
    <w:name w:val="Светлая заливка3"/>
    <w:basedOn w:val="820"/>
    <w:uiPriority w:val="60"/>
    <w:rPr>
      <w:rFonts w:ascii="Calibri" w:hAnsi="Calibri"/>
      <w:color w:val="000000"/>
      <w:sz w:val="22"/>
      <w:szCs w:val="22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</w:style>
  <w:style w:type="table" w:styleId="1057" w:customStyle="1">
    <w:name w:val="Light Shading1"/>
    <w:basedOn w:val="820"/>
    <w:uiPriority w:val="60"/>
    <w:rPr>
      <w:rFonts w:eastAsia="Times New Roman"/>
      <w:color w:val="000000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</w:style>
  <w:style w:type="table" w:styleId="1058" w:customStyle="1">
    <w:name w:val="Светлая заливка112"/>
    <w:basedOn w:val="820"/>
    <w:uiPriority w:val="60"/>
    <w:rPr>
      <w:rFonts w:eastAsia="Times New Roman"/>
      <w:color w:val="000000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</w:style>
  <w:style w:type="table" w:styleId="1059" w:customStyle="1">
    <w:name w:val="Сетка таблицы4"/>
    <w:basedOn w:val="820"/>
    <w:uiPriority w:val="59"/>
    <w:rPr>
      <w:rFonts w:ascii="Calibri" w:hAnsi="Calibri"/>
      <w:sz w:val="22"/>
      <w:szCs w:val="22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60" w:customStyle="1">
    <w:name w:val="Светлая заливка114"/>
    <w:basedOn w:val="820"/>
    <w:uiPriority w:val="60"/>
    <w:rPr>
      <w:rFonts w:eastAsia="Times New Roman"/>
      <w:color w:val="000000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</w:style>
  <w:style w:type="table" w:styleId="1061" w:customStyle="1">
    <w:name w:val="рпдлпжлопж"/>
    <w:basedOn w:val="820"/>
    <w:uiPriority w:val="99"/>
    <w:pPr>
      <w:jc w:val="right"/>
    </w:pPr>
    <w:rPr>
      <w:rFonts w:ascii="Arial" w:hAnsi="Arial"/>
      <w:sz w:val="18"/>
      <w:szCs w:val="22"/>
      <w:lang w:eastAsia="ru-RU"/>
    </w:rPr>
    <w:tblPr>
      <w:tblStyleRowBandSize w:val="1"/>
      <w:tblStyleColBandSize w:val="1"/>
    </w:tblPr>
    <w:tcPr>
      <w:vAlign w:val="center"/>
    </w:tcPr>
    <w:tblStylePr w:type="band1Horz">
      <w:rPr>
        <w:rFonts w:hint="default" w:ascii="Arial" w:hAnsi="Arial" w:cs="Arial"/>
        <w:sz w:val="18"/>
        <w:szCs w:val="18"/>
      </w:rPr>
      <w:pPr>
        <w:jc w:val="right"/>
      </w:pPr>
    </w:tblStylePr>
    <w:tblStylePr w:type="band1Vert">
      <w:rPr>
        <w:rFonts w:hint="default" w:ascii="Arial" w:hAnsi="Arial" w:cs="Arial"/>
        <w:sz w:val="18"/>
        <w:szCs w:val="18"/>
      </w:rPr>
      <w:pPr>
        <w:jc w:val="right"/>
      </w:pPr>
    </w:tblStylePr>
    <w:tblStylePr w:type="band2Horz">
      <w:rPr>
        <w:rFonts w:hint="default" w:ascii="Arial" w:hAnsi="Arial" w:cs="Arial"/>
        <w:sz w:val="18"/>
        <w:szCs w:val="18"/>
      </w:rPr>
      <w:pPr>
        <w:jc w:val="right"/>
      </w:pPr>
      <w:tcPr>
        <w:shd w:val="clear" w:color="auto" w:fill="bfbfbf"/>
      </w:tcPr>
    </w:tblStylePr>
    <w:tblStylePr w:type="band2Vert">
      <w:rPr>
        <w:rFonts w:hint="default" w:ascii="Arial" w:hAnsi="Arial" w:cs="Arial"/>
        <w:sz w:val="18"/>
        <w:szCs w:val="18"/>
      </w:rPr>
      <w:pPr>
        <w:jc w:val="right"/>
      </w:pPr>
    </w:tblStylePr>
    <w:tblStylePr w:type="firstCol">
      <w:rPr>
        <w:rFonts w:hint="default" w:ascii="Arial" w:hAnsi="Arial" w:cs="Arial"/>
        <w:sz w:val="18"/>
        <w:szCs w:val="18"/>
      </w:rPr>
      <w:tcPr>
        <w:tcBorders>
          <w:right w:val="single" w:color="000000" w:sz="4" w:space="0"/>
        </w:tcBorders>
      </w:tcPr>
    </w:tblStylePr>
    <w:tblStylePr w:type="firstRow">
      <w:rPr>
        <w:rFonts w:hint="default" w:ascii="Arial" w:hAnsi="Arial" w:cs="Arial"/>
        <w:b/>
        <w:sz w:val="18"/>
        <w:szCs w:val="18"/>
      </w:rPr>
      <w:pPr>
        <w:jc w:val="right"/>
      </w:pPr>
      <w:tcPr>
        <w:shd w:val="clear" w:color="auto" w:fill="bfbfbf"/>
        <w:tcBorders>
          <w:bottom w:val="single" w:color="000000" w:sz="4" w:space="0"/>
        </w:tcBorders>
      </w:tcPr>
    </w:tblStylePr>
  </w:style>
  <w:style w:type="table" w:styleId="1062" w:customStyle="1">
    <w:name w:val="Светлая заливка31"/>
    <w:basedOn w:val="820"/>
    <w:uiPriority w:val="60"/>
    <w:rPr>
      <w:rFonts w:ascii="Calibri" w:hAnsi="Calibri"/>
      <w:color w:val="000000"/>
      <w:sz w:val="22"/>
      <w:szCs w:val="22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</w:style>
  <w:style w:type="table" w:styleId="1063" w:customStyle="1">
    <w:name w:val="Сетка таблицы5"/>
    <w:basedOn w:val="820"/>
    <w:pPr>
      <w:ind w:left="1080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64" w:customStyle="1">
    <w:name w:val="Сетка таблицы 51"/>
    <w:basedOn w:val="820"/>
    <w:pPr>
      <w:ind w:left="1080"/>
    </w:pPr>
    <w:rPr>
      <w:rFonts w:eastAsia="Times New Roman"/>
      <w:lang w:eastAsia="ru-R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blStylePr w:type="firstRow">
      <w:tcPr>
        <w:tcBorders>
          <w:bottom w:val="single" w:color="000000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</w:tblStylePr>
  </w:style>
  <w:style w:type="table" w:styleId="1065" w:customStyle="1">
    <w:name w:val="Table Grid11"/>
    <w:basedOn w:val="820"/>
    <w:rPr>
      <w:rFonts w:eastAsia="Times New Roman"/>
      <w:lang w:eastAsia="ru-RU"/>
    </w:rPr>
    <w:tblPr>
      <w:tblStyleRow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band2Horz">
      <w:tcPr>
        <w:shd w:val="clear" w:color="auto" w:fill="d9d9d9"/>
      </w:tcPr>
    </w:tblStylePr>
    <w:tblStylePr w:type="firstRow">
      <w:tcPr>
        <w:shd w:val="clear" w:color="auto" w:fill="d9d9d9"/>
      </w:tcPr>
    </w:tblStylePr>
  </w:style>
  <w:style w:type="table" w:styleId="1066" w:customStyle="1">
    <w:name w:val="Папушкин1"/>
    <w:basedOn w:val="988"/>
    <w:pPr>
      <w:jc w:val="center"/>
      <w:spacing w:after="200" w:line="276" w:lineRule="auto"/>
    </w:pPr>
    <w:rPr>
      <w:rFonts w:ascii="Arial" w:hAnsi="Arial" w:eastAsia="Times New Roman"/>
      <w:sz w:val="18"/>
      <w:szCs w:val="18"/>
      <w:lang w:eastAsia="ru-RU"/>
    </w:rPr>
    <w:tblPr>
      <w:tblStyleRowBandSize w:val="1"/>
    </w:tblPr>
    <w:tcPr>
      <w:vAlign w:val="center"/>
    </w:tcPr>
    <w:tblStylePr w:type="band1Horz">
      <w:tcPr>
        <w:shd w:val="clear" w:color="auto" w:fill="d9d9d9"/>
        <w:tcBorders>
          <w:top w:val="single" w:color="000000" w:sz="6" w:space="0"/>
          <w:bottom w:val="single" w:color="000000" w:sz="6" w:space="0"/>
        </w:tcBorders>
      </w:tcPr>
    </w:tblStylePr>
    <w:tblStylePr w:type="band2Horz">
      <w:tcPr>
        <w:shd w:val="clear" w:color="auto" w:fill="ffffff"/>
      </w:tcPr>
    </w:tblStylePr>
    <w:tblStylePr w:type="firstRow">
      <w:rPr>
        <w:b/>
      </w:rPr>
      <w:tcPr>
        <w:shd w:val="clear" w:color="auto" w:fill="d9d9d9"/>
        <w:tcBorders>
          <w:top w:val="single" w:color="000000" w:sz="24" w:space="0"/>
          <w:bottom w:val="single" w:color="000000" w:sz="24" w:space="0"/>
        </w:tcBorders>
      </w:tcPr>
    </w:tblStylePr>
    <w:tblStylePr w:type="lastRow">
      <w:tcPr>
        <w:shd w:val="clear" w:color="auto" w:fill="d9d9d9"/>
        <w:tcBorders>
          <w:bottom w:val="single" w:color="000000" w:sz="24" w:space="0"/>
        </w:tcBorders>
      </w:tcPr>
    </w:tblStylePr>
  </w:style>
  <w:style w:type="table" w:styleId="1067" w:customStyle="1">
    <w:name w:val="Сетка таблицы 521"/>
    <w:basedOn w:val="820"/>
    <w:pPr>
      <w:ind w:left="1080"/>
    </w:pPr>
    <w:rPr>
      <w:rFonts w:eastAsia="Times New Roman"/>
      <w:lang w:eastAsia="ru-R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blStylePr w:type="firstRow">
      <w:tcPr>
        <w:tcBorders>
          <w:bottom w:val="single" w:color="000000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</w:tblStylePr>
  </w:style>
  <w:style w:type="table" w:styleId="1068" w:customStyle="1">
    <w:name w:val="Столбцы таблицы 31"/>
    <w:basedOn w:val="820"/>
    <w:pPr>
      <w:ind w:firstLine="567"/>
      <w:jc w:val="both"/>
      <w:spacing w:line="360" w:lineRule="atLeast"/>
      <w:widowControl w:val="off"/>
    </w:pPr>
    <w:rPr>
      <w:rFonts w:eastAsia="Times New Roman"/>
      <w:b/>
      <w:bCs/>
      <w:lang w:eastAsia="ru-RU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band1Vert">
      <w:rPr>
        <w:color w:val="auto"/>
      </w:rPr>
      <w:tcPr>
        <w:shd w:val="solid" w:color="c0c0c0" w:fill="ffffff"/>
      </w:tcPr>
    </w:tblStylePr>
    <w:tblStylePr w:type="band2Vert">
      <w:rPr>
        <w:color w:val="auto"/>
      </w:rPr>
      <w:tcPr>
        <w:shd w:val="pct10" w:color="000000" w:fill="ffffff"/>
      </w:tcPr>
    </w:tblStylePr>
    <w:tblStylePr w:type="firstCol">
      <w:rPr>
        <w:b w:val="0"/>
        <w:bCs w:val="0"/>
      </w:rPr>
    </w:tblStylePr>
    <w:tblStylePr w:type="firstRow">
      <w:rPr>
        <w:color w:val="ffffff"/>
      </w:rPr>
      <w:tcPr>
        <w:shd w:val="solid" w:color="000080" w:fill="ffffff"/>
      </w:tcPr>
    </w:tblStylePr>
    <w:tblStylePr w:type="lastCol">
      <w:rPr>
        <w:b w:val="0"/>
        <w:bCs w:val="0"/>
      </w:rPr>
    </w:tblStylePr>
    <w:tblStylePr w:type="lastRow">
      <w:rPr>
        <w:b w:val="0"/>
        <w:bCs w:val="0"/>
      </w:rPr>
      <w:tcPr>
        <w:tcBorders>
          <w:top w:val="single" w:color="000080" w:sz="6" w:space="0"/>
        </w:tcBorders>
      </w:tcPr>
    </w:tblStylePr>
    <w:tblStylePr w:type="neCell">
      <w:rPr>
        <w:b/>
        <w:bCs/>
      </w:rPr>
    </w:tblStylePr>
  </w:style>
  <w:style w:type="table" w:styleId="1069" w:customStyle="1">
    <w:name w:val="Столбцы таблицы 41"/>
    <w:basedOn w:val="820"/>
    <w:pPr>
      <w:ind w:firstLine="567"/>
      <w:jc w:val="both"/>
      <w:spacing w:line="360" w:lineRule="atLeast"/>
      <w:widowControl w:val="off"/>
    </w:pPr>
    <w:rPr>
      <w:rFonts w:eastAsia="Times New Roman"/>
      <w:lang w:eastAsia="ru-RU"/>
    </w:rPr>
    <w:tblPr>
      <w:tblStyleColBandSize w:val="1"/>
    </w:tblPr>
    <w:tblStylePr w:type="band1Vert">
      <w:rPr>
        <w:color w:val="auto"/>
      </w:rPr>
      <w:tcPr>
        <w:shd w:val="pct50" w:color="008080" w:fill="ffffff"/>
      </w:tcPr>
    </w:tblStylePr>
    <w:tblStylePr w:type="band2Vert">
      <w:rPr>
        <w:color w:val="auto"/>
      </w:rPr>
      <w:tcPr>
        <w:shd w:val="pct10" w:color="000000" w:fill="ffffff"/>
      </w:tcPr>
    </w:tblStylePr>
    <w:tblStylePr w:type="firstRow">
      <w:rPr>
        <w:color w:val="ffffff"/>
      </w:rPr>
      <w:tcPr>
        <w:shd w:val="solid" w:color="000000" w:fill="ffffff"/>
      </w:tcPr>
    </w:tblStylePr>
    <w:tblStylePr w:type="lastCol">
      <w:rPr>
        <w:b/>
        <w:bCs/>
      </w:rPr>
    </w:tblStylePr>
    <w:tblStylePr w:type="lastRow">
      <w:rPr>
        <w:b/>
        <w:bCs/>
      </w:rPr>
    </w:tblStylePr>
  </w:style>
  <w:style w:type="table" w:styleId="1070" w:customStyle="1">
    <w:name w:val="Столбцы таблицы 51"/>
    <w:basedOn w:val="820"/>
    <w:pPr>
      <w:ind w:firstLine="567"/>
      <w:jc w:val="both"/>
      <w:spacing w:line="360" w:lineRule="atLeast"/>
      <w:widowControl w:val="off"/>
    </w:pPr>
    <w:rPr>
      <w:rFonts w:eastAsia="Times New Roman"/>
      <w:lang w:eastAsia="ru-RU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band1Vert">
      <w:rPr>
        <w:color w:val="auto"/>
      </w:rPr>
      <w:tcPr>
        <w:shd w:val="solid" w:color="c0c0c0" w:fill="ffffff"/>
      </w:tcPr>
    </w:tblStylePr>
    <w:tblStylePr w:type="band2Vert">
      <w:rPr>
        <w:color w:val="auto"/>
      </w:rPr>
    </w:tblStylePr>
    <w:tblStylePr w:type="firstCol">
      <w:rPr>
        <w:b/>
        <w:bCs/>
      </w:rPr>
    </w:tblStylePr>
    <w:tblStylePr w:type="firstRow">
      <w:rPr>
        <w:b/>
        <w:bCs/>
        <w:i/>
        <w:iCs/>
      </w:rPr>
      <w:tcPr>
        <w:tcBorders>
          <w:bottom w:val="single" w:color="808080" w:sz="6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808080" w:sz="6" w:space="0"/>
        </w:tcBorders>
      </w:tcPr>
    </w:tblStylePr>
  </w:style>
  <w:style w:type="table" w:styleId="1071" w:customStyle="1">
    <w:name w:val="Таблица-список 11"/>
    <w:basedOn w:val="820"/>
    <w:pPr>
      <w:ind w:firstLine="567"/>
      <w:jc w:val="both"/>
      <w:spacing w:line="360" w:lineRule="atLeast"/>
      <w:widowControl w:val="off"/>
    </w:pPr>
    <w:rPr>
      <w:rFonts w:eastAsia="Times New Roman"/>
      <w:lang w:eastAsia="ru-RU"/>
    </w:rPr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band1Horz">
      <w:rPr>
        <w:color w:val="auto"/>
      </w:rPr>
      <w:tcPr>
        <w:shd w:val="solid" w:color="c0c0c0" w:fill="ffffff"/>
      </w:tcPr>
    </w:tblStylePr>
    <w:tblStylePr w:type="band2Horz">
      <w:rPr>
        <w:color w:val="auto"/>
      </w:rPr>
    </w:tblStylePr>
    <w:tblStylePr w:type="firstRow">
      <w:rPr>
        <w:b/>
        <w:bCs/>
        <w:i/>
        <w:iCs/>
        <w:color w:val="800000"/>
      </w:rPr>
      <w:tcPr>
        <w:shd w:val="solid" w:color="c0c0c0" w:fill="ffffff"/>
        <w:tcBorders>
          <w:bottom w:val="single" w:color="000000" w:sz="6" w:space="0"/>
        </w:tcBorders>
      </w:tcPr>
    </w:tblStylePr>
    <w:tblStylePr w:type="lastRow">
      <w:tcPr>
        <w:tcBorders>
          <w:top w:val="single" w:color="000000" w:sz="6" w:space="0"/>
        </w:tcBorders>
      </w:tcPr>
    </w:tblStylePr>
    <w:tblStylePr w:type="swCell">
      <w:rPr>
        <w:b/>
        <w:bCs/>
      </w:rPr>
    </w:tblStylePr>
  </w:style>
  <w:style w:type="table" w:styleId="1072" w:customStyle="1">
    <w:name w:val="Столбцы таблицы 21"/>
    <w:basedOn w:val="820"/>
    <w:pPr>
      <w:ind w:firstLine="567"/>
      <w:jc w:val="both"/>
      <w:spacing w:line="360" w:lineRule="atLeast"/>
      <w:widowControl w:val="off"/>
    </w:pPr>
    <w:rPr>
      <w:rFonts w:eastAsia="Times New Roman"/>
      <w:b/>
      <w:bCs/>
      <w:lang w:eastAsia="ru-RU"/>
    </w:rPr>
    <w:tblPr>
      <w:tblStyleColBandSize w:val="1"/>
    </w:tblPr>
    <w:tblStylePr w:type="band1Vert">
      <w:rPr>
        <w:color w:val="auto"/>
      </w:rPr>
      <w:tcPr>
        <w:shd w:val="pct30" w:color="000000" w:fill="ffffff"/>
      </w:tcPr>
    </w:tblStylePr>
    <w:tblStylePr w:type="band2Vert">
      <w:rPr>
        <w:color w:val="auto"/>
      </w:rPr>
      <w:tcPr>
        <w:shd w:val="pct25" w:color="00ff00" w:fill="ffffff"/>
      </w:tcPr>
    </w:tblStylePr>
    <w:tblStylePr w:type="firstCol">
      <w:rPr>
        <w:b w:val="0"/>
        <w:bCs w:val="0"/>
        <w:color w:val="000000"/>
      </w:rPr>
    </w:tblStylePr>
    <w:tblStylePr w:type="firstRow">
      <w:rPr>
        <w:color w:val="ffffff"/>
      </w:rPr>
      <w:tcPr>
        <w:shd w:val="solid" w:color="000080" w:fill="ffffff"/>
      </w:tcPr>
    </w:tblStylePr>
    <w:tblStylePr w:type="lastCol">
      <w:rPr>
        <w:b w:val="0"/>
        <w:bCs w:val="0"/>
      </w:rPr>
    </w:tblStylePr>
    <w:tblStylePr w:type="lastRow">
      <w:rPr>
        <w:b w:val="0"/>
        <w:bCs w:val="0"/>
      </w:r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1073" w:customStyle="1">
    <w:name w:val="Таблица-список 21"/>
    <w:basedOn w:val="820"/>
    <w:pPr>
      <w:ind w:firstLine="567"/>
      <w:jc w:val="both"/>
      <w:spacing w:line="360" w:lineRule="atLeast"/>
      <w:widowControl w:val="off"/>
    </w:pPr>
    <w:rPr>
      <w:rFonts w:eastAsia="Times New Roman"/>
      <w:lang w:eastAsia="ru-RU"/>
    </w:rPr>
    <w:tblPr>
      <w:tblStyleRowBandSize w:val="2"/>
      <w:tblBorders>
        <w:bottom w:val="single" w:color="808080" w:sz="12" w:space="0"/>
      </w:tblBorders>
    </w:tblPr>
    <w:tblStylePr w:type="band1Horz">
      <w:rPr>
        <w:color w:val="auto"/>
      </w:rPr>
      <w:tcPr>
        <w:shd w:val="pct20" w:color="00ff00" w:fill="ffffff"/>
      </w:tcPr>
    </w:tblStylePr>
    <w:tblStylePr w:type="band2Horz">
      <w:rPr>
        <w:color w:val="auto"/>
      </w:rPr>
    </w:tblStylePr>
    <w:tblStylePr w:type="firstRow">
      <w:rPr>
        <w:b/>
        <w:bCs/>
        <w:color w:val="ffffff"/>
      </w:rPr>
      <w:tcPr>
        <w:shd w:val="pct75" w:color="008080" w:fill="008000"/>
        <w:tcBorders>
          <w:bottom w:val="single" w:color="000000" w:sz="6" w:space="0"/>
        </w:tcBorders>
      </w:tcPr>
    </w:tblStylePr>
    <w:tblStylePr w:type="lastRow">
      <w:tcPr>
        <w:tcBorders>
          <w:top w:val="single" w:color="000000" w:sz="6" w:space="0"/>
        </w:tcBorders>
      </w:tcPr>
    </w:tblStylePr>
    <w:tblStylePr w:type="swCell">
      <w:rPr>
        <w:b/>
        <w:bCs/>
      </w:rPr>
    </w:tblStylePr>
  </w:style>
  <w:style w:type="table" w:styleId="1074" w:customStyle="1">
    <w:name w:val="Современная таблица1"/>
    <w:basedOn w:val="820"/>
    <w:pPr>
      <w:ind w:firstLine="567"/>
      <w:jc w:val="both"/>
      <w:spacing w:line="360" w:lineRule="atLeast"/>
      <w:widowControl w:val="off"/>
    </w:pPr>
    <w:rPr>
      <w:rFonts w:eastAsia="Times New Roman"/>
      <w:lang w:eastAsia="ru-RU"/>
    </w:r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band1Horz">
      <w:rPr>
        <w:color w:val="auto"/>
      </w:rPr>
      <w:tcPr>
        <w:shd w:val="pct5" w:color="000000" w:fill="ffffff"/>
      </w:tcPr>
    </w:tblStylePr>
    <w:tblStylePr w:type="band2Horz">
      <w:rPr>
        <w:color w:val="auto"/>
      </w:rPr>
      <w:tcPr>
        <w:shd w:val="pct20" w:color="000000" w:fill="ffffff"/>
      </w:tcPr>
    </w:tblStylePr>
    <w:tblStylePr w:type="firstRow">
      <w:rPr>
        <w:b/>
        <w:bCs/>
        <w:color w:val="auto"/>
      </w:rPr>
      <w:tcPr>
        <w:shd w:val="pct20" w:color="000000" w:fill="ffffff"/>
      </w:tcPr>
    </w:tblStylePr>
  </w:style>
  <w:style w:type="table" w:styleId="1075" w:customStyle="1">
    <w:name w:val="Средний список 111"/>
    <w:basedOn w:val="820"/>
    <w:uiPriority w:val="65"/>
    <w:rPr>
      <w:rFonts w:eastAsia="Times New Roman"/>
      <w:color w:val="000000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</w:tcPr>
    </w:tblStylePr>
    <w:tblStylePr w:type="band1Vert">
      <w:tcPr>
        <w:shd w:val="clear" w:color="auto" w:fill="c0c0c0"/>
      </w:tcPr>
    </w:tblStylePr>
    <w:tblStylePr w:type="firstCol">
      <w:rPr>
        <w:b/>
        <w:bCs/>
      </w:rPr>
    </w:tblStylePr>
    <w:tblStylePr w:type="firstRow">
      <w:rPr>
        <w:rFonts w:hint="default" w:ascii="Rubius Icons LTProtect Accent" w:hAnsi="Rubius Icons LTProtect Accent" w:eastAsia="Times New Roman" w:cs="Times New Roman"/>
      </w:rPr>
      <w:tcPr>
        <w:tcBorders>
          <w:top w:val="none" w:color="000000" w:sz="4" w:space="0"/>
          <w:bottom w:val="single" w:color="000000" w:sz="8" w:space="0"/>
        </w:tcBorders>
      </w:tcPr>
    </w:tblStylePr>
    <w:tblStylePr w:type="lastCol">
      <w:rPr>
        <w:b/>
        <w:bCs/>
      </w:rPr>
      <w:tcPr>
        <w:tcBorders>
          <w:top w:val="single" w:color="000000" w:sz="8" w:space="0"/>
          <w:bottom w:val="single" w:color="000000" w:sz="8" w:space="0"/>
        </w:tcBorders>
      </w:tcPr>
    </w:tblStylePr>
    <w:tblStylePr w:type="lastRow">
      <w:rPr>
        <w:b/>
        <w:bCs/>
        <w:color w:val="1f497d"/>
      </w:rPr>
      <w:tcPr>
        <w:tcBorders>
          <w:top w:val="single" w:color="000000" w:sz="8" w:space="0"/>
          <w:bottom w:val="single" w:color="000000" w:sz="8" w:space="0"/>
        </w:tcBorders>
      </w:tcPr>
    </w:tblStylePr>
  </w:style>
  <w:style w:type="table" w:styleId="1076" w:customStyle="1">
    <w:name w:val="Средний список 1 - Акцент 111"/>
    <w:basedOn w:val="820"/>
    <w:uiPriority w:val="65"/>
    <w:rPr>
      <w:rFonts w:eastAsia="Times New Roman"/>
      <w:color w:val="000000"/>
      <w:lang w:eastAsia="ru-RU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band1Horz">
      <w:tcPr>
        <w:shd w:val="clear" w:color="auto" w:fill="d3dfee"/>
      </w:tcPr>
    </w:tblStylePr>
    <w:tblStylePr w:type="band1Vert">
      <w:tcPr>
        <w:shd w:val="clear" w:color="auto" w:fill="d3dfee"/>
      </w:tcPr>
    </w:tblStylePr>
    <w:tblStylePr w:type="firstCol">
      <w:rPr>
        <w:b/>
        <w:bCs/>
      </w:rPr>
    </w:tblStylePr>
    <w:tblStylePr w:type="firstRow">
      <w:rPr>
        <w:rFonts w:hint="default" w:ascii="Rubius Icons LTProtect Accent" w:hAnsi="Rubius Icons LTProtect Accent" w:eastAsia="Times New Roman" w:cs="Times New Roman"/>
      </w:rPr>
      <w:tcPr>
        <w:tcBorders>
          <w:top w:val="none" w:color="000000" w:sz="4" w:space="0"/>
          <w:bottom w:val="single" w:color="4F81BD" w:sz="8" w:space="0"/>
        </w:tcBorders>
      </w:tcPr>
    </w:tblStylePr>
    <w:tblStylePr w:type="lastCol">
      <w:rPr>
        <w:b/>
        <w:bCs/>
      </w:rPr>
      <w:tcPr>
        <w:tcBorders>
          <w:top w:val="single" w:color="4F81BD" w:sz="8" w:space="0"/>
          <w:bottom w:val="single" w:color="4F81BD" w:sz="8" w:space="0"/>
        </w:tcBorders>
      </w:tcPr>
    </w:tblStylePr>
    <w:tblStylePr w:type="lastRow">
      <w:rPr>
        <w:b/>
        <w:bCs/>
        <w:color w:val="1f497d"/>
      </w:rPr>
      <w:tcPr>
        <w:tcBorders>
          <w:top w:val="single" w:color="4F81BD" w:sz="8" w:space="0"/>
          <w:bottom w:val="single" w:color="4F81BD" w:sz="8" w:space="0"/>
        </w:tcBorders>
      </w:tcPr>
    </w:tblStylePr>
  </w:style>
  <w:style w:type="table" w:styleId="1077" w:customStyle="1">
    <w:name w:val="Простая таблица 21"/>
    <w:basedOn w:val="820"/>
    <w:pPr>
      <w:ind w:firstLine="567"/>
      <w:jc w:val="both"/>
      <w:spacing w:line="360" w:lineRule="atLeast"/>
      <w:widowControl w:val="off"/>
    </w:pPr>
    <w:rPr>
      <w:rFonts w:eastAsia="Times New Roman"/>
      <w:lang w:eastAsia="ru-RU"/>
    </w:rPr>
    <w:tblPr/>
    <w:tblStylePr w:type="firstCol">
      <w:rPr>
        <w:b/>
        <w:bCs/>
      </w:rPr>
      <w:tcPr>
        <w:tcBorders>
          <w:right w:val="single" w:color="000000" w:sz="12" w:space="0"/>
        </w:tcBorders>
      </w:tcPr>
    </w:tblStylePr>
    <w:tblStylePr w:type="firstRow">
      <w:rPr>
        <w:b/>
        <w:bCs/>
      </w:rPr>
      <w:tcPr>
        <w:tcBorders>
          <w:bottom w:val="single" w:color="000000" w:sz="12" w:space="0"/>
        </w:tcBorders>
      </w:tcPr>
    </w:tblStylePr>
    <w:tblStylePr w:type="lastCol">
      <w:rPr>
        <w:b/>
        <w:bCs/>
      </w:rPr>
      <w:tcPr>
        <w:tcBorders>
          <w:left w:val="single" w:color="000000" w:sz="6" w:space="0"/>
        </w:tcBorders>
      </w:tcPr>
    </w:tblStylePr>
    <w:tblStylePr w:type="lastRow">
      <w:rPr>
        <w:b/>
        <w:bCs/>
        <w:color w:val="auto"/>
      </w:rPr>
      <w:tcPr>
        <w:tcBorders>
          <w:top w:val="single" w:color="000000" w:sz="6" w:space="0"/>
        </w:tcBorders>
      </w:tcPr>
    </w:tblStylePr>
    <w:tblStylePr w:type="neCell">
      <w:rPr>
        <w:b/>
        <w:bCs/>
      </w:rPr>
      <w:tcPr>
        <w:tcBorders>
          <w:left w:val="none" w:color="000000" w:sz="0" w:space="0"/>
        </w:tcBorders>
      </w:tcPr>
    </w:tblStylePr>
    <w:tblStylePr w:type="swCell">
      <w:rPr>
        <w:b/>
        <w:bCs/>
      </w:rPr>
      <w:tcPr>
        <w:tcBorders>
          <w:top w:val="none" w:color="000000" w:sz="0" w:space="0"/>
        </w:tcBorders>
      </w:tcPr>
    </w:tblStylePr>
  </w:style>
  <w:style w:type="table" w:styleId="1078" w:customStyle="1">
    <w:name w:val="Стандартная таблица1"/>
    <w:basedOn w:val="820"/>
    <w:pPr>
      <w:ind w:firstLine="567"/>
      <w:jc w:val="both"/>
      <w:spacing w:before="120" w:after="120"/>
      <w:widowControl w:val="off"/>
    </w:pPr>
    <w:rPr>
      <w:rFonts w:eastAsia="Times New Roman"/>
      <w:lang w:eastAsia="ru-RU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firstRow">
      <w:rPr>
        <w:b/>
        <w:bCs/>
        <w:color w:val="auto"/>
      </w:rPr>
      <w:tcPr>
        <w:shd w:val="solid" w:color="000000" w:fill="ffffff"/>
      </w:tcPr>
    </w:tblStylePr>
  </w:style>
  <w:style w:type="table" w:styleId="1079" w:customStyle="1">
    <w:name w:val="Классическая таблица 11"/>
    <w:basedOn w:val="820"/>
    <w:pPr>
      <w:ind w:firstLine="567"/>
      <w:jc w:val="both"/>
      <w:spacing w:before="120" w:after="120"/>
      <w:widowControl w:val="off"/>
    </w:pPr>
    <w:rPr>
      <w:rFonts w:eastAsia="Times New Roman"/>
      <w:lang w:eastAsia="ru-RU"/>
    </w:rPr>
    <w:tblPr>
      <w:tblBorders>
        <w:top w:val="single" w:color="000000" w:sz="12" w:space="0"/>
        <w:bottom w:val="single" w:color="000000" w:sz="12" w:space="0"/>
      </w:tblBorders>
    </w:tblPr>
    <w:tblStylePr w:type="firstCol">
      <w:tcPr>
        <w:tcBorders>
          <w:right w:val="single" w:color="000000" w:sz="6" w:space="0"/>
        </w:tcBorders>
      </w:tcPr>
    </w:tblStylePr>
    <w:tblStylePr w:type="firstRow">
      <w:rPr>
        <w:i/>
        <w:iCs/>
      </w:rPr>
      <w:tcPr>
        <w:tcBorders>
          <w:bottom w:val="single" w:color="000000" w:sz="6" w:space="0"/>
        </w:tcBorders>
      </w:tcPr>
    </w:tblStylePr>
    <w:tblStylePr w:type="lastRow">
      <w:rPr>
        <w:color w:val="auto"/>
      </w:rPr>
      <w:tcPr>
        <w:tcBorders>
          <w:top w:val="single" w:color="000000" w:sz="6" w:space="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1080" w:customStyle="1">
    <w:name w:val="Простая таблица 11"/>
    <w:basedOn w:val="820"/>
    <w:pPr>
      <w:ind w:firstLine="567"/>
      <w:jc w:val="both"/>
      <w:spacing w:before="120" w:after="120"/>
      <w:widowControl w:val="off"/>
    </w:pPr>
    <w:rPr>
      <w:rFonts w:eastAsia="Times New Roman"/>
      <w:lang w:eastAsia="ru-RU"/>
    </w:rPr>
    <w:tblPr>
      <w:tblBorders>
        <w:top w:val="single" w:color="008000" w:sz="12" w:space="0"/>
        <w:bottom w:val="single" w:color="008000" w:sz="12" w:space="0"/>
      </w:tblBorders>
    </w:tblPr>
    <w:tblStylePr w:type="firstRow">
      <w:tcPr>
        <w:tcBorders>
          <w:bottom w:val="single" w:color="008000" w:sz="6" w:space="0"/>
        </w:tcBorders>
      </w:tcPr>
    </w:tblStylePr>
    <w:tblStylePr w:type="lastRow">
      <w:tcPr>
        <w:tcBorders>
          <w:top w:val="single" w:color="008000" w:sz="6" w:space="0"/>
        </w:tcBorders>
      </w:tcPr>
    </w:tblStylePr>
  </w:style>
  <w:style w:type="table" w:styleId="1081" w:customStyle="1">
    <w:name w:val="Изящная таблица 21"/>
    <w:basedOn w:val="820"/>
    <w:pPr>
      <w:ind w:firstLine="567"/>
      <w:jc w:val="both"/>
      <w:spacing w:before="120" w:after="120"/>
      <w:widowControl w:val="off"/>
    </w:pPr>
    <w:rPr>
      <w:rFonts w:eastAsia="Times New Roman"/>
      <w:lang w:eastAsia="ru-RU"/>
    </w:rPr>
    <w:tblPr>
      <w:tblBorders>
        <w:left w:val="single" w:color="000000" w:sz="6" w:space="0"/>
        <w:right w:val="single" w:color="000000" w:sz="6" w:space="0"/>
      </w:tblBorders>
    </w:tblPr>
    <w:tblStylePr w:type="firstCol">
      <w:tcPr>
        <w:shd w:val="pct25" w:color="008000" w:fill="ffffff"/>
        <w:tcBorders>
          <w:right w:val="single" w:color="000000" w:sz="12" w:space="0"/>
        </w:tcBorders>
      </w:tcPr>
    </w:tblStylePr>
    <w:tblStylePr w:type="firstRow">
      <w:tcPr>
        <w:tcBorders>
          <w:bottom w:val="single" w:color="000000" w:sz="12" w:space="0"/>
        </w:tcBorders>
      </w:tcPr>
    </w:tblStylePr>
    <w:tblStylePr w:type="lastCol">
      <w:tcPr>
        <w:shd w:val="pct25" w:color="808000" w:fill="ffffff"/>
        <w:tcBorders>
          <w:left w:val="single" w:color="000000" w:sz="12" w:space="0"/>
        </w:tcBorders>
      </w:tcPr>
    </w:tblStylePr>
    <w:tblStylePr w:type="lastRow">
      <w:tcPr>
        <w:tcBorders>
          <w:top w:val="single" w:color="000000" w:sz="12" w:space="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1082" w:customStyle="1">
    <w:name w:val="Веб-таблица 11"/>
    <w:basedOn w:val="820"/>
    <w:pPr>
      <w:ind w:firstLine="567"/>
      <w:jc w:val="both"/>
      <w:spacing w:before="120" w:after="120"/>
      <w:widowControl w:val="off"/>
    </w:pPr>
    <w:rPr>
      <w:rFonts w:eastAsia="Times New Roman"/>
      <w:lang w:eastAsia="ru-RU"/>
    </w:rPr>
    <w:tblPr>
      <w:tblCellSpacing w:w="2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rPr>
      <w:tblCellSpacing w:w="20" w:type="dxa"/>
    </w:trPr>
    <w:tblStylePr w:type="firstRow">
      <w:rPr>
        <w:color w:val="auto"/>
      </w:rPr>
    </w:tblStylePr>
  </w:style>
  <w:style w:type="table" w:styleId="1083" w:customStyle="1">
    <w:name w:val="Веб-таблица 21"/>
    <w:basedOn w:val="820"/>
    <w:pPr>
      <w:ind w:firstLine="567"/>
      <w:jc w:val="both"/>
      <w:spacing w:before="120" w:after="120"/>
      <w:widowControl w:val="off"/>
    </w:pPr>
    <w:rPr>
      <w:rFonts w:eastAsia="Times New Roman"/>
      <w:lang w:eastAsia="ru-RU"/>
    </w:rPr>
    <w:tblPr>
      <w:tblCellSpacing w:w="2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rPr>
      <w:tblCellSpacing w:w="20" w:type="dxa"/>
    </w:trPr>
    <w:tblStylePr w:type="firstRow">
      <w:rPr>
        <w:color w:val="auto"/>
      </w:rPr>
    </w:tblStylePr>
  </w:style>
  <w:style w:type="table" w:styleId="1084" w:customStyle="1">
    <w:name w:val="Веб-таблица 31"/>
    <w:basedOn w:val="820"/>
    <w:pPr>
      <w:ind w:firstLine="567"/>
      <w:jc w:val="both"/>
      <w:spacing w:before="120" w:after="120"/>
      <w:widowControl w:val="off"/>
    </w:pPr>
    <w:rPr>
      <w:rFonts w:eastAsia="Times New Roman"/>
      <w:lang w:eastAsia="ru-RU"/>
    </w:rPr>
    <w:tblPr>
      <w:tblCellSpacing w:w="20" w:type="dxa"/>
      <w:tblBorders>
        <w:top w:val="single" w:color="000000" w:sz="24" w:space="0"/>
        <w:left w:val="single" w:color="000000" w:sz="24" w:space="0"/>
        <w:bottom w:val="single" w:color="000000" w:sz="24" w:space="0"/>
        <w:right w:val="single" w:color="000000" w:sz="24" w:space="0"/>
        <w:insideH w:val="single" w:color="000000" w:sz="6" w:space="0"/>
        <w:insideV w:val="single" w:color="000000" w:sz="6" w:space="0"/>
      </w:tblBorders>
    </w:tblPr>
    <w:trPr>
      <w:tblCellSpacing w:w="20" w:type="dxa"/>
    </w:trPr>
    <w:tblStylePr w:type="firstRow">
      <w:rPr>
        <w:color w:val="auto"/>
      </w:rPr>
    </w:tblStylePr>
  </w:style>
  <w:style w:type="table" w:styleId="1085" w:customStyle="1">
    <w:name w:val="Изысканная таблица1"/>
    <w:basedOn w:val="820"/>
    <w:pPr>
      <w:ind w:firstLine="567"/>
      <w:jc w:val="both"/>
      <w:spacing w:before="120" w:after="120"/>
      <w:widowControl w:val="off"/>
    </w:pPr>
    <w:rPr>
      <w:rFonts w:eastAsia="Times New Roman"/>
      <w:lang w:eastAsia="ru-RU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firstRow">
      <w:rPr>
        <w:caps/>
        <w:color w:val="auto"/>
      </w:rPr>
    </w:tblStylePr>
  </w:style>
  <w:style w:type="table" w:styleId="1086" w:customStyle="1">
    <w:name w:val="Изящная таблица 11"/>
    <w:basedOn w:val="820"/>
    <w:pPr>
      <w:ind w:firstLine="567"/>
      <w:jc w:val="both"/>
      <w:spacing w:before="120" w:after="120"/>
      <w:widowControl w:val="off"/>
    </w:pPr>
    <w:rPr>
      <w:rFonts w:eastAsia="Times New Roman"/>
      <w:lang w:eastAsia="ru-RU"/>
    </w:rPr>
    <w:tblPr>
      <w:tblStyleRowBandSize w:val="1"/>
    </w:tblPr>
    <w:tblStylePr w:type="band1Horz">
      <w:tcPr>
        <w:shd w:val="pct25" w:color="808000" w:fill="ffffff"/>
        <w:tcBorders>
          <w:bottom w:val="single" w:color="000000" w:sz="6" w:space="0"/>
        </w:tcBorders>
      </w:tcPr>
    </w:tblStylePr>
    <w:tblStylePr w:type="firstCol">
      <w:tcPr>
        <w:tcBorders>
          <w:right w:val="single" w:color="000000" w:sz="12" w:space="0"/>
        </w:tcBorders>
      </w:tcPr>
    </w:tblStylePr>
    <w:tblStylePr w:type="firstRow">
      <w:tcPr>
        <w:tcBorders>
          <w:top w:val="single" w:color="000000" w:sz="6" w:space="0"/>
          <w:bottom w:val="single" w:color="000000" w:sz="12" w:space="0"/>
        </w:tcBorders>
      </w:tcPr>
    </w:tblStylePr>
    <w:tblStylePr w:type="lastCol">
      <w:tcPr>
        <w:tcBorders>
          <w:left w:val="single" w:color="000000" w:sz="12" w:space="0"/>
        </w:tcBorders>
      </w:tcPr>
    </w:tblStylePr>
    <w:tblStylePr w:type="lastRow">
      <w:tcPr>
        <w:shd w:val="pct25" w:color="800080" w:fill="ffffff"/>
        <w:tcBorders>
          <w:top w:val="single" w:color="000000" w:sz="12" w:space="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1087" w:customStyle="1">
    <w:name w:val="Классическая таблица 21"/>
    <w:basedOn w:val="820"/>
    <w:pPr>
      <w:ind w:firstLine="567"/>
      <w:jc w:val="both"/>
      <w:spacing w:before="120" w:after="120"/>
      <w:widowControl w:val="off"/>
    </w:pPr>
    <w:rPr>
      <w:rFonts w:eastAsia="Times New Roman"/>
      <w:lang w:eastAsia="ru-RU"/>
    </w:rPr>
    <w:tblPr>
      <w:tblBorders>
        <w:top w:val="single" w:color="000000" w:sz="12" w:space="0"/>
        <w:bottom w:val="single" w:color="000000" w:sz="12" w:space="0"/>
      </w:tblBorders>
    </w:tblPr>
    <w:tblStylePr w:type="firstCol">
      <w:rPr>
        <w:b/>
        <w:bCs/>
      </w:rPr>
      <w:tcPr>
        <w:shd w:val="solid" w:color="c0c0c0" w:fill="ffffff"/>
      </w:tcPr>
    </w:tblStylePr>
    <w:tblStylePr w:type="firstRow">
      <w:rPr>
        <w:color w:val="ffffff"/>
      </w:rPr>
      <w:tcPr>
        <w:shd w:val="solid" w:color="800080" w:fill="ffffff"/>
        <w:tcBorders>
          <w:bottom w:val="single" w:color="000000" w:sz="6" w:space="0"/>
        </w:tcBorders>
      </w:tcPr>
    </w:tblStylePr>
    <w:tblStylePr w:type="lastRow">
      <w:tcPr>
        <w:tcBorders>
          <w:top w:val="single" w:color="000000" w:sz="6" w:space="0"/>
        </w:tcBorders>
      </w:tcPr>
    </w:tblStylePr>
    <w:tblStylePr w:type="nwCell">
      <w:tcPr>
        <w:shd w:val="solid" w:color="800080" w:fill="ffffff"/>
      </w:tcPr>
    </w:tblStylePr>
    <w:tblStylePr w:type="neCell">
      <w:rPr>
        <w:b/>
        <w:bCs/>
      </w:rPr>
    </w:tblStylePr>
    <w:tblStylePr w:type="swCell">
      <w:rPr>
        <w:color w:val="000080"/>
      </w:rPr>
    </w:tblStylePr>
  </w:style>
  <w:style w:type="table" w:styleId="1088" w:customStyle="1">
    <w:name w:val="Сетка таблицы11"/>
    <w:basedOn w:val="820"/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89" w:customStyle="1">
    <w:name w:val="Сетка таблицы21"/>
    <w:basedOn w:val="820"/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90" w:customStyle="1">
    <w:name w:val="Сетка таблицы 81"/>
    <w:basedOn w:val="820"/>
    <w:pPr>
      <w:ind w:firstLine="567"/>
      <w:jc w:val="both"/>
      <w:spacing w:before="120" w:after="120"/>
      <w:widowControl w:val="off"/>
    </w:pPr>
    <w:rPr>
      <w:rFonts w:eastAsia="Times New Roman"/>
      <w:lang w:eastAsia="ru-RU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blStylePr w:type="firstRow">
      <w:rPr>
        <w:b/>
        <w:bCs/>
        <w:color w:val="ffffff"/>
      </w:rPr>
      <w:tcPr>
        <w:shd w:val="solid" w:color="000080" w:fill="ffffff"/>
      </w:tcPr>
    </w:tblStylePr>
    <w:tblStylePr w:type="lastCol">
      <w:rPr>
        <w:b/>
        <w:bCs/>
        <w:color w:val="auto"/>
      </w:rPr>
    </w:tblStylePr>
    <w:tblStylePr w:type="lastRow">
      <w:rPr>
        <w:b/>
        <w:bCs/>
        <w:color w:val="auto"/>
      </w:rPr>
    </w:tblStylePr>
  </w:style>
  <w:style w:type="table" w:styleId="1091" w:customStyle="1">
    <w:name w:val="Сетка таблицы 21"/>
    <w:basedOn w:val="820"/>
    <w:pPr>
      <w:ind w:firstLine="567"/>
      <w:jc w:val="both"/>
      <w:spacing w:before="120" w:after="120"/>
      <w:widowControl w:val="off"/>
    </w:pPr>
    <w:rPr>
      <w:rFonts w:eastAsia="Times New Roman"/>
      <w:lang w:eastAsia="ru-RU"/>
    </w:rPr>
    <w:tblPr>
      <w:tblBorders>
        <w:insideH w:val="single" w:color="000000" w:sz="6" w:space="0"/>
        <w:insideV w:val="single" w:color="000000" w:sz="6" w:space="0"/>
      </w:tblBorders>
    </w:tbl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000000" w:sz="6" w:space="0"/>
        </w:tcBorders>
      </w:tcPr>
    </w:tblStylePr>
  </w:style>
  <w:style w:type="table" w:styleId="1092" w:customStyle="1">
    <w:name w:val="Сетка таблицы 11"/>
    <w:basedOn w:val="820"/>
    <w:pPr>
      <w:ind w:firstLine="567"/>
      <w:jc w:val="both"/>
      <w:spacing w:before="120" w:after="120"/>
      <w:widowControl w:val="off"/>
    </w:pPr>
    <w:rPr>
      <w:rFonts w:eastAsia="Times New Roman"/>
      <w:lang w:eastAsia="ru-RU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Col">
      <w:rPr>
        <w:i/>
        <w:iCs/>
      </w:rPr>
    </w:tblStylePr>
    <w:tblStylePr w:type="lastRow">
      <w:rPr>
        <w:i/>
        <w:iCs/>
      </w:rPr>
    </w:tblStylePr>
  </w:style>
  <w:style w:type="table" w:styleId="1093" w:customStyle="1">
    <w:name w:val="Простая таблица 31"/>
    <w:basedOn w:val="820"/>
    <w:pPr>
      <w:ind w:firstLine="567"/>
      <w:jc w:val="both"/>
      <w:spacing w:before="120" w:after="120"/>
      <w:widowControl w:val="off"/>
    </w:pPr>
    <w:rPr>
      <w:rFonts w:eastAsia="Times New Roman"/>
      <w:lang w:eastAsia="ru-R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/>
        <w:bCs/>
        <w:color w:val="ffffff"/>
      </w:rPr>
      <w:tcPr>
        <w:shd w:val="solid" w:color="000000" w:fill="ffffff"/>
      </w:tcPr>
    </w:tblStylePr>
  </w:style>
  <w:style w:type="table" w:styleId="1094" w:customStyle="1">
    <w:name w:val="Средняя заливка 2 - Акцент 41"/>
    <w:basedOn w:val="820"/>
    <w:uiPriority w:val="64"/>
    <w:rPr>
      <w:rFonts w:eastAsia="Times New Roman"/>
      <w:lang w:eastAsia="ru-RU"/>
    </w:rPr>
    <w:tblPr>
      <w:tblStyleRowBandSize w:val="1"/>
      <w:tblStyleColBandSize w:val="1"/>
      <w:tblBorders>
        <w:top w:val="single" w:color="000000" w:sz="18" w:space="0"/>
        <w:bottom w:val="single" w:color="000000" w:sz="18" w:space="0"/>
      </w:tblBorders>
    </w:tblPr>
    <w:tblStylePr w:type="band1Horz">
      <w:tcPr>
        <w:shd w:val="clear" w:color="auto" w:fill="d8d8d8"/>
      </w:tcPr>
    </w:tblStylePr>
    <w:tblStylePr w:type="band1Vert">
      <w:tcPr>
        <w:shd w:val="clear" w:color="auto" w:fill="d8d8d8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  <w:color w:val="ffffff"/>
      </w:rPr>
      <w:tcPr>
        <w:shd w:val="clear" w:color="auto" w:fill="8064a2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fffff"/>
      </w:rPr>
      <w:pPr>
        <w:spacing w:beforeAutospacing="0" w:afterAutospacing="0" w:line="240" w:lineRule="auto"/>
      </w:pPr>
      <w:tcPr>
        <w:shd w:val="clear" w:color="auto" w:fill="8064a2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fffff"/>
      </w:rPr>
      <w:tcPr>
        <w:shd w:val="clear" w:color="auto" w:fill="8064a2"/>
        <w:tcBorders>
          <w:left w:val="none" w:color="000000" w:sz="4" w:space="0"/>
          <w:right w:val="none" w:color="000000" w:sz="4" w:space="0"/>
        </w:tcBorders>
      </w:tcPr>
    </w:tblStylePr>
    <w:tblStylePr w:type="lastRow">
      <w:rPr>
        <w:color w:val="auto"/>
      </w:rPr>
      <w:pPr>
        <w:spacing w:beforeAutospacing="0" w:afterAutospacing="0" w:line="240" w:lineRule="auto"/>
      </w:pPr>
      <w:tcPr>
        <w:shd w:val="clear" w:color="auto" w:fill="ffffff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fffff"/>
      </w:r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</w:style>
  <w:style w:type="table" w:styleId="1095" w:customStyle="1">
    <w:name w:val="Средний список 13"/>
    <w:basedOn w:val="820"/>
    <w:uiPriority w:val="65"/>
    <w:rPr>
      <w:rFonts w:ascii="Calibri" w:hAnsi="Calibri"/>
      <w:color w:val="000000"/>
      <w:sz w:val="22"/>
      <w:szCs w:val="22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</w:tcPr>
    </w:tblStylePr>
    <w:tblStylePr w:type="band1Vert">
      <w:tcPr>
        <w:shd w:val="clear" w:color="auto" w:fill="c0c0c0"/>
      </w:tcPr>
    </w:tblStylePr>
    <w:tblStylePr w:type="firstCol">
      <w:rPr>
        <w:b/>
        <w:bCs/>
      </w:rPr>
    </w:tblStylePr>
    <w:tblStylePr w:type="firstRow">
      <w:rPr>
        <w:rFonts w:hint="default" w:ascii="Rubius Icons LTProtect Accent" w:hAnsi="Rubius Icons LTProtect Accent" w:eastAsia="Times New Roman" w:cs="Times New Roman"/>
      </w:rPr>
      <w:tcPr>
        <w:tcBorders>
          <w:top w:val="none" w:color="000000" w:sz="4" w:space="0"/>
          <w:bottom w:val="single" w:color="000000" w:sz="8" w:space="0"/>
        </w:tcBorders>
      </w:tcPr>
    </w:tblStylePr>
    <w:tblStylePr w:type="lastCol">
      <w:rPr>
        <w:b/>
        <w:bCs/>
      </w:rPr>
      <w:tcPr>
        <w:tcBorders>
          <w:top w:val="single" w:color="000000" w:sz="8" w:space="0"/>
          <w:bottom w:val="single" w:color="000000" w:sz="8" w:space="0"/>
        </w:tcBorders>
      </w:tcPr>
    </w:tblStylePr>
    <w:tblStylePr w:type="lastRow">
      <w:rPr>
        <w:b/>
        <w:bCs/>
        <w:color w:val="1f497d"/>
      </w:rPr>
      <w:tcPr>
        <w:tcBorders>
          <w:top w:val="single" w:color="000000" w:sz="8" w:space="0"/>
          <w:bottom w:val="single" w:color="000000" w:sz="8" w:space="0"/>
        </w:tcBorders>
      </w:tcPr>
    </w:tblStylePr>
  </w:style>
  <w:style w:type="table" w:styleId="1096" w:customStyle="1">
    <w:name w:val="Средний список 1111"/>
    <w:basedOn w:val="820"/>
    <w:uiPriority w:val="65"/>
    <w:rPr>
      <w:rFonts w:ascii="Calibri" w:hAnsi="Calibri"/>
      <w:color w:val="000000"/>
      <w:sz w:val="22"/>
      <w:szCs w:val="22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</w:tcPr>
    </w:tblStylePr>
    <w:tblStylePr w:type="band1Vert">
      <w:tcPr>
        <w:shd w:val="clear" w:color="auto" w:fill="c0c0c0"/>
      </w:tcPr>
    </w:tblStylePr>
    <w:tblStylePr w:type="firstCol">
      <w:rPr>
        <w:b/>
        <w:bCs/>
      </w:rPr>
    </w:tblStylePr>
    <w:tblStylePr w:type="firstRow">
      <w:rPr>
        <w:rFonts w:hint="default" w:ascii="Rubius Icons LTProtect Accent" w:hAnsi="Rubius Icons LTProtect Accent" w:eastAsia="Times New Roman" w:cs="Times New Roman"/>
      </w:rPr>
      <w:tcPr>
        <w:tcBorders>
          <w:top w:val="none" w:color="000000" w:sz="4" w:space="0"/>
          <w:bottom w:val="single" w:color="000000" w:sz="8" w:space="0"/>
        </w:tcBorders>
      </w:tcPr>
    </w:tblStylePr>
    <w:tblStylePr w:type="lastCol">
      <w:rPr>
        <w:b/>
        <w:bCs/>
      </w:rPr>
      <w:tcPr>
        <w:tcBorders>
          <w:top w:val="single" w:color="000000" w:sz="8" w:space="0"/>
          <w:bottom w:val="single" w:color="000000" w:sz="8" w:space="0"/>
        </w:tcBorders>
      </w:tcPr>
    </w:tblStylePr>
    <w:tblStylePr w:type="lastRow">
      <w:rPr>
        <w:b/>
        <w:bCs/>
        <w:color w:val="1f497d"/>
      </w:rPr>
      <w:tcPr>
        <w:tcBorders>
          <w:top w:val="single" w:color="000000" w:sz="8" w:space="0"/>
          <w:bottom w:val="single" w:color="000000" w:sz="8" w:space="0"/>
        </w:tcBorders>
      </w:tcPr>
    </w:tblStylePr>
  </w:style>
  <w:style w:type="table" w:styleId="1097" w:customStyle="1">
    <w:name w:val="Светлая заливка4"/>
    <w:basedOn w:val="820"/>
    <w:uiPriority w:val="60"/>
    <w:rPr>
      <w:rFonts w:ascii="Calibri" w:hAnsi="Calibri"/>
      <w:color w:val="000000"/>
      <w:sz w:val="22"/>
      <w:szCs w:val="22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</w:style>
  <w:style w:type="table" w:styleId="1098" w:customStyle="1">
    <w:name w:val="Средний список 12"/>
    <w:basedOn w:val="820"/>
    <w:uiPriority w:val="65"/>
    <w:rPr>
      <w:rFonts w:ascii="Calibri" w:hAnsi="Calibri"/>
      <w:color w:val="000000"/>
      <w:sz w:val="22"/>
      <w:szCs w:val="22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</w:tcPr>
    </w:tblStylePr>
    <w:tblStylePr w:type="band1Vert">
      <w:tcPr>
        <w:shd w:val="clear" w:color="auto" w:fill="c0c0c0"/>
      </w:tcPr>
    </w:tblStylePr>
    <w:tblStylePr w:type="firstCol">
      <w:rPr>
        <w:b/>
        <w:bCs/>
      </w:rPr>
    </w:tblStylePr>
    <w:tblStylePr w:type="firstRow">
      <w:rPr>
        <w:rFonts w:hint="default" w:ascii="Rubius Icons LTProtect Accent" w:hAnsi="Rubius Icons LTProtect Accent" w:eastAsia="Times New Roman" w:cs="Times New Roman"/>
      </w:rPr>
      <w:tcPr>
        <w:tcBorders>
          <w:top w:val="none" w:color="000000" w:sz="4" w:space="0"/>
          <w:bottom w:val="single" w:color="000000" w:sz="8" w:space="0"/>
        </w:tcBorders>
      </w:tcPr>
    </w:tblStylePr>
    <w:tblStylePr w:type="lastCol">
      <w:rPr>
        <w:b/>
        <w:bCs/>
      </w:rPr>
      <w:tcPr>
        <w:tcBorders>
          <w:top w:val="single" w:color="000000" w:sz="8" w:space="0"/>
          <w:bottom w:val="single" w:color="000000" w:sz="8" w:space="0"/>
        </w:tcBorders>
      </w:tcPr>
    </w:tblStylePr>
    <w:tblStylePr w:type="lastRow">
      <w:rPr>
        <w:b/>
        <w:bCs/>
        <w:color w:val="1f497d"/>
      </w:rPr>
      <w:tcPr>
        <w:tcBorders>
          <w:top w:val="single" w:color="000000" w:sz="8" w:space="0"/>
          <w:bottom w:val="single" w:color="000000" w:sz="8" w:space="0"/>
        </w:tcBorders>
      </w:tcPr>
    </w:tblStylePr>
  </w:style>
  <w:style w:type="table" w:styleId="1099" w:customStyle="1">
    <w:name w:val="Средний список 112"/>
    <w:basedOn w:val="820"/>
    <w:uiPriority w:val="65"/>
    <w:rPr>
      <w:rFonts w:eastAsia="Times New Roman"/>
      <w:color w:val="000000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</w:tcPr>
    </w:tblStylePr>
    <w:tblStylePr w:type="band1Vert">
      <w:tcPr>
        <w:shd w:val="clear" w:color="auto" w:fill="c0c0c0"/>
      </w:tcPr>
    </w:tblStylePr>
    <w:tblStylePr w:type="firstCol">
      <w:rPr>
        <w:b/>
        <w:bCs/>
      </w:rPr>
    </w:tblStylePr>
    <w:tblStylePr w:type="firstRow">
      <w:rPr>
        <w:rFonts w:hint="default" w:ascii="Rubius Icons LTProtect Accent" w:hAnsi="Rubius Icons LTProtect Accent" w:eastAsia="Times New Roman" w:cs="Times New Roman"/>
      </w:rPr>
      <w:tcPr>
        <w:tcBorders>
          <w:top w:val="none" w:color="000000" w:sz="4" w:space="0"/>
          <w:bottom w:val="single" w:color="000000" w:sz="8" w:space="0"/>
        </w:tcBorders>
      </w:tcPr>
    </w:tblStylePr>
    <w:tblStylePr w:type="lastCol">
      <w:rPr>
        <w:b/>
        <w:bCs/>
      </w:rPr>
      <w:tcPr>
        <w:tcBorders>
          <w:top w:val="single" w:color="000000" w:sz="8" w:space="0"/>
          <w:bottom w:val="single" w:color="000000" w:sz="8" w:space="0"/>
        </w:tcBorders>
      </w:tcPr>
    </w:tblStylePr>
    <w:tblStylePr w:type="lastRow">
      <w:rPr>
        <w:b/>
        <w:bCs/>
        <w:color w:val="1f497d"/>
      </w:rPr>
      <w:tcPr>
        <w:tcBorders>
          <w:top w:val="single" w:color="000000" w:sz="8" w:space="0"/>
          <w:bottom w:val="single" w:color="000000" w:sz="8" w:space="0"/>
        </w:tcBorders>
      </w:tcPr>
    </w:tblStylePr>
  </w:style>
  <w:style w:type="table" w:styleId="1100" w:customStyle="1">
    <w:name w:val="Средний список 113"/>
    <w:basedOn w:val="820"/>
    <w:uiPriority w:val="65"/>
    <w:rPr>
      <w:rFonts w:eastAsia="Times New Roman"/>
      <w:color w:val="000000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</w:tcPr>
    </w:tblStylePr>
    <w:tblStylePr w:type="band1Vert">
      <w:tcPr>
        <w:shd w:val="clear" w:color="auto" w:fill="c0c0c0"/>
      </w:tcPr>
    </w:tblStylePr>
    <w:tblStylePr w:type="firstCol">
      <w:rPr>
        <w:b/>
        <w:bCs/>
      </w:rPr>
    </w:tblStylePr>
    <w:tblStylePr w:type="firstRow">
      <w:rPr>
        <w:rFonts w:hint="default" w:ascii="Rubius Icons LTProtect Accent" w:hAnsi="Rubius Icons LTProtect Accent" w:eastAsia="Times New Roman" w:cs="Times New Roman"/>
      </w:rPr>
      <w:tcPr>
        <w:tcBorders>
          <w:top w:val="none" w:color="000000" w:sz="4" w:space="0"/>
          <w:bottom w:val="single" w:color="000000" w:sz="8" w:space="0"/>
        </w:tcBorders>
      </w:tcPr>
    </w:tblStylePr>
    <w:tblStylePr w:type="lastCol">
      <w:rPr>
        <w:b/>
        <w:bCs/>
      </w:rPr>
      <w:tcPr>
        <w:tcBorders>
          <w:top w:val="single" w:color="000000" w:sz="8" w:space="0"/>
          <w:bottom w:val="single" w:color="000000" w:sz="8" w:space="0"/>
        </w:tcBorders>
      </w:tcPr>
    </w:tblStylePr>
    <w:tblStylePr w:type="lastRow">
      <w:rPr>
        <w:b/>
        <w:bCs/>
        <w:color w:val="1f497d"/>
      </w:rPr>
      <w:tcPr>
        <w:tcBorders>
          <w:top w:val="single" w:color="000000" w:sz="8" w:space="0"/>
          <w:bottom w:val="single" w:color="000000" w:sz="8" w:space="0"/>
        </w:tcBorders>
      </w:tcPr>
    </w:tblStylePr>
  </w:style>
  <w:style w:type="table" w:styleId="1101" w:customStyle="1">
    <w:name w:val="Светлая заливка12"/>
    <w:basedOn w:val="820"/>
    <w:uiPriority w:val="60"/>
    <w:rPr>
      <w:rFonts w:ascii="Calibri" w:hAnsi="Calibri"/>
      <w:color w:val="000000"/>
      <w:sz w:val="22"/>
      <w:szCs w:val="22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</w:style>
  <w:style w:type="table" w:styleId="1102" w:customStyle="1">
    <w:name w:val="Средний список 114"/>
    <w:basedOn w:val="820"/>
    <w:uiPriority w:val="65"/>
    <w:rPr>
      <w:rFonts w:eastAsia="Times New Roman"/>
      <w:color w:val="000000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</w:tcPr>
    </w:tblStylePr>
    <w:tblStylePr w:type="band1Vert">
      <w:tcPr>
        <w:shd w:val="clear" w:color="auto" w:fill="c0c0c0"/>
      </w:tcPr>
    </w:tblStylePr>
    <w:tblStylePr w:type="firstCol">
      <w:rPr>
        <w:b/>
        <w:bCs/>
      </w:rPr>
    </w:tblStylePr>
    <w:tblStylePr w:type="firstRow">
      <w:rPr>
        <w:rFonts w:hint="default" w:ascii="Rubius Icons LTProtect Accent" w:hAnsi="Rubius Icons LTProtect Accent" w:eastAsia="Times New Roman" w:cs="Times New Roman"/>
      </w:rPr>
      <w:tcPr>
        <w:tcBorders>
          <w:top w:val="none" w:color="000000" w:sz="4" w:space="0"/>
          <w:bottom w:val="single" w:color="000000" w:sz="8" w:space="0"/>
        </w:tcBorders>
      </w:tcPr>
    </w:tblStylePr>
    <w:tblStylePr w:type="lastCol">
      <w:rPr>
        <w:b/>
        <w:bCs/>
      </w:rPr>
      <w:tcPr>
        <w:tcBorders>
          <w:top w:val="single" w:color="000000" w:sz="8" w:space="0"/>
          <w:bottom w:val="single" w:color="000000" w:sz="8" w:space="0"/>
        </w:tcBorders>
      </w:tcPr>
    </w:tblStylePr>
    <w:tblStylePr w:type="lastRow">
      <w:rPr>
        <w:b/>
        <w:bCs/>
        <w:color w:val="1f497d"/>
      </w:rPr>
      <w:tcPr>
        <w:tcBorders>
          <w:top w:val="single" w:color="000000" w:sz="8" w:space="0"/>
          <w:bottom w:val="single" w:color="000000" w:sz="8" w:space="0"/>
        </w:tcBorders>
      </w:tcPr>
    </w:tblStylePr>
  </w:style>
  <w:style w:type="table" w:styleId="1103" w:customStyle="1">
    <w:name w:val="Средний список 115"/>
    <w:basedOn w:val="820"/>
    <w:uiPriority w:val="65"/>
    <w:rPr>
      <w:rFonts w:eastAsia="Times New Roman"/>
      <w:color w:val="000000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</w:tcPr>
    </w:tblStylePr>
    <w:tblStylePr w:type="band1Vert">
      <w:tcPr>
        <w:shd w:val="clear" w:color="auto" w:fill="c0c0c0"/>
      </w:tcPr>
    </w:tblStylePr>
    <w:tblStylePr w:type="firstCol">
      <w:rPr>
        <w:b/>
        <w:bCs/>
      </w:rPr>
    </w:tblStylePr>
    <w:tblStylePr w:type="firstRow">
      <w:rPr>
        <w:rFonts w:hint="default" w:ascii="Rubius Icons LTProtect Accent" w:hAnsi="Rubius Icons LTProtect Accent" w:eastAsia="Times New Roman" w:cs="Times New Roman"/>
      </w:rPr>
      <w:tcPr>
        <w:tcBorders>
          <w:top w:val="none" w:color="000000" w:sz="4" w:space="0"/>
          <w:bottom w:val="single" w:color="000000" w:sz="8" w:space="0"/>
        </w:tcBorders>
      </w:tcPr>
    </w:tblStylePr>
    <w:tblStylePr w:type="lastCol">
      <w:rPr>
        <w:b/>
        <w:bCs/>
      </w:rPr>
      <w:tcPr>
        <w:tcBorders>
          <w:top w:val="single" w:color="000000" w:sz="8" w:space="0"/>
          <w:bottom w:val="single" w:color="000000" w:sz="8" w:space="0"/>
        </w:tcBorders>
      </w:tcPr>
    </w:tblStylePr>
    <w:tblStylePr w:type="lastRow">
      <w:rPr>
        <w:b/>
        <w:bCs/>
        <w:color w:val="1f497d"/>
      </w:rPr>
      <w:tcPr>
        <w:tcBorders>
          <w:top w:val="single" w:color="000000" w:sz="8" w:space="0"/>
          <w:bottom w:val="single" w:color="000000" w:sz="8" w:space="0"/>
        </w:tcBorders>
      </w:tcPr>
    </w:tblStylePr>
  </w:style>
  <w:style w:type="table" w:styleId="1104" w:customStyle="1">
    <w:name w:val="Средний список 116"/>
    <w:basedOn w:val="820"/>
    <w:uiPriority w:val="65"/>
    <w:rPr>
      <w:rFonts w:eastAsia="Times New Roman"/>
      <w:color w:val="000000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</w:tcPr>
    </w:tblStylePr>
    <w:tblStylePr w:type="band1Vert">
      <w:tcPr>
        <w:shd w:val="clear" w:color="auto" w:fill="c0c0c0"/>
      </w:tcPr>
    </w:tblStylePr>
    <w:tblStylePr w:type="firstCol">
      <w:rPr>
        <w:b/>
        <w:bCs/>
      </w:rPr>
    </w:tblStylePr>
    <w:tblStylePr w:type="firstRow">
      <w:rPr>
        <w:rFonts w:hint="default" w:ascii="Rubius Icons LTProtect Accent" w:hAnsi="Rubius Icons LTProtect Accent" w:eastAsia="Times New Roman" w:cs="Times New Roman"/>
      </w:rPr>
      <w:tcPr>
        <w:tcBorders>
          <w:top w:val="none" w:color="000000" w:sz="4" w:space="0"/>
          <w:bottom w:val="single" w:color="000000" w:sz="8" w:space="0"/>
        </w:tcBorders>
      </w:tcPr>
    </w:tblStylePr>
    <w:tblStylePr w:type="lastCol">
      <w:rPr>
        <w:b/>
        <w:bCs/>
      </w:rPr>
      <w:tcPr>
        <w:tcBorders>
          <w:top w:val="single" w:color="000000" w:sz="8" w:space="0"/>
          <w:bottom w:val="single" w:color="000000" w:sz="8" w:space="0"/>
        </w:tcBorders>
      </w:tcPr>
    </w:tblStylePr>
    <w:tblStylePr w:type="lastRow">
      <w:rPr>
        <w:b/>
        <w:bCs/>
        <w:color w:val="1f497d"/>
      </w:rPr>
      <w:tcPr>
        <w:tcBorders>
          <w:top w:val="single" w:color="000000" w:sz="8" w:space="0"/>
          <w:bottom w:val="single" w:color="000000" w:sz="8" w:space="0"/>
        </w:tcBorders>
      </w:tcPr>
    </w:tblStylePr>
  </w:style>
  <w:style w:type="table" w:styleId="1105" w:customStyle="1">
    <w:name w:val="Светлая заливка21"/>
    <w:basedOn w:val="820"/>
    <w:uiPriority w:val="60"/>
    <w:rPr>
      <w:rFonts w:ascii="Calibri" w:hAnsi="Calibri"/>
      <w:color w:val="000000"/>
      <w:sz w:val="22"/>
      <w:szCs w:val="22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</w:style>
  <w:style w:type="table" w:styleId="1106" w:customStyle="1">
    <w:name w:val="Средний список 117"/>
    <w:basedOn w:val="820"/>
    <w:uiPriority w:val="65"/>
    <w:rPr>
      <w:rFonts w:eastAsia="Times New Roman"/>
      <w:color w:val="000000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</w:tcPr>
    </w:tblStylePr>
    <w:tblStylePr w:type="band1Vert">
      <w:tcPr>
        <w:shd w:val="clear" w:color="auto" w:fill="c0c0c0"/>
      </w:tcPr>
    </w:tblStylePr>
    <w:tblStylePr w:type="firstCol">
      <w:rPr>
        <w:b/>
        <w:bCs/>
      </w:rPr>
    </w:tblStylePr>
    <w:tblStylePr w:type="firstRow">
      <w:rPr>
        <w:rFonts w:hint="default" w:ascii="Rubius Icons LTProtect Accent" w:hAnsi="Rubius Icons LTProtect Accent" w:eastAsia="Times New Roman" w:cs="Times New Roman"/>
      </w:rPr>
      <w:tcPr>
        <w:tcBorders>
          <w:top w:val="none" w:color="000000" w:sz="4" w:space="0"/>
          <w:bottom w:val="single" w:color="000000" w:sz="8" w:space="0"/>
        </w:tcBorders>
      </w:tcPr>
    </w:tblStylePr>
    <w:tblStylePr w:type="lastCol">
      <w:rPr>
        <w:b/>
        <w:bCs/>
      </w:rPr>
      <w:tcPr>
        <w:tcBorders>
          <w:top w:val="single" w:color="000000" w:sz="8" w:space="0"/>
          <w:bottom w:val="single" w:color="000000" w:sz="8" w:space="0"/>
        </w:tcBorders>
      </w:tcPr>
    </w:tblStylePr>
    <w:tblStylePr w:type="lastRow">
      <w:rPr>
        <w:b/>
        <w:bCs/>
        <w:color w:val="1f497d"/>
      </w:rPr>
      <w:tcPr>
        <w:tcBorders>
          <w:top w:val="single" w:color="000000" w:sz="8" w:space="0"/>
          <w:bottom w:val="single" w:color="000000" w:sz="8" w:space="0"/>
        </w:tcBorders>
      </w:tcPr>
    </w:tblStylePr>
  </w:style>
  <w:style w:type="table" w:styleId="1107" w:customStyle="1">
    <w:name w:val="Средний список 118"/>
    <w:basedOn w:val="820"/>
    <w:uiPriority w:val="65"/>
    <w:rPr>
      <w:rFonts w:eastAsia="Times New Roman"/>
      <w:color w:val="000000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</w:tcPr>
    </w:tblStylePr>
    <w:tblStylePr w:type="band1Vert">
      <w:tcPr>
        <w:shd w:val="clear" w:color="auto" w:fill="c0c0c0"/>
      </w:tcPr>
    </w:tblStylePr>
    <w:tblStylePr w:type="firstCol">
      <w:rPr>
        <w:b/>
        <w:bCs/>
      </w:rPr>
    </w:tblStylePr>
    <w:tblStylePr w:type="firstRow">
      <w:rPr>
        <w:rFonts w:hint="default" w:ascii="Rubius Icons LTProtect Accent" w:hAnsi="Rubius Icons LTProtect Accent" w:eastAsia="Times New Roman" w:cs="Times New Roman"/>
      </w:rPr>
      <w:tcPr>
        <w:tcBorders>
          <w:top w:val="none" w:color="000000" w:sz="4" w:space="0"/>
          <w:bottom w:val="single" w:color="000000" w:sz="8" w:space="0"/>
        </w:tcBorders>
      </w:tcPr>
    </w:tblStylePr>
    <w:tblStylePr w:type="lastCol">
      <w:rPr>
        <w:b/>
        <w:bCs/>
      </w:rPr>
      <w:tcPr>
        <w:tcBorders>
          <w:top w:val="single" w:color="000000" w:sz="8" w:space="0"/>
          <w:bottom w:val="single" w:color="000000" w:sz="8" w:space="0"/>
        </w:tcBorders>
      </w:tcPr>
    </w:tblStylePr>
    <w:tblStylePr w:type="lastRow">
      <w:rPr>
        <w:b/>
        <w:bCs/>
        <w:color w:val="1f497d"/>
      </w:rPr>
      <w:tcPr>
        <w:tcBorders>
          <w:top w:val="single" w:color="000000" w:sz="8" w:space="0"/>
          <w:bottom w:val="single" w:color="000000" w:sz="8" w:space="0"/>
        </w:tcBorders>
      </w:tcPr>
    </w:tblStylePr>
  </w:style>
  <w:style w:type="table" w:styleId="1108" w:customStyle="1">
    <w:name w:val="Средний список 119"/>
    <w:basedOn w:val="820"/>
    <w:uiPriority w:val="65"/>
    <w:rPr>
      <w:rFonts w:eastAsia="Times New Roman"/>
      <w:color w:val="000000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</w:tcPr>
    </w:tblStylePr>
    <w:tblStylePr w:type="band1Vert">
      <w:tcPr>
        <w:shd w:val="clear" w:color="auto" w:fill="c0c0c0"/>
      </w:tcPr>
    </w:tblStylePr>
    <w:tblStylePr w:type="firstCol">
      <w:rPr>
        <w:b/>
        <w:bCs/>
      </w:rPr>
    </w:tblStylePr>
    <w:tblStylePr w:type="firstRow">
      <w:rPr>
        <w:rFonts w:hint="default" w:ascii="Rubius Icons LTProtect Accent" w:hAnsi="Rubius Icons LTProtect Accent" w:eastAsia="Times New Roman" w:cs="Times New Roman"/>
      </w:rPr>
      <w:tcPr>
        <w:tcBorders>
          <w:top w:val="none" w:color="000000" w:sz="4" w:space="0"/>
          <w:bottom w:val="single" w:color="000000" w:sz="8" w:space="0"/>
        </w:tcBorders>
      </w:tcPr>
    </w:tblStylePr>
    <w:tblStylePr w:type="lastCol">
      <w:rPr>
        <w:b/>
        <w:bCs/>
      </w:rPr>
      <w:tcPr>
        <w:tcBorders>
          <w:top w:val="single" w:color="000000" w:sz="8" w:space="0"/>
          <w:bottom w:val="single" w:color="000000" w:sz="8" w:space="0"/>
        </w:tcBorders>
      </w:tcPr>
    </w:tblStylePr>
    <w:tblStylePr w:type="lastRow">
      <w:rPr>
        <w:b/>
        <w:bCs/>
        <w:color w:val="1f497d"/>
      </w:rPr>
      <w:tcPr>
        <w:tcBorders>
          <w:top w:val="single" w:color="000000" w:sz="8" w:space="0"/>
          <w:bottom w:val="single" w:color="000000" w:sz="8" w:space="0"/>
        </w:tcBorders>
      </w:tcPr>
    </w:tblStylePr>
  </w:style>
  <w:style w:type="table" w:styleId="1109" w:customStyle="1">
    <w:name w:val="Средний список 1110"/>
    <w:basedOn w:val="820"/>
    <w:uiPriority w:val="65"/>
    <w:rPr>
      <w:rFonts w:eastAsia="Times New Roman"/>
      <w:color w:val="000000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</w:tcPr>
    </w:tblStylePr>
    <w:tblStylePr w:type="band1Vert">
      <w:tcPr>
        <w:shd w:val="clear" w:color="auto" w:fill="c0c0c0"/>
      </w:tcPr>
    </w:tblStylePr>
    <w:tblStylePr w:type="firstCol">
      <w:rPr>
        <w:b/>
        <w:bCs/>
      </w:rPr>
    </w:tblStylePr>
    <w:tblStylePr w:type="firstRow">
      <w:rPr>
        <w:rFonts w:hint="default" w:ascii="Rubius Icons LTProtect Accent" w:hAnsi="Rubius Icons LTProtect Accent" w:eastAsia="Times New Roman" w:cs="Times New Roman"/>
      </w:rPr>
      <w:tcPr>
        <w:tcBorders>
          <w:top w:val="none" w:color="000000" w:sz="4" w:space="0"/>
          <w:bottom w:val="single" w:color="000000" w:sz="8" w:space="0"/>
        </w:tcBorders>
      </w:tcPr>
    </w:tblStylePr>
    <w:tblStylePr w:type="lastCol">
      <w:rPr>
        <w:b/>
        <w:bCs/>
      </w:rPr>
      <w:tcPr>
        <w:tcBorders>
          <w:top w:val="single" w:color="000000" w:sz="8" w:space="0"/>
          <w:bottom w:val="single" w:color="000000" w:sz="8" w:space="0"/>
        </w:tcBorders>
      </w:tcPr>
    </w:tblStylePr>
    <w:tblStylePr w:type="lastRow">
      <w:rPr>
        <w:b/>
        <w:bCs/>
        <w:color w:val="1f497d"/>
      </w:rPr>
      <w:tcPr>
        <w:tcBorders>
          <w:top w:val="single" w:color="000000" w:sz="8" w:space="0"/>
          <w:bottom w:val="single" w:color="000000" w:sz="8" w:space="0"/>
        </w:tcBorders>
      </w:tcPr>
    </w:tblStylePr>
  </w:style>
  <w:style w:type="table" w:styleId="1110" w:customStyle="1">
    <w:name w:val="Средний список 11111"/>
    <w:basedOn w:val="820"/>
    <w:uiPriority w:val="65"/>
    <w:rPr>
      <w:rFonts w:eastAsia="Times New Roman"/>
      <w:color w:val="000000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</w:tcPr>
    </w:tblStylePr>
    <w:tblStylePr w:type="band1Vert">
      <w:tcPr>
        <w:shd w:val="clear" w:color="auto" w:fill="c0c0c0"/>
      </w:tcPr>
    </w:tblStylePr>
    <w:tblStylePr w:type="firstCol">
      <w:rPr>
        <w:b/>
        <w:bCs/>
      </w:rPr>
    </w:tblStylePr>
    <w:tblStylePr w:type="firstRow">
      <w:rPr>
        <w:rFonts w:hint="default" w:ascii="Rubius Icons LTProtect Accent" w:hAnsi="Rubius Icons LTProtect Accent" w:eastAsia="Times New Roman" w:cs="Times New Roman"/>
      </w:rPr>
      <w:tcPr>
        <w:tcBorders>
          <w:top w:val="none" w:color="000000" w:sz="4" w:space="0"/>
          <w:bottom w:val="single" w:color="000000" w:sz="8" w:space="0"/>
        </w:tcBorders>
      </w:tcPr>
    </w:tblStylePr>
    <w:tblStylePr w:type="lastCol">
      <w:rPr>
        <w:b/>
        <w:bCs/>
      </w:rPr>
      <w:tcPr>
        <w:tcBorders>
          <w:top w:val="single" w:color="000000" w:sz="8" w:space="0"/>
          <w:bottom w:val="single" w:color="000000" w:sz="8" w:space="0"/>
        </w:tcBorders>
      </w:tcPr>
    </w:tblStylePr>
    <w:tblStylePr w:type="lastRow">
      <w:rPr>
        <w:b/>
        <w:bCs/>
        <w:color w:val="1f497d"/>
      </w:rPr>
      <w:tcPr>
        <w:tcBorders>
          <w:top w:val="single" w:color="000000" w:sz="8" w:space="0"/>
          <w:bottom w:val="single" w:color="000000" w:sz="8" w:space="0"/>
        </w:tcBorders>
      </w:tcPr>
    </w:tblStylePr>
  </w:style>
  <w:style w:type="table" w:styleId="1111" w:customStyle="1">
    <w:name w:val="Светлая заливка32"/>
    <w:basedOn w:val="820"/>
    <w:uiPriority w:val="60"/>
    <w:rPr>
      <w:rFonts w:ascii="Calibri" w:hAnsi="Calibri"/>
      <w:color w:val="000000"/>
      <w:sz w:val="22"/>
      <w:szCs w:val="22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</w:style>
  <w:style w:type="table" w:styleId="1112" w:customStyle="1">
    <w:name w:val="Средний список 1112"/>
    <w:basedOn w:val="820"/>
    <w:uiPriority w:val="65"/>
    <w:rPr>
      <w:rFonts w:eastAsia="Times New Roman"/>
      <w:color w:val="000000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</w:tcPr>
    </w:tblStylePr>
    <w:tblStylePr w:type="band1Vert">
      <w:tcPr>
        <w:shd w:val="clear" w:color="auto" w:fill="c0c0c0"/>
      </w:tcPr>
    </w:tblStylePr>
    <w:tblStylePr w:type="firstCol">
      <w:rPr>
        <w:b/>
        <w:bCs/>
      </w:rPr>
    </w:tblStylePr>
    <w:tblStylePr w:type="firstRow">
      <w:rPr>
        <w:rFonts w:hint="default" w:ascii="Rubius Icons LTProtect Accent" w:hAnsi="Rubius Icons LTProtect Accent" w:eastAsia="Times New Roman" w:cs="Times New Roman"/>
      </w:rPr>
      <w:tcPr>
        <w:tcBorders>
          <w:top w:val="none" w:color="000000" w:sz="4" w:space="0"/>
          <w:bottom w:val="single" w:color="000000" w:sz="8" w:space="0"/>
        </w:tcBorders>
      </w:tcPr>
    </w:tblStylePr>
    <w:tblStylePr w:type="lastCol">
      <w:rPr>
        <w:b/>
        <w:bCs/>
      </w:rPr>
      <w:tcPr>
        <w:tcBorders>
          <w:top w:val="single" w:color="000000" w:sz="8" w:space="0"/>
          <w:bottom w:val="single" w:color="000000" w:sz="8" w:space="0"/>
        </w:tcBorders>
      </w:tcPr>
    </w:tblStylePr>
    <w:tblStylePr w:type="lastRow">
      <w:rPr>
        <w:b/>
        <w:bCs/>
        <w:color w:val="1f497d"/>
      </w:rPr>
      <w:tcPr>
        <w:tcBorders>
          <w:top w:val="single" w:color="000000" w:sz="8" w:space="0"/>
          <w:bottom w:val="single" w:color="000000" w:sz="8" w:space="0"/>
        </w:tcBorders>
      </w:tcPr>
    </w:tblStylePr>
  </w:style>
  <w:style w:type="table" w:styleId="1113" w:customStyle="1">
    <w:name w:val="Средний список 1113"/>
    <w:basedOn w:val="820"/>
    <w:uiPriority w:val="65"/>
    <w:rPr>
      <w:rFonts w:eastAsia="Times New Roman"/>
      <w:color w:val="000000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</w:tcPr>
    </w:tblStylePr>
    <w:tblStylePr w:type="band1Vert">
      <w:tcPr>
        <w:shd w:val="clear" w:color="auto" w:fill="c0c0c0"/>
      </w:tcPr>
    </w:tblStylePr>
    <w:tblStylePr w:type="firstCol">
      <w:rPr>
        <w:b/>
        <w:bCs/>
      </w:rPr>
    </w:tblStylePr>
    <w:tblStylePr w:type="firstRow">
      <w:rPr>
        <w:rFonts w:hint="default" w:ascii="Rubius Icons LTProtect Accent" w:hAnsi="Rubius Icons LTProtect Accent" w:eastAsia="Times New Roman" w:cs="Times New Roman"/>
      </w:rPr>
      <w:tcPr>
        <w:tcBorders>
          <w:top w:val="none" w:color="000000" w:sz="4" w:space="0"/>
          <w:bottom w:val="single" w:color="000000" w:sz="8" w:space="0"/>
        </w:tcBorders>
      </w:tcPr>
    </w:tblStylePr>
    <w:tblStylePr w:type="lastCol">
      <w:rPr>
        <w:b/>
        <w:bCs/>
      </w:rPr>
      <w:tcPr>
        <w:tcBorders>
          <w:top w:val="single" w:color="000000" w:sz="8" w:space="0"/>
          <w:bottom w:val="single" w:color="000000" w:sz="8" w:space="0"/>
        </w:tcBorders>
      </w:tcPr>
    </w:tblStylePr>
    <w:tblStylePr w:type="lastRow">
      <w:rPr>
        <w:b/>
        <w:bCs/>
        <w:color w:val="1f497d"/>
      </w:rPr>
      <w:tcPr>
        <w:tcBorders>
          <w:top w:val="single" w:color="000000" w:sz="8" w:space="0"/>
          <w:bottom w:val="single" w:color="000000" w:sz="8" w:space="0"/>
        </w:tcBorders>
      </w:tcPr>
    </w:tblStylePr>
  </w:style>
  <w:style w:type="table" w:styleId="1114" w:customStyle="1">
    <w:name w:val="Средний список 1114"/>
    <w:basedOn w:val="820"/>
    <w:uiPriority w:val="65"/>
    <w:rPr>
      <w:rFonts w:eastAsia="Times New Roman"/>
      <w:color w:val="000000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</w:tcPr>
    </w:tblStylePr>
    <w:tblStylePr w:type="band1Vert">
      <w:tcPr>
        <w:shd w:val="clear" w:color="auto" w:fill="c0c0c0"/>
      </w:tcPr>
    </w:tblStylePr>
    <w:tblStylePr w:type="firstCol">
      <w:rPr>
        <w:b/>
        <w:bCs/>
      </w:rPr>
    </w:tblStylePr>
    <w:tblStylePr w:type="firstRow">
      <w:rPr>
        <w:rFonts w:hint="default" w:ascii="Rubius Icons LTProtect Accent" w:hAnsi="Rubius Icons LTProtect Accent" w:eastAsia="Times New Roman" w:cs="Times New Roman"/>
      </w:rPr>
      <w:tcPr>
        <w:tcBorders>
          <w:top w:val="none" w:color="000000" w:sz="4" w:space="0"/>
          <w:bottom w:val="single" w:color="000000" w:sz="8" w:space="0"/>
        </w:tcBorders>
      </w:tcPr>
    </w:tblStylePr>
    <w:tblStylePr w:type="lastCol">
      <w:rPr>
        <w:b/>
        <w:bCs/>
      </w:rPr>
      <w:tcPr>
        <w:tcBorders>
          <w:top w:val="single" w:color="000000" w:sz="8" w:space="0"/>
          <w:bottom w:val="single" w:color="000000" w:sz="8" w:space="0"/>
        </w:tcBorders>
      </w:tcPr>
    </w:tblStylePr>
    <w:tblStylePr w:type="lastRow">
      <w:rPr>
        <w:b/>
        <w:bCs/>
        <w:color w:val="1f497d"/>
      </w:rPr>
      <w:tcPr>
        <w:tcBorders>
          <w:top w:val="single" w:color="000000" w:sz="8" w:space="0"/>
          <w:bottom w:val="single" w:color="000000" w:sz="8" w:space="0"/>
        </w:tcBorders>
      </w:tcPr>
    </w:tblStylePr>
  </w:style>
  <w:style w:type="table" w:styleId="1115" w:customStyle="1">
    <w:name w:val="Средний список 1115"/>
    <w:basedOn w:val="820"/>
    <w:uiPriority w:val="65"/>
    <w:rPr>
      <w:rFonts w:eastAsia="Times New Roman"/>
      <w:color w:val="000000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</w:tcPr>
    </w:tblStylePr>
    <w:tblStylePr w:type="band1Vert">
      <w:tcPr>
        <w:shd w:val="clear" w:color="auto" w:fill="c0c0c0"/>
      </w:tcPr>
    </w:tblStylePr>
    <w:tblStylePr w:type="firstCol">
      <w:rPr>
        <w:b/>
        <w:bCs/>
      </w:rPr>
    </w:tblStylePr>
    <w:tblStylePr w:type="firstRow">
      <w:rPr>
        <w:rFonts w:hint="default" w:ascii="Rubius Icons LTProtect Accent" w:hAnsi="Rubius Icons LTProtect Accent" w:eastAsia="Times New Roman" w:cs="Times New Roman"/>
      </w:rPr>
      <w:tcPr>
        <w:tcBorders>
          <w:top w:val="none" w:color="000000" w:sz="4" w:space="0"/>
          <w:bottom w:val="single" w:color="000000" w:sz="8" w:space="0"/>
        </w:tcBorders>
      </w:tcPr>
    </w:tblStylePr>
    <w:tblStylePr w:type="lastCol">
      <w:rPr>
        <w:b/>
        <w:bCs/>
      </w:rPr>
      <w:tcPr>
        <w:tcBorders>
          <w:top w:val="single" w:color="000000" w:sz="8" w:space="0"/>
          <w:bottom w:val="single" w:color="000000" w:sz="8" w:space="0"/>
        </w:tcBorders>
      </w:tcPr>
    </w:tblStylePr>
    <w:tblStylePr w:type="lastRow">
      <w:rPr>
        <w:b/>
        <w:bCs/>
        <w:color w:val="1f497d"/>
      </w:rPr>
      <w:tcPr>
        <w:tcBorders>
          <w:top w:val="single" w:color="000000" w:sz="8" w:space="0"/>
          <w:bottom w:val="single" w:color="000000" w:sz="8" w:space="0"/>
        </w:tcBorders>
      </w:tcPr>
    </w:tblStylePr>
  </w:style>
  <w:style w:type="table" w:styleId="1116" w:customStyle="1">
    <w:name w:val="Средний список 1116"/>
    <w:basedOn w:val="820"/>
    <w:uiPriority w:val="65"/>
    <w:rPr>
      <w:rFonts w:eastAsia="Times New Roman"/>
      <w:color w:val="000000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</w:tcPr>
    </w:tblStylePr>
    <w:tblStylePr w:type="band1Vert">
      <w:tcPr>
        <w:shd w:val="clear" w:color="auto" w:fill="c0c0c0"/>
      </w:tcPr>
    </w:tblStylePr>
    <w:tblStylePr w:type="firstCol">
      <w:rPr>
        <w:b/>
        <w:bCs/>
      </w:rPr>
    </w:tblStylePr>
    <w:tblStylePr w:type="firstRow">
      <w:rPr>
        <w:rFonts w:hint="default" w:ascii="Rubius Icons LTProtect Accent" w:hAnsi="Rubius Icons LTProtect Accent" w:eastAsia="Times New Roman" w:cs="Times New Roman"/>
      </w:rPr>
      <w:tcPr>
        <w:tcBorders>
          <w:top w:val="none" w:color="000000" w:sz="4" w:space="0"/>
          <w:bottom w:val="single" w:color="000000" w:sz="8" w:space="0"/>
        </w:tcBorders>
      </w:tcPr>
    </w:tblStylePr>
    <w:tblStylePr w:type="lastCol">
      <w:rPr>
        <w:b/>
        <w:bCs/>
      </w:rPr>
      <w:tcPr>
        <w:tcBorders>
          <w:top w:val="single" w:color="000000" w:sz="8" w:space="0"/>
          <w:bottom w:val="single" w:color="000000" w:sz="8" w:space="0"/>
        </w:tcBorders>
      </w:tcPr>
    </w:tblStylePr>
    <w:tblStylePr w:type="lastRow">
      <w:rPr>
        <w:b/>
        <w:bCs/>
        <w:color w:val="1f497d"/>
      </w:rPr>
      <w:tcPr>
        <w:tcBorders>
          <w:top w:val="single" w:color="000000" w:sz="8" w:space="0"/>
          <w:bottom w:val="single" w:color="000000" w:sz="8" w:space="0"/>
        </w:tcBorders>
      </w:tcPr>
    </w:tblStylePr>
  </w:style>
  <w:style w:type="table" w:styleId="1117" w:customStyle="1">
    <w:name w:val="Светлая заливка116"/>
    <w:basedOn w:val="820"/>
    <w:uiPriority w:val="60"/>
    <w:rPr>
      <w:rFonts w:eastAsia="Times New Roman"/>
      <w:color w:val="000000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</w:style>
  <w:style w:type="table" w:styleId="1118" w:customStyle="1">
    <w:name w:val="Светлая заливка33"/>
    <w:basedOn w:val="820"/>
    <w:uiPriority w:val="60"/>
    <w:rPr>
      <w:rFonts w:ascii="Calibri" w:hAnsi="Calibri"/>
      <w:color w:val="000000"/>
      <w:sz w:val="22"/>
      <w:szCs w:val="22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</w:style>
  <w:style w:type="table" w:styleId="1119" w:customStyle="1">
    <w:name w:val="Светлая заливка13"/>
    <w:basedOn w:val="820"/>
    <w:uiPriority w:val="60"/>
    <w:rPr>
      <w:rFonts w:ascii="Calibri" w:hAnsi="Calibri"/>
      <w:color w:val="000000"/>
      <w:sz w:val="22"/>
      <w:szCs w:val="22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</w:style>
  <w:style w:type="table" w:styleId="1120" w:customStyle="1">
    <w:name w:val="Сетка таблицы 511"/>
    <w:basedOn w:val="820"/>
    <w:rPr>
      <w:rFonts w:eastAsia="Times New Roman"/>
      <w:lang w:eastAsia="ru-R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blStylePr w:type="firstRow">
      <w:tcPr>
        <w:tcBorders>
          <w:bottom w:val="single" w:color="000000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</w:tblStylePr>
  </w:style>
  <w:style w:type="table" w:styleId="1121" w:customStyle="1">
    <w:name w:val="Классическая таблица 12"/>
    <w:basedOn w:val="820"/>
    <w:pPr>
      <w:ind w:firstLine="567"/>
      <w:jc w:val="both"/>
      <w:spacing w:before="120" w:after="120"/>
      <w:widowControl w:val="off"/>
    </w:pPr>
    <w:rPr>
      <w:rFonts w:eastAsia="Times New Roman"/>
      <w:lang w:eastAsia="ru-RU"/>
    </w:rPr>
    <w:tblPr>
      <w:tblBorders>
        <w:top w:val="single" w:color="000000" w:sz="12" w:space="0"/>
        <w:bottom w:val="single" w:color="000000" w:sz="12" w:space="0"/>
      </w:tblBorders>
    </w:tblPr>
    <w:tblStylePr w:type="firstCol">
      <w:tcPr>
        <w:tcBorders>
          <w:right w:val="single" w:color="000000" w:sz="6" w:space="0"/>
        </w:tcBorders>
      </w:tcPr>
    </w:tblStylePr>
    <w:tblStylePr w:type="firstRow">
      <w:rPr>
        <w:i/>
        <w:iCs/>
      </w:rPr>
      <w:tcPr>
        <w:tcBorders>
          <w:bottom w:val="single" w:color="000000" w:sz="6" w:space="0"/>
        </w:tcBorders>
      </w:tcPr>
    </w:tblStylePr>
    <w:tblStylePr w:type="lastRow">
      <w:rPr>
        <w:color w:val="auto"/>
      </w:rPr>
      <w:tcPr>
        <w:tcBorders>
          <w:top w:val="single" w:color="000000" w:sz="6" w:space="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1122" w:customStyle="1">
    <w:name w:val="Сетка таблицы6"/>
    <w:basedOn w:val="820"/>
    <w:uiPriority w:val="59"/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23" w:customStyle="1">
    <w:name w:val="Сетка таблицы7"/>
    <w:basedOn w:val="820"/>
    <w:uiPriority w:val="59"/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24" w:customStyle="1">
    <w:name w:val="Сетка таблицы31"/>
    <w:basedOn w:val="820"/>
    <w:uiPriority w:val="59"/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25" w:customStyle="1">
    <w:name w:val="Сетка таблицы8"/>
    <w:basedOn w:val="820"/>
    <w:uiPriority w:val="59"/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26" w:customStyle="1">
    <w:name w:val="Сетка таблицы32"/>
    <w:basedOn w:val="820"/>
    <w:uiPriority w:val="59"/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27" w:customStyle="1">
    <w:name w:val="Сетка таблицы9"/>
    <w:basedOn w:val="820"/>
    <w:uiPriority w:val="59"/>
    <w:rPr>
      <w:rFonts w:ascii="Calibri" w:hAnsi="Calibri"/>
      <w:sz w:val="22"/>
      <w:szCs w:val="22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28" w:customStyle="1">
    <w:name w:val="Сетка таблицы10"/>
    <w:basedOn w:val="820"/>
    <w:uiPriority w:val="59"/>
    <w:rPr>
      <w:rFonts w:ascii="Calibri" w:hAnsi="Calibri" w:eastAsia="Times New Roman"/>
      <w:sz w:val="22"/>
      <w:szCs w:val="22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29" w:customStyle="1">
    <w:name w:val="Сетка таблицы12"/>
    <w:basedOn w:val="820"/>
    <w:uiPriority w:val="59"/>
    <w:rPr>
      <w:rFonts w:ascii="Calibri" w:hAnsi="Calibri" w:eastAsia="Times New Roman"/>
      <w:sz w:val="22"/>
      <w:szCs w:val="22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30" w:customStyle="1">
    <w:name w:val="Сетка таблицы111"/>
    <w:basedOn w:val="820"/>
    <w:uiPriority w:val="59"/>
    <w:rPr>
      <w:rFonts w:ascii="Calibri" w:hAnsi="Calibri" w:eastAsia="Times New Roman"/>
      <w:sz w:val="22"/>
      <w:szCs w:val="22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31" w:customStyle="1">
    <w:name w:val="Сетка таблицы121"/>
    <w:basedOn w:val="820"/>
    <w:uiPriority w:val="59"/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32" w:customStyle="1">
    <w:name w:val="Сетка таблицы22"/>
    <w:basedOn w:val="820"/>
    <w:uiPriority w:val="59"/>
    <w:rPr>
      <w:rFonts w:ascii="Calibri" w:hAnsi="Calibri" w:eastAsia="Times New Roman"/>
      <w:sz w:val="22"/>
      <w:szCs w:val="22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33" w:customStyle="1">
    <w:name w:val="Сетка таблицы13"/>
    <w:basedOn w:val="820"/>
    <w:uiPriority w:val="59"/>
    <w:rPr>
      <w:rFonts w:ascii="Calibri" w:hAnsi="Calibri" w:eastAsia="Times New Roman"/>
      <w:sz w:val="22"/>
      <w:szCs w:val="22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34" w:customStyle="1">
    <w:name w:val="Сетка таблицы14"/>
    <w:basedOn w:val="820"/>
    <w:pPr>
      <w:widowControl w:val="off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35" w:customStyle="1">
    <w:name w:val="Сетка таблицы15"/>
    <w:basedOn w:val="820"/>
    <w:uiPriority w:val="59"/>
    <w:rPr>
      <w:rFonts w:ascii="Calibri" w:hAnsi="Calibri" w:eastAsia="Times New Roman"/>
      <w:sz w:val="22"/>
      <w:szCs w:val="22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36" w:customStyle="1">
    <w:name w:val="Сетка таблицы16"/>
    <w:basedOn w:val="820"/>
    <w:pPr>
      <w:widowControl w:val="off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37" w:customStyle="1">
    <w:name w:val="Сетка таблицы17"/>
    <w:basedOn w:val="820"/>
    <w:pPr>
      <w:widowControl w:val="off"/>
    </w:pPr>
    <w:rPr>
      <w:rFonts w:ascii="Calibri" w:hAnsi="Calibri"/>
      <w:sz w:val="22"/>
      <w:szCs w:val="22"/>
      <w:lang w:val="en-US"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138" w:customStyle="1">
    <w:name w:val="1 / 1.1 / 1.1.4"/>
    <w:pPr>
      <w:numPr>
        <w:ilvl w:val="0"/>
        <w:numId w:val="13"/>
      </w:numPr>
    </w:pPr>
  </w:style>
  <w:style w:type="numbering" w:styleId="1139">
    <w:name w:val="Outline List 3"/>
    <w:basedOn w:val="821"/>
    <w:uiPriority w:val="99"/>
    <w:semiHidden/>
    <w:unhideWhenUsed/>
    <w:pPr>
      <w:numPr>
        <w:ilvl w:val="0"/>
        <w:numId w:val="2"/>
      </w:numPr>
    </w:pPr>
  </w:style>
  <w:style w:type="numbering" w:styleId="1140">
    <w:name w:val="Outline List 1"/>
    <w:basedOn w:val="821"/>
    <w:uiPriority w:val="99"/>
    <w:semiHidden/>
    <w:unhideWhenUsed/>
    <w:pPr>
      <w:numPr>
        <w:ilvl w:val="0"/>
        <w:numId w:val="3"/>
      </w:numPr>
    </w:pPr>
  </w:style>
  <w:style w:type="numbering" w:styleId="1141" w:customStyle="1">
    <w:name w:val="1 / 1.1 / 1.1.2"/>
    <w:pPr>
      <w:numPr>
        <w:ilvl w:val="0"/>
        <w:numId w:val="4"/>
      </w:numPr>
    </w:pPr>
  </w:style>
  <w:style w:type="numbering" w:styleId="1142" w:customStyle="1">
    <w:name w:val="1 / a / i11"/>
    <w:pPr>
      <w:numPr>
        <w:ilvl w:val="0"/>
        <w:numId w:val="5"/>
      </w:numPr>
    </w:pPr>
  </w:style>
  <w:style w:type="numbering" w:styleId="1143" w:customStyle="1">
    <w:name w:val="Статья / Раздел11"/>
    <w:pPr>
      <w:numPr>
        <w:ilvl w:val="0"/>
        <w:numId w:val="6"/>
      </w:numPr>
    </w:pPr>
  </w:style>
  <w:style w:type="numbering" w:styleId="1144">
    <w:name w:val="Outline List 2"/>
    <w:basedOn w:val="821"/>
  </w:style>
  <w:style w:type="numbering" w:styleId="1145" w:customStyle="1">
    <w:name w:val="Нет списка1"/>
    <w:next w:val="821"/>
    <w:uiPriority w:val="99"/>
    <w:semiHidden/>
    <w:unhideWhenUsed/>
  </w:style>
  <w:style w:type="numbering" w:styleId="1146" w:customStyle="1">
    <w:name w:val="1 / 1.1 / 1.1.3"/>
    <w:basedOn w:val="821"/>
    <w:next w:val="1144"/>
  </w:style>
  <w:style w:type="numbering" w:styleId="1147" w:customStyle="1">
    <w:name w:val="Нет списка2"/>
    <w:next w:val="821"/>
    <w:semiHidden/>
    <w:unhideWhenUsed/>
  </w:style>
  <w:style w:type="numbering" w:styleId="1148" w:customStyle="1">
    <w:name w:val="Нет списка11"/>
    <w:next w:val="821"/>
    <w:uiPriority w:val="99"/>
    <w:semiHidden/>
    <w:unhideWhenUsed/>
  </w:style>
  <w:style w:type="numbering" w:styleId="1149" w:customStyle="1">
    <w:name w:val="Нет списка21"/>
    <w:next w:val="821"/>
    <w:uiPriority w:val="99"/>
    <w:semiHidden/>
    <w:unhideWhenUsed/>
  </w:style>
  <w:style w:type="numbering" w:styleId="1150" w:customStyle="1">
    <w:name w:val="Нет списка111"/>
    <w:next w:val="821"/>
    <w:uiPriority w:val="99"/>
    <w:semiHidden/>
    <w:unhideWhenUsed/>
  </w:style>
  <w:style w:type="numbering" w:styleId="1151" w:customStyle="1">
    <w:name w:val="Нет списка3"/>
    <w:next w:val="821"/>
    <w:uiPriority w:val="99"/>
    <w:semiHidden/>
    <w:unhideWhenUsed/>
  </w:style>
  <w:style w:type="numbering" w:styleId="1152" w:customStyle="1">
    <w:name w:val="Нет списка4"/>
    <w:next w:val="821"/>
    <w:uiPriority w:val="99"/>
    <w:semiHidden/>
    <w:unhideWhenUsed/>
  </w:style>
  <w:style w:type="numbering" w:styleId="1153" w:customStyle="1">
    <w:name w:val="Нет списка5"/>
    <w:next w:val="821"/>
    <w:uiPriority w:val="99"/>
    <w:semiHidden/>
    <w:unhideWhenUsed/>
  </w:style>
  <w:style w:type="numbering" w:styleId="1154" w:customStyle="1">
    <w:name w:val="Нет списка6"/>
    <w:next w:val="821"/>
    <w:uiPriority w:val="99"/>
    <w:semiHidden/>
    <w:unhideWhenUsed/>
  </w:style>
  <w:style w:type="numbering" w:styleId="1155" w:customStyle="1">
    <w:name w:val="Нет списка7"/>
    <w:next w:val="821"/>
    <w:uiPriority w:val="99"/>
    <w:semiHidden/>
    <w:unhideWhenUsed/>
  </w:style>
  <w:style w:type="numbering" w:styleId="1156" w:customStyle="1">
    <w:name w:val="Нет списка8"/>
    <w:next w:val="821"/>
    <w:uiPriority w:val="99"/>
    <w:semiHidden/>
    <w:unhideWhenUsed/>
  </w:style>
  <w:style w:type="numbering" w:styleId="1157" w:customStyle="1">
    <w:name w:val="Нет списка9"/>
    <w:next w:val="821"/>
    <w:uiPriority w:val="99"/>
    <w:semiHidden/>
    <w:unhideWhenUsed/>
  </w:style>
  <w:style w:type="numbering" w:styleId="1158" w:customStyle="1">
    <w:name w:val="Нет списка10"/>
    <w:next w:val="821"/>
    <w:uiPriority w:val="99"/>
    <w:semiHidden/>
    <w:unhideWhenUsed/>
  </w:style>
  <w:style w:type="numbering" w:styleId="1159" w:customStyle="1">
    <w:name w:val="Нет списка12"/>
    <w:next w:val="821"/>
    <w:uiPriority w:val="99"/>
    <w:semiHidden/>
    <w:unhideWhenUsed/>
  </w:style>
  <w:style w:type="numbering" w:styleId="1160" w:customStyle="1">
    <w:name w:val="Нет списка13"/>
    <w:next w:val="821"/>
    <w:uiPriority w:val="99"/>
    <w:semiHidden/>
    <w:unhideWhenUsed/>
  </w:style>
  <w:style w:type="numbering" w:styleId="1161" w:customStyle="1">
    <w:name w:val="Нет списка14"/>
    <w:next w:val="821"/>
    <w:uiPriority w:val="99"/>
    <w:semiHidden/>
    <w:unhideWhenUsed/>
  </w:style>
  <w:style w:type="numbering" w:styleId="1162" w:customStyle="1">
    <w:name w:val="Нет списка15"/>
    <w:next w:val="821"/>
    <w:uiPriority w:val="99"/>
    <w:semiHidden/>
    <w:unhideWhenUsed/>
  </w:style>
  <w:style w:type="numbering" w:styleId="1163" w:customStyle="1">
    <w:name w:val="Нет списка16"/>
    <w:next w:val="821"/>
    <w:uiPriority w:val="99"/>
    <w:semiHidden/>
    <w:unhideWhenUsed/>
  </w:style>
  <w:style w:type="numbering" w:styleId="1164" w:customStyle="1">
    <w:name w:val="Нет списка22"/>
    <w:next w:val="821"/>
    <w:semiHidden/>
  </w:style>
  <w:style w:type="numbering" w:styleId="1165" w:customStyle="1">
    <w:name w:val="Нет списка17"/>
    <w:next w:val="821"/>
    <w:uiPriority w:val="99"/>
    <w:semiHidden/>
    <w:unhideWhenUsed/>
  </w:style>
  <w:style w:type="numbering" w:styleId="1166" w:customStyle="1">
    <w:name w:val="Нет списка18"/>
    <w:next w:val="821"/>
    <w:uiPriority w:val="99"/>
    <w:semiHidden/>
    <w:unhideWhenUsed/>
  </w:style>
  <w:style w:type="numbering" w:styleId="1167" w:customStyle="1">
    <w:name w:val="Нет списка23"/>
    <w:next w:val="821"/>
    <w:semiHidden/>
  </w:style>
  <w:style w:type="numbering" w:styleId="1168" w:customStyle="1">
    <w:name w:val="Статья / Раздел21"/>
    <w:basedOn w:val="821"/>
    <w:next w:val="1139"/>
  </w:style>
  <w:style w:type="numbering" w:styleId="1169" w:customStyle="1">
    <w:name w:val="1 / a / i31"/>
    <w:basedOn w:val="821"/>
    <w:next w:val="1140"/>
  </w:style>
  <w:style w:type="numbering" w:styleId="1170" w:customStyle="1">
    <w:name w:val="1 / a / i3"/>
    <w:pPr>
      <w:numPr>
        <w:ilvl w:val="0"/>
        <w:numId w:val="7"/>
      </w:numPr>
    </w:pPr>
  </w:style>
  <w:style w:type="numbering" w:styleId="1171" w:customStyle="1">
    <w:name w:val="1 / a / i316"/>
    <w:basedOn w:val="821"/>
    <w:next w:val="1140"/>
  </w:style>
  <w:style w:type="numbering" w:styleId="1172" w:customStyle="1">
    <w:name w:val="Нет списка19"/>
    <w:next w:val="821"/>
    <w:uiPriority w:val="99"/>
    <w:semiHidden/>
    <w:unhideWhenUsed/>
  </w:style>
  <w:style w:type="numbering" w:styleId="1173" w:customStyle="1">
    <w:name w:val="1 / 1.1 / 1.1.5"/>
    <w:basedOn w:val="821"/>
    <w:next w:val="1144"/>
  </w:style>
  <w:style w:type="numbering" w:styleId="1174" w:customStyle="1">
    <w:name w:val="Нет списка110"/>
    <w:next w:val="821"/>
    <w:uiPriority w:val="99"/>
    <w:semiHidden/>
    <w:unhideWhenUsed/>
  </w:style>
  <w:style w:type="table" w:styleId="1175" w:customStyle="1">
    <w:name w:val="Светлая заливка117"/>
    <w:basedOn w:val="820"/>
    <w:uiPriority w:val="60"/>
    <w:pPr>
      <w:spacing w:after="0" w:line="240" w:lineRule="auto"/>
    </w:pPr>
    <w:rPr>
      <w:rFonts w:eastAsia="Times New Roman"/>
      <w:color w:val="000000" w:themeColor="text1" w:themeShade="BF"/>
      <w:sz w:val="20"/>
      <w:szCs w:val="20"/>
      <w:lang w:eastAsia="ru-RU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band1Horz">
      <w:tcPr>
        <w:shd w:val="clear" w:color="auto" w:fill="c0c0c0" w:themeFill="text1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c0c0c0" w:themeFill="text1" w:themeFillTint="3F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000000" w:themeColor="text1" w:sz="8" w:space="0"/>
          <w:left w:val="none" w:color="000000" w:sz="4" w:space="0"/>
          <w:bottom w:val="single" w:color="000000" w:themeColor="text1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000000" w:themeColor="text1" w:sz="8" w:space="0"/>
          <w:left w:val="none" w:color="000000" w:sz="4" w:space="0"/>
          <w:bottom w:val="single" w:color="000000" w:themeColor="text1" w:sz="8" w:space="0"/>
          <w:right w:val="none" w:color="000000" w:sz="4" w:space="0"/>
        </w:tcBorders>
      </w:tcPr>
    </w:tblStylePr>
  </w:style>
  <w:style w:type="table" w:styleId="1176" w:customStyle="1">
    <w:name w:val="Средняя заливка 2 - Акцент 42"/>
    <w:basedOn w:val="820"/>
    <w:next w:val="1041"/>
    <w:uiPriority w:val="64"/>
    <w:pPr>
      <w:spacing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Borders>
        <w:top w:val="single" w:color="000000" w:sz="18" w:space="0"/>
        <w:bottom w:val="single" w:color="000000" w:sz="18" w:space="0"/>
      </w:tblBorders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8064a2" w:themeFill="accent4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8064a2" w:themeFill="accent4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8064a2" w:themeFill="accent4"/>
        <w:tcBorders>
          <w:left w:val="none" w:color="000000" w:sz="4" w:space="0"/>
          <w:right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</w:style>
  <w:style w:type="table" w:styleId="1177" w:customStyle="1">
    <w:name w:val="Светлая заливка22"/>
    <w:basedOn w:val="820"/>
    <w:uiPriority w:val="60"/>
    <w:pPr>
      <w:spacing w:after="0" w:line="240" w:lineRule="auto"/>
    </w:pPr>
    <w:rPr>
      <w:rFonts w:eastAsia="Times New Roman"/>
      <w:color w:val="000000" w:themeColor="text1" w:themeShade="BF"/>
      <w:sz w:val="20"/>
      <w:szCs w:val="20"/>
      <w:lang w:eastAsia="ru-RU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band1Horz">
      <w:tcPr>
        <w:shd w:val="clear" w:color="auto" w:fill="c0c0c0" w:themeFill="text1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c0c0c0" w:themeFill="text1" w:themeFillTint="3F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000000" w:themeColor="text1" w:sz="8" w:space="0"/>
          <w:left w:val="none" w:color="000000" w:sz="4" w:space="0"/>
          <w:bottom w:val="single" w:color="000000" w:themeColor="text1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000000" w:themeColor="text1" w:sz="8" w:space="0"/>
          <w:left w:val="none" w:color="000000" w:sz="4" w:space="0"/>
          <w:bottom w:val="single" w:color="000000" w:themeColor="text1" w:sz="8" w:space="0"/>
          <w:right w:val="none" w:color="000000" w:sz="4" w:space="0"/>
        </w:tcBorders>
      </w:tcPr>
    </w:tblStylePr>
  </w:style>
  <w:style w:type="table" w:styleId="1178" w:customStyle="1">
    <w:name w:val="Light Shading11"/>
    <w:basedOn w:val="820"/>
    <w:uiPriority w:val="60"/>
    <w:pPr>
      <w:spacing w:after="0" w:line="240" w:lineRule="auto"/>
    </w:pPr>
    <w:rPr>
      <w:rFonts w:eastAsia="Times New Roman"/>
      <w:color w:val="000000" w:themeColor="text1" w:themeShade="BF"/>
      <w:sz w:val="20"/>
      <w:szCs w:val="20"/>
      <w:lang w:eastAsia="ru-RU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band1Horz">
      <w:tcPr>
        <w:shd w:val="clear" w:color="auto" w:fill="c0c0c0" w:themeFill="text1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c0c0c0" w:themeFill="text1" w:themeFillTint="3F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000000" w:themeColor="text1" w:sz="8" w:space="0"/>
          <w:left w:val="none" w:color="000000" w:sz="4" w:space="0"/>
          <w:bottom w:val="single" w:color="000000" w:themeColor="text1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000000" w:themeColor="text1" w:sz="8" w:space="0"/>
          <w:left w:val="none" w:color="000000" w:sz="4" w:space="0"/>
          <w:bottom w:val="single" w:color="000000" w:themeColor="text1" w:sz="8" w:space="0"/>
          <w:right w:val="none" w:color="000000" w:sz="4" w:space="0"/>
        </w:tcBorders>
      </w:tcPr>
    </w:tblStylePr>
  </w:style>
  <w:style w:type="table" w:styleId="1179" w:customStyle="1">
    <w:name w:val="рпдлпжлопж1"/>
    <w:basedOn w:val="820"/>
    <w:uiPriority w:val="99"/>
    <w:pPr>
      <w:jc w:val="right"/>
      <w:spacing w:after="0" w:line="240" w:lineRule="auto"/>
    </w:pPr>
    <w:rPr>
      <w:rFonts w:ascii="Arial" w:hAnsi="Arial" w:cstheme="minorBidi"/>
      <w:sz w:val="18"/>
      <w:szCs w:val="22"/>
    </w:rPr>
    <w:tblPr>
      <w:tblStyleRowBandSize w:val="1"/>
      <w:tblStyleColBandSize w:val="1"/>
    </w:tblPr>
    <w:tcPr>
      <w:vAlign w:val="center"/>
    </w:tcPr>
    <w:tblStylePr w:type="band1Horz">
      <w:rPr>
        <w:rFonts w:ascii="Arial" w:hAnsi="Arial"/>
        <w:sz w:val="18"/>
      </w:rPr>
      <w:pPr>
        <w:jc w:val="right"/>
      </w:pPr>
    </w:tblStylePr>
    <w:tblStylePr w:type="band1Vert">
      <w:rPr>
        <w:rFonts w:ascii="Arial" w:hAnsi="Arial"/>
        <w:sz w:val="18"/>
      </w:rPr>
      <w:pPr>
        <w:jc w:val="right"/>
      </w:pPr>
    </w:tblStylePr>
    <w:tblStylePr w:type="band2Horz">
      <w:rPr>
        <w:rFonts w:ascii="Arial" w:hAnsi="Arial"/>
        <w:sz w:val="18"/>
      </w:rPr>
      <w:pPr>
        <w:jc w:val="right"/>
      </w:pPr>
      <w:tcPr>
        <w:shd w:val="clear" w:color="auto" w:fill="bfbfbf" w:themeFill="background1" w:themeFillShade="BF"/>
      </w:tcPr>
    </w:tblStylePr>
    <w:tblStylePr w:type="band2Vert">
      <w:rPr>
        <w:rFonts w:ascii="Arial" w:hAnsi="Arial"/>
        <w:sz w:val="18"/>
      </w:rPr>
      <w:pPr>
        <w:jc w:val="right"/>
      </w:pPr>
    </w:tblStylePr>
    <w:tblStylePr w:type="firstCol">
      <w:rPr>
        <w:rFonts w:ascii="Arial" w:hAnsi="Arial"/>
        <w:sz w:val="18"/>
      </w:rPr>
      <w:tcPr>
        <w:tcBorders>
          <w:right w:val="single" w:color="000000" w:sz="4" w:space="0"/>
        </w:tcBorders>
      </w:tcPr>
    </w:tblStylePr>
    <w:tblStylePr w:type="firstRow">
      <w:rPr>
        <w:rFonts w:ascii="Arial" w:hAnsi="Arial"/>
        <w:b/>
        <w:sz w:val="18"/>
      </w:rPr>
      <w:pPr>
        <w:jc w:val="right"/>
      </w:pPr>
      <w:tcPr>
        <w:shd w:val="clear" w:color="auto" w:fill="bfbfbf" w:themeFill="background1" w:themeFillShade="BF"/>
        <w:tcBorders>
          <w:bottom w:val="single" w:color="000000" w:sz="4" w:space="0"/>
        </w:tcBorders>
      </w:tcPr>
    </w:tblStylePr>
  </w:style>
  <w:style w:type="numbering" w:styleId="1180" w:customStyle="1">
    <w:name w:val="1 / 1.1 / 1.1.31"/>
    <w:basedOn w:val="821"/>
    <w:next w:val="1144"/>
  </w:style>
  <w:style w:type="numbering" w:styleId="1181" w:customStyle="1">
    <w:name w:val="Нет списка24"/>
    <w:next w:val="821"/>
    <w:semiHidden/>
    <w:unhideWhenUsed/>
  </w:style>
  <w:style w:type="numbering" w:styleId="1182" w:customStyle="1">
    <w:name w:val="Нет списка112"/>
    <w:next w:val="821"/>
    <w:uiPriority w:val="99"/>
    <w:semiHidden/>
    <w:unhideWhenUsed/>
  </w:style>
  <w:style w:type="numbering" w:styleId="1183" w:customStyle="1">
    <w:name w:val="Нет списка211"/>
    <w:next w:val="821"/>
    <w:uiPriority w:val="99"/>
    <w:semiHidden/>
    <w:unhideWhenUsed/>
  </w:style>
  <w:style w:type="numbering" w:styleId="1184" w:customStyle="1">
    <w:name w:val="Нет списка1111"/>
    <w:next w:val="821"/>
    <w:uiPriority w:val="99"/>
    <w:semiHidden/>
    <w:unhideWhenUsed/>
  </w:style>
  <w:style w:type="numbering" w:styleId="1185" w:customStyle="1">
    <w:name w:val="Нет списка31"/>
    <w:next w:val="821"/>
    <w:uiPriority w:val="99"/>
    <w:semiHidden/>
    <w:unhideWhenUsed/>
  </w:style>
  <w:style w:type="numbering" w:styleId="1186" w:customStyle="1">
    <w:name w:val="Нет списка41"/>
    <w:next w:val="821"/>
    <w:uiPriority w:val="99"/>
    <w:semiHidden/>
    <w:unhideWhenUsed/>
  </w:style>
  <w:style w:type="numbering" w:styleId="1187" w:customStyle="1">
    <w:name w:val="Нет списка51"/>
    <w:next w:val="821"/>
    <w:uiPriority w:val="99"/>
    <w:semiHidden/>
    <w:unhideWhenUsed/>
  </w:style>
  <w:style w:type="numbering" w:styleId="1188" w:customStyle="1">
    <w:name w:val="Нет списка61"/>
    <w:next w:val="821"/>
    <w:uiPriority w:val="99"/>
    <w:semiHidden/>
    <w:unhideWhenUsed/>
  </w:style>
  <w:style w:type="numbering" w:styleId="1189" w:customStyle="1">
    <w:name w:val="Нет списка71"/>
    <w:next w:val="821"/>
    <w:uiPriority w:val="99"/>
    <w:semiHidden/>
    <w:unhideWhenUsed/>
  </w:style>
  <w:style w:type="numbering" w:styleId="1190" w:customStyle="1">
    <w:name w:val="Нет списка81"/>
    <w:next w:val="821"/>
    <w:uiPriority w:val="99"/>
    <w:semiHidden/>
    <w:unhideWhenUsed/>
  </w:style>
  <w:style w:type="numbering" w:styleId="1191" w:customStyle="1">
    <w:name w:val="Нет списка91"/>
    <w:next w:val="821"/>
    <w:uiPriority w:val="99"/>
    <w:semiHidden/>
    <w:unhideWhenUsed/>
  </w:style>
  <w:style w:type="numbering" w:styleId="1192" w:customStyle="1">
    <w:name w:val="Нет списка101"/>
    <w:next w:val="821"/>
    <w:uiPriority w:val="99"/>
    <w:semiHidden/>
    <w:unhideWhenUsed/>
  </w:style>
  <w:style w:type="numbering" w:styleId="1193" w:customStyle="1">
    <w:name w:val="Нет списка121"/>
    <w:next w:val="821"/>
    <w:uiPriority w:val="99"/>
    <w:semiHidden/>
    <w:unhideWhenUsed/>
  </w:style>
  <w:style w:type="table" w:styleId="1194" w:customStyle="1">
    <w:name w:val="Сетка таблицы91"/>
    <w:basedOn w:val="820"/>
    <w:next w:val="988"/>
    <w:uiPriority w:val="5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195" w:customStyle="1">
    <w:name w:val="Нет списка131"/>
    <w:next w:val="821"/>
    <w:uiPriority w:val="99"/>
    <w:semiHidden/>
    <w:unhideWhenUsed/>
  </w:style>
  <w:style w:type="table" w:styleId="1196" w:customStyle="1">
    <w:name w:val="Сетка таблицы101"/>
    <w:basedOn w:val="820"/>
    <w:next w:val="988"/>
    <w:uiPriority w:val="59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97" w:customStyle="1">
    <w:name w:val="Сетка таблицы122"/>
    <w:basedOn w:val="820"/>
    <w:next w:val="988"/>
    <w:uiPriority w:val="59"/>
    <w:pPr>
      <w:spacing w:after="0" w:line="240" w:lineRule="auto"/>
    </w:pPr>
    <w:rPr>
      <w:rFonts w:eastAsia="Times New Roman" w:asciiTheme="minorHAnsi" w:hAnsiTheme="minorHAnsi" w:cstheme="minorBidi"/>
      <w:sz w:val="22"/>
      <w:szCs w:val="22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98" w:customStyle="1">
    <w:name w:val="Сетка таблицы1111"/>
    <w:basedOn w:val="820"/>
    <w:next w:val="988"/>
    <w:uiPriority w:val="59"/>
    <w:pPr>
      <w:spacing w:after="0" w:line="240" w:lineRule="auto"/>
    </w:pPr>
    <w:rPr>
      <w:rFonts w:ascii="Calibri" w:hAnsi="Calibri" w:eastAsia="Times New Roman" w:cstheme="minorBidi"/>
      <w:sz w:val="22"/>
      <w:szCs w:val="22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199" w:customStyle="1">
    <w:name w:val="Нет списка141"/>
    <w:next w:val="821"/>
    <w:uiPriority w:val="99"/>
    <w:semiHidden/>
    <w:unhideWhenUsed/>
  </w:style>
  <w:style w:type="numbering" w:styleId="1200" w:customStyle="1">
    <w:name w:val="Нет списка151"/>
    <w:next w:val="821"/>
    <w:uiPriority w:val="99"/>
    <w:semiHidden/>
    <w:unhideWhenUsed/>
  </w:style>
  <w:style w:type="numbering" w:styleId="1201" w:customStyle="1">
    <w:name w:val="Нет списка161"/>
    <w:next w:val="821"/>
    <w:uiPriority w:val="99"/>
    <w:semiHidden/>
    <w:unhideWhenUsed/>
  </w:style>
  <w:style w:type="numbering" w:styleId="1202" w:customStyle="1">
    <w:name w:val="Нет списка221"/>
    <w:next w:val="821"/>
    <w:semiHidden/>
  </w:style>
  <w:style w:type="numbering" w:styleId="1203" w:customStyle="1">
    <w:name w:val="Нет списка171"/>
    <w:next w:val="821"/>
    <w:uiPriority w:val="99"/>
    <w:semiHidden/>
    <w:unhideWhenUsed/>
  </w:style>
  <w:style w:type="numbering" w:styleId="1204" w:customStyle="1">
    <w:name w:val="Нет списка181"/>
    <w:next w:val="821"/>
    <w:uiPriority w:val="99"/>
    <w:semiHidden/>
    <w:unhideWhenUsed/>
  </w:style>
  <w:style w:type="numbering" w:styleId="1205" w:customStyle="1">
    <w:name w:val="Нет списка231"/>
    <w:next w:val="821"/>
    <w:semiHidden/>
  </w:style>
  <w:style w:type="numbering" w:styleId="1206" w:customStyle="1">
    <w:name w:val="Статья / Раздел211"/>
    <w:basedOn w:val="821"/>
    <w:next w:val="1139"/>
  </w:style>
  <w:style w:type="numbering" w:styleId="1207" w:customStyle="1">
    <w:name w:val="1 / a / i311"/>
    <w:basedOn w:val="821"/>
    <w:next w:val="1140"/>
  </w:style>
  <w:style w:type="numbering" w:styleId="1208" w:customStyle="1">
    <w:name w:val="1 / a / i3161"/>
    <w:basedOn w:val="821"/>
    <w:next w:val="1140"/>
    <w:pPr>
      <w:numPr>
        <w:ilvl w:val="0"/>
        <w:numId w:val="8"/>
      </w:numPr>
    </w:pPr>
  </w:style>
  <w:style w:type="paragraph" w:styleId="1209" w:customStyle="1">
    <w:name w:val="xl310"/>
    <w:basedOn w:val="8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210">
    <w:name w:val="annotation text"/>
    <w:basedOn w:val="809"/>
    <w:link w:val="1211"/>
    <w:unhideWhenUsed/>
    <w:qFormat/>
    <w:rPr>
      <w:rFonts w:eastAsiaTheme="minorEastAsia" w:cstheme="minorBidi"/>
      <w:sz w:val="20"/>
      <w:szCs w:val="20"/>
      <w:lang w:eastAsia="en-US"/>
    </w:rPr>
  </w:style>
  <w:style w:type="character" w:styleId="1211" w:customStyle="1">
    <w:name w:val="Текст примечания Знак"/>
    <w:basedOn w:val="819"/>
    <w:link w:val="1210"/>
    <w:qFormat/>
    <w:rPr>
      <w:rFonts w:eastAsiaTheme="minorEastAsia" w:cstheme="minorBidi"/>
      <w:sz w:val="20"/>
      <w:szCs w:val="20"/>
    </w:rPr>
  </w:style>
  <w:style w:type="paragraph" w:styleId="1212">
    <w:name w:val="annotation subject"/>
    <w:basedOn w:val="1210"/>
    <w:next w:val="1210"/>
    <w:link w:val="1213"/>
    <w:uiPriority w:val="99"/>
    <w:semiHidden/>
    <w:unhideWhenUsed/>
    <w:rPr>
      <w:b/>
      <w:bCs/>
    </w:rPr>
  </w:style>
  <w:style w:type="character" w:styleId="1213" w:customStyle="1">
    <w:name w:val="Тема примечания Знак"/>
    <w:basedOn w:val="1211"/>
    <w:link w:val="1212"/>
    <w:uiPriority w:val="99"/>
    <w:semiHidden/>
    <w:rPr>
      <w:rFonts w:eastAsiaTheme="minorEastAsia" w:cstheme="minorBidi"/>
      <w:b/>
      <w:bCs/>
      <w:sz w:val="20"/>
      <w:szCs w:val="20"/>
    </w:rPr>
  </w:style>
  <w:style w:type="paragraph" w:styleId="1214">
    <w:name w:val="Balloon Text"/>
    <w:basedOn w:val="809"/>
    <w:link w:val="1215"/>
    <w:uiPriority w:val="99"/>
    <w:semiHidden/>
    <w:unhideWhenUsed/>
    <w:rPr>
      <w:rFonts w:ascii="Segoe UI" w:hAnsi="Segoe UI" w:cs="Segoe UI" w:eastAsiaTheme="minorEastAsia"/>
      <w:sz w:val="18"/>
      <w:szCs w:val="18"/>
      <w:lang w:eastAsia="en-US"/>
    </w:rPr>
  </w:style>
  <w:style w:type="character" w:styleId="1215" w:customStyle="1">
    <w:name w:val="Текст выноски Знак"/>
    <w:basedOn w:val="819"/>
    <w:link w:val="1214"/>
    <w:uiPriority w:val="99"/>
    <w:semiHidden/>
    <w:rPr>
      <w:rFonts w:ascii="Segoe UI" w:hAnsi="Segoe UI" w:cs="Segoe UI" w:eastAsiaTheme="minorEastAsia"/>
      <w:sz w:val="18"/>
      <w:szCs w:val="18"/>
    </w:rPr>
  </w:style>
  <w:style w:type="paragraph" w:styleId="1216">
    <w:name w:val="toc 3"/>
    <w:basedOn w:val="809"/>
    <w:next w:val="809"/>
    <w:uiPriority w:val="39"/>
    <w:unhideWhenUsed/>
    <w:pPr>
      <w:ind w:left="284"/>
      <w:spacing w:after="100" w:line="276" w:lineRule="auto"/>
      <w:tabs>
        <w:tab w:val="left" w:pos="851" w:leader="none"/>
        <w:tab w:val="right" w:pos="9911" w:leader="dot"/>
      </w:tabs>
    </w:pPr>
    <w:rPr>
      <w:rFonts w:eastAsiaTheme="minorEastAsia" w:cstheme="minorBidi"/>
      <w:szCs w:val="22"/>
      <w:lang w:eastAsia="en-US"/>
    </w:rPr>
  </w:style>
  <w:style w:type="paragraph" w:styleId="1217">
    <w:name w:val="Caption"/>
    <w:next w:val="809"/>
    <w:link w:val="1218"/>
    <w:uiPriority w:val="35"/>
    <w:unhideWhenUsed/>
    <w:qFormat/>
    <w:pPr>
      <w:keepLines/>
      <w:keepNext/>
      <w:spacing w:after="0" w:line="240" w:lineRule="auto"/>
    </w:pPr>
    <w:rPr>
      <w:rFonts w:eastAsia="Calibri" w:cstheme="minorBidi"/>
    </w:rPr>
  </w:style>
  <w:style w:type="character" w:styleId="1218" w:customStyle="1">
    <w:name w:val="Название объекта Знак"/>
    <w:link w:val="1217"/>
    <w:uiPriority w:val="35"/>
    <w:qFormat/>
    <w:rPr>
      <w:rFonts w:eastAsia="Calibri" w:cstheme="minorBidi"/>
    </w:rPr>
  </w:style>
  <w:style w:type="character" w:styleId="1219" w:customStyle="1">
    <w:name w:val="Неразрешенное упоминание1"/>
    <w:basedOn w:val="819"/>
    <w:uiPriority w:val="99"/>
    <w:semiHidden/>
    <w:unhideWhenUsed/>
    <w:rPr>
      <w:color w:val="605e5c"/>
      <w:shd w:val="clear" w:color="auto" w:fill="e1dfdd"/>
    </w:rPr>
  </w:style>
  <w:style w:type="paragraph" w:styleId="1220">
    <w:name w:val="table of figures"/>
    <w:basedOn w:val="809"/>
    <w:next w:val="809"/>
    <w:uiPriority w:val="99"/>
    <w:unhideWhenUsed/>
    <w:pPr>
      <w:spacing w:line="276" w:lineRule="auto"/>
    </w:pPr>
    <w:rPr>
      <w:rFonts w:eastAsiaTheme="minorEastAsia" w:cstheme="minorBidi"/>
      <w:szCs w:val="22"/>
      <w:lang w:eastAsia="en-US"/>
    </w:rPr>
  </w:style>
  <w:style w:type="character" w:styleId="1221">
    <w:name w:val="FollowedHyperlink"/>
    <w:basedOn w:val="819"/>
    <w:uiPriority w:val="99"/>
    <w:semiHidden/>
    <w:unhideWhenUsed/>
    <w:rPr>
      <w:color w:val="954f72"/>
      <w:u w:val="single"/>
    </w:rPr>
  </w:style>
  <w:style w:type="paragraph" w:styleId="1222" w:customStyle="1">
    <w:name w:val="msonormal"/>
    <w:basedOn w:val="809"/>
    <w:pPr>
      <w:spacing w:before="100" w:beforeAutospacing="1" w:after="100" w:afterAutospacing="1"/>
    </w:pPr>
  </w:style>
  <w:style w:type="paragraph" w:styleId="1223" w:customStyle="1">
    <w:name w:val="xl138"/>
    <w:basedOn w:val="809"/>
    <w:pPr>
      <w:spacing w:before="100" w:beforeAutospacing="1" w:after="100" w:afterAutospacing="1"/>
    </w:pPr>
    <w:rPr>
      <w:sz w:val="20"/>
      <w:szCs w:val="20"/>
    </w:rPr>
  </w:style>
  <w:style w:type="paragraph" w:styleId="1224" w:customStyle="1">
    <w:name w:val="xl139"/>
    <w:basedOn w:val="8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25" w:customStyle="1">
    <w:name w:val="xl140"/>
    <w:basedOn w:val="80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20"/>
      <w:szCs w:val="20"/>
    </w:rPr>
  </w:style>
  <w:style w:type="paragraph" w:styleId="1226" w:customStyle="1">
    <w:name w:val="xl141"/>
    <w:basedOn w:val="8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227" w:customStyle="1">
    <w:name w:val="xl142"/>
    <w:basedOn w:val="8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20"/>
      <w:szCs w:val="20"/>
    </w:rPr>
  </w:style>
  <w:style w:type="paragraph" w:styleId="1228" w:customStyle="1">
    <w:name w:val="xl143"/>
    <w:basedOn w:val="8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229" w:customStyle="1">
    <w:name w:val="xl144"/>
    <w:basedOn w:val="80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230" w:customStyle="1">
    <w:name w:val="xl145"/>
    <w:basedOn w:val="80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231" w:customStyle="1">
    <w:name w:val="xl146"/>
    <w:basedOn w:val="809"/>
    <w:pPr>
      <w:spacing w:before="100" w:beforeAutospacing="1" w:after="100" w:afterAutospacing="1"/>
    </w:pPr>
    <w:rPr>
      <w:sz w:val="20"/>
      <w:szCs w:val="20"/>
    </w:rPr>
  </w:style>
  <w:style w:type="paragraph" w:styleId="1232" w:customStyle="1">
    <w:name w:val="xl147"/>
    <w:basedOn w:val="8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color w:val="000000"/>
      <w:sz w:val="20"/>
      <w:szCs w:val="20"/>
    </w:rPr>
  </w:style>
  <w:style w:type="paragraph" w:styleId="1233" w:customStyle="1">
    <w:name w:val="xl148"/>
    <w:basedOn w:val="8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20"/>
      <w:szCs w:val="20"/>
    </w:rPr>
  </w:style>
  <w:style w:type="paragraph" w:styleId="1234" w:customStyle="1">
    <w:name w:val="xl149"/>
    <w:basedOn w:val="8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color w:val="000000"/>
      <w:sz w:val="20"/>
      <w:szCs w:val="20"/>
    </w:rPr>
  </w:style>
  <w:style w:type="paragraph" w:styleId="1235" w:customStyle="1">
    <w:name w:val="xl150"/>
    <w:basedOn w:val="8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20"/>
      <w:szCs w:val="20"/>
    </w:rPr>
  </w:style>
  <w:style w:type="paragraph" w:styleId="1236" w:customStyle="1">
    <w:name w:val="xl151"/>
    <w:basedOn w:val="809"/>
    <w:pPr>
      <w:spacing w:before="100" w:beforeAutospacing="1" w:after="100" w:afterAutospacing="1"/>
    </w:pPr>
    <w:rPr>
      <w:b/>
      <w:bCs/>
      <w:sz w:val="20"/>
      <w:szCs w:val="20"/>
    </w:rPr>
  </w:style>
  <w:style w:type="paragraph" w:styleId="1237" w:customStyle="1">
    <w:name w:val="рис_тело"/>
    <w:basedOn w:val="809"/>
    <w:next w:val="968"/>
    <w:link w:val="1238"/>
    <w:pPr>
      <w:jc w:val="center"/>
      <w:keepNext/>
      <w:spacing w:before="240" w:line="276" w:lineRule="auto"/>
    </w:pPr>
    <w:rPr>
      <w:szCs w:val="22"/>
      <w:lang w:eastAsia="en-US"/>
    </w:rPr>
  </w:style>
  <w:style w:type="character" w:styleId="1238" w:customStyle="1">
    <w:name w:val="рис_тело Знак"/>
    <w:link w:val="1237"/>
    <w:rPr>
      <w:rFonts w:eastAsia="Times New Roman"/>
      <w:szCs w:val="22"/>
    </w:rPr>
  </w:style>
  <w:style w:type="paragraph" w:styleId="1239">
    <w:name w:val="List Paragraph"/>
    <w:basedOn w:val="809"/>
    <w:link w:val="1350"/>
    <w:uiPriority w:val="34"/>
    <w:qFormat/>
    <w:pPr>
      <w:contextualSpacing/>
      <w:ind w:left="720"/>
      <w:spacing w:line="276" w:lineRule="auto"/>
    </w:pPr>
    <w:rPr>
      <w:rFonts w:eastAsiaTheme="minorEastAsia" w:cstheme="minorBidi"/>
      <w:szCs w:val="22"/>
      <w:lang w:eastAsia="en-US"/>
    </w:rPr>
  </w:style>
  <w:style w:type="table" w:styleId="1240" w:customStyle="1">
    <w:name w:val="Normal Table0"/>
    <w:uiPriority w:val="2"/>
    <w:semiHidden/>
    <w:unhideWhenUsed/>
    <w:qFormat/>
    <w:pPr>
      <w:spacing w:after="0" w:line="240" w:lineRule="auto"/>
      <w:widowControl w:val="off"/>
    </w:pPr>
    <w:rPr>
      <w:rFonts w:ascii="Calibri" w:hAnsi="Calibri" w:eastAsia="Calibri" w:cs="Arial"/>
      <w:sz w:val="22"/>
      <w:szCs w:val="22"/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241" w:customStyle="1">
    <w:name w:val="xl311"/>
    <w:basedOn w:val="8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42" w:customStyle="1">
    <w:name w:val="xl312"/>
    <w:basedOn w:val="809"/>
    <w:pPr>
      <w:spacing w:before="100" w:beforeAutospacing="1" w:after="100" w:afterAutospacing="1"/>
    </w:pPr>
  </w:style>
  <w:style w:type="paragraph" w:styleId="1243" w:customStyle="1">
    <w:name w:val="xl313"/>
    <w:basedOn w:val="809"/>
    <w:pPr>
      <w:jc w:val="center"/>
      <w:spacing w:before="100" w:beforeAutospacing="1" w:after="100" w:afterAutospacing="1"/>
    </w:pPr>
    <w:rPr>
      <w:sz w:val="20"/>
      <w:szCs w:val="20"/>
    </w:rPr>
  </w:style>
  <w:style w:type="paragraph" w:styleId="1244" w:customStyle="1">
    <w:name w:val="xl314"/>
    <w:basedOn w:val="80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45" w:customStyle="1">
    <w:name w:val="xl315"/>
    <w:basedOn w:val="80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46" w:customStyle="1">
    <w:name w:val="xl316"/>
    <w:basedOn w:val="809"/>
    <w:pPr>
      <w:jc w:val="center"/>
      <w:spacing w:before="100" w:beforeAutospacing="1" w:after="100" w:afterAutospacing="1"/>
      <w:shd w:val="clear" w:color="000000" w:fill="b4c6e7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47" w:customStyle="1">
    <w:name w:val="xl317"/>
    <w:basedOn w:val="8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48" w:customStyle="1">
    <w:name w:val="xl318"/>
    <w:basedOn w:val="809"/>
    <w:pPr>
      <w:spacing w:before="100" w:beforeAutospacing="1" w:after="100" w:afterAutospacing="1"/>
    </w:pPr>
  </w:style>
  <w:style w:type="paragraph" w:styleId="1249" w:customStyle="1">
    <w:name w:val="xl319"/>
    <w:basedOn w:val="809"/>
    <w:pPr>
      <w:jc w:val="center"/>
      <w:spacing w:before="100" w:beforeAutospacing="1" w:after="100" w:afterAutospacing="1"/>
      <w:shd w:val="clear" w:color="000000" w:fill="b4c6e7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50" w:customStyle="1">
    <w:name w:val="xl320"/>
    <w:basedOn w:val="809"/>
    <w:pPr>
      <w:spacing w:before="100" w:beforeAutospacing="1" w:after="100" w:afterAutospacing="1"/>
      <w:shd w:val="clear" w:color="000000" w:fill="b4c6e7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51" w:customStyle="1">
    <w:name w:val="xl321"/>
    <w:basedOn w:val="809"/>
    <w:pPr>
      <w:jc w:val="center"/>
      <w:spacing w:before="100" w:beforeAutospacing="1" w:after="100" w:afterAutospacing="1"/>
      <w:shd w:val="clear" w:color="000000" w:fill="ff000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52" w:customStyle="1">
    <w:name w:val="xl322"/>
    <w:basedOn w:val="809"/>
    <w:pPr>
      <w:spacing w:before="100" w:beforeAutospacing="1" w:after="100" w:afterAutospacing="1"/>
      <w:shd w:val="clear" w:color="000000" w:fill="b4c6e7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53" w:customStyle="1">
    <w:name w:val="xl323"/>
    <w:basedOn w:val="8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254" w:customStyle="1">
    <w:name w:val="xl324"/>
    <w:basedOn w:val="809"/>
    <w:pPr>
      <w:jc w:val="center"/>
      <w:spacing w:before="100" w:beforeAutospacing="1" w:after="100" w:afterAutospacing="1"/>
      <w:shd w:val="clear" w:color="000000" w:fill="ffe699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55" w:customStyle="1">
    <w:name w:val="xl325"/>
    <w:basedOn w:val="80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256" w:customStyle="1">
    <w:name w:val="xl326"/>
    <w:basedOn w:val="8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257" w:customStyle="1">
    <w:name w:val="xl327"/>
    <w:basedOn w:val="8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58" w:customStyle="1">
    <w:name w:val="xl328"/>
    <w:basedOn w:val="809"/>
    <w:pPr>
      <w:spacing w:before="100" w:beforeAutospacing="1" w:after="100" w:afterAutospacing="1"/>
      <w:shd w:val="clear" w:color="000000" w:fill="b4c6e7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59" w:customStyle="1">
    <w:name w:val="xl329"/>
    <w:basedOn w:val="809"/>
    <w:pPr>
      <w:spacing w:before="100" w:beforeAutospacing="1" w:after="100" w:afterAutospacing="1"/>
      <w:shd w:val="clear" w:color="000000" w:fill="b4c6e7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60" w:customStyle="1">
    <w:name w:val="xl330"/>
    <w:basedOn w:val="8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61" w:customStyle="1">
    <w:name w:val="xl331"/>
    <w:basedOn w:val="809"/>
    <w:pPr>
      <w:spacing w:before="100" w:beforeAutospacing="1" w:after="100" w:afterAutospacing="1"/>
      <w:shd w:val="clear" w:color="000000" w:fill="ff00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62" w:customStyle="1">
    <w:name w:val="xl332"/>
    <w:basedOn w:val="809"/>
    <w:pPr>
      <w:spacing w:before="100" w:beforeAutospacing="1" w:after="100" w:afterAutospacing="1"/>
      <w:shd w:val="clear" w:color="000000" w:fill="ffe699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63" w:customStyle="1">
    <w:name w:val="xl333"/>
    <w:basedOn w:val="809"/>
    <w:pPr>
      <w:spacing w:before="100" w:beforeAutospacing="1" w:after="100" w:afterAutospacing="1"/>
      <w:shd w:val="clear" w:color="000000" w:fill="ff00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64" w:customStyle="1">
    <w:name w:val="xl334"/>
    <w:basedOn w:val="80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65" w:customStyle="1">
    <w:name w:val="xl335"/>
    <w:basedOn w:val="809"/>
    <w:pPr>
      <w:spacing w:before="100" w:beforeAutospacing="1" w:after="100" w:afterAutospacing="1"/>
      <w:shd w:val="clear" w:color="000000" w:fill="b4c6e7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66" w:customStyle="1">
    <w:name w:val="xl336"/>
    <w:basedOn w:val="809"/>
    <w:pPr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67" w:customStyle="1">
    <w:name w:val="xl337"/>
    <w:basedOn w:val="809"/>
    <w:pPr>
      <w:jc w:val="center"/>
      <w:spacing w:before="100" w:beforeAutospacing="1" w:after="100" w:afterAutospacing="1"/>
      <w:shd w:val="clear" w:color="000000" w:fill="b4c6e7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68" w:customStyle="1">
    <w:name w:val="xl338"/>
    <w:basedOn w:val="8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69" w:customStyle="1">
    <w:name w:val="xl339"/>
    <w:basedOn w:val="809"/>
    <w:pPr>
      <w:jc w:val="center"/>
      <w:spacing w:before="100" w:beforeAutospacing="1" w:after="100" w:afterAutospacing="1"/>
      <w:shd w:val="clear" w:color="000000" w:fill="b4c6e7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70" w:customStyle="1">
    <w:name w:val="xl340"/>
    <w:basedOn w:val="809"/>
    <w:pPr>
      <w:jc w:val="center"/>
      <w:spacing w:before="100" w:beforeAutospacing="1" w:after="100" w:afterAutospacing="1"/>
      <w:shd w:val="clear" w:color="000000" w:fill="b4c6e7"/>
      <w:pBdr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71" w:customStyle="1">
    <w:name w:val="xl341"/>
    <w:basedOn w:val="809"/>
    <w:pPr>
      <w:jc w:val="center"/>
      <w:spacing w:before="100" w:beforeAutospacing="1" w:after="100" w:afterAutospacing="1"/>
      <w:shd w:val="clear" w:color="000000" w:fill="b4c6e7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72" w:customStyle="1">
    <w:name w:val="xl342"/>
    <w:basedOn w:val="8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73" w:customStyle="1">
    <w:name w:val="xl343"/>
    <w:basedOn w:val="809"/>
    <w:pPr>
      <w:jc w:val="center"/>
      <w:spacing w:before="100" w:beforeAutospacing="1" w:after="100" w:afterAutospacing="1"/>
      <w:shd w:val="clear" w:color="000000" w:fill="a9d08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74" w:customStyle="1">
    <w:name w:val="xl344"/>
    <w:basedOn w:val="809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75" w:customStyle="1">
    <w:name w:val="xl345"/>
    <w:basedOn w:val="809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76" w:customStyle="1">
    <w:name w:val="xl346"/>
    <w:basedOn w:val="809"/>
    <w:pPr>
      <w:jc w:val="center"/>
      <w:spacing w:before="100" w:beforeAutospacing="1" w:after="100" w:afterAutospacing="1"/>
      <w:shd w:val="clear" w:color="000000" w:fill="b4c6e7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77" w:customStyle="1">
    <w:name w:val="xl347"/>
    <w:basedOn w:val="809"/>
    <w:pPr>
      <w:jc w:val="center"/>
      <w:spacing w:before="100" w:beforeAutospacing="1" w:after="100" w:afterAutospacing="1"/>
    </w:pPr>
  </w:style>
  <w:style w:type="paragraph" w:styleId="1278" w:customStyle="1">
    <w:name w:val="xl65"/>
    <w:basedOn w:val="8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79" w:customStyle="1">
    <w:name w:val="xl66"/>
    <w:basedOn w:val="809"/>
    <w:pPr>
      <w:jc w:val="center"/>
      <w:spacing w:before="100" w:beforeAutospacing="1" w:after="100" w:afterAutospacing="1"/>
    </w:pPr>
    <w:rPr>
      <w:sz w:val="20"/>
      <w:szCs w:val="20"/>
    </w:rPr>
  </w:style>
  <w:style w:type="paragraph" w:styleId="1280" w:customStyle="1">
    <w:name w:val="xl67"/>
    <w:basedOn w:val="809"/>
    <w:pPr>
      <w:jc w:val="center"/>
      <w:spacing w:before="100" w:beforeAutospacing="1" w:after="100" w:afterAutospacing="1"/>
      <w:shd w:val="clear" w:color="000000" w:fill="d0cec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281" w:customStyle="1">
    <w:name w:val="xl68"/>
    <w:basedOn w:val="809"/>
    <w:pPr>
      <w:jc w:val="center"/>
      <w:spacing w:before="100" w:beforeAutospacing="1" w:after="100" w:afterAutospacing="1"/>
      <w:shd w:val="clear" w:color="000000" w:fill="d0cec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282" w:customStyle="1">
    <w:name w:val="xl69"/>
    <w:basedOn w:val="809"/>
    <w:pPr>
      <w:jc w:val="center"/>
      <w:spacing w:before="100" w:beforeAutospacing="1" w:after="100" w:afterAutospacing="1"/>
    </w:pPr>
    <w:rPr>
      <w:sz w:val="20"/>
      <w:szCs w:val="20"/>
    </w:rPr>
  </w:style>
  <w:style w:type="paragraph" w:styleId="1283" w:customStyle="1">
    <w:name w:val="xl70"/>
    <w:basedOn w:val="809"/>
    <w:pPr>
      <w:jc w:val="center"/>
      <w:spacing w:before="100" w:beforeAutospacing="1" w:after="100" w:afterAutospacing="1"/>
      <w:shd w:val="clear" w:color="000000" w:fill="ffff00"/>
    </w:pPr>
    <w:rPr>
      <w:sz w:val="20"/>
      <w:szCs w:val="20"/>
    </w:rPr>
  </w:style>
  <w:style w:type="paragraph" w:styleId="1284" w:customStyle="1">
    <w:name w:val="xl71"/>
    <w:basedOn w:val="8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285" w:customStyle="1">
    <w:name w:val="xl72"/>
    <w:basedOn w:val="809"/>
    <w:pPr>
      <w:jc w:val="center"/>
      <w:spacing w:before="100" w:beforeAutospacing="1" w:after="100" w:afterAutospacing="1"/>
      <w:shd w:val="clear" w:color="000000" w:fill="ffff00"/>
    </w:pPr>
    <w:rPr>
      <w:sz w:val="20"/>
      <w:szCs w:val="20"/>
    </w:rPr>
  </w:style>
  <w:style w:type="paragraph" w:styleId="1286" w:customStyle="1">
    <w:name w:val="xl73"/>
    <w:basedOn w:val="8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87" w:customStyle="1">
    <w:name w:val="xl74"/>
    <w:basedOn w:val="8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288" w:customStyle="1">
    <w:name w:val="xl75"/>
    <w:basedOn w:val="8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289" w:customStyle="1">
    <w:name w:val="xl76"/>
    <w:basedOn w:val="8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90" w:customStyle="1">
    <w:name w:val="xl77"/>
    <w:basedOn w:val="8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291" w:customStyle="1">
    <w:name w:val="xl78"/>
    <w:basedOn w:val="8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292" w:customStyle="1">
    <w:name w:val="xl79"/>
    <w:basedOn w:val="8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293" w:customStyle="1">
    <w:name w:val="xl80"/>
    <w:basedOn w:val="809"/>
    <w:pPr>
      <w:jc w:val="center"/>
      <w:spacing w:before="100" w:beforeAutospacing="1" w:after="100" w:afterAutospacing="1"/>
      <w:shd w:val="clear" w:color="000000" w:fill="92d05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294" w:customStyle="1">
    <w:name w:val="xl81"/>
    <w:basedOn w:val="809"/>
    <w:pPr>
      <w:jc w:val="center"/>
      <w:spacing w:before="100" w:beforeAutospacing="1" w:after="100" w:afterAutospacing="1"/>
      <w:shd w:val="clear" w:color="000000" w:fill="92d05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295" w:customStyle="1">
    <w:name w:val="xl82"/>
    <w:basedOn w:val="809"/>
    <w:pPr>
      <w:jc w:val="center"/>
      <w:spacing w:before="100" w:beforeAutospacing="1" w:after="100" w:afterAutospacing="1"/>
      <w:shd w:val="clear" w:color="000000" w:fill="92d05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296" w:customStyle="1">
    <w:name w:val="xl83"/>
    <w:basedOn w:val="809"/>
    <w:pPr>
      <w:jc w:val="center"/>
      <w:spacing w:before="100" w:beforeAutospacing="1" w:after="100" w:afterAutospacing="1"/>
      <w:shd w:val="clear" w:color="000000" w:fill="92d05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97" w:customStyle="1">
    <w:name w:val="xl84"/>
    <w:basedOn w:val="8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298" w:customStyle="1">
    <w:name w:val="xl85"/>
    <w:basedOn w:val="809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299" w:customStyle="1">
    <w:name w:val="xl86"/>
    <w:basedOn w:val="809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300" w:customStyle="1">
    <w:name w:val="xl87"/>
    <w:basedOn w:val="809"/>
    <w:pPr>
      <w:jc w:val="center"/>
      <w:spacing w:before="100" w:beforeAutospacing="1" w:after="100" w:afterAutospacing="1"/>
      <w:shd w:val="clear" w:color="000000" w:fill="92d05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301" w:customStyle="1">
    <w:name w:val="xl88"/>
    <w:basedOn w:val="809"/>
    <w:pPr>
      <w:jc w:val="center"/>
      <w:spacing w:before="100" w:beforeAutospacing="1" w:after="100" w:afterAutospacing="1"/>
      <w:shd w:val="clear" w:color="000000" w:fill="92d05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302" w:customStyle="1">
    <w:name w:val="xl89"/>
    <w:basedOn w:val="8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ffff"/>
      <w:sz w:val="20"/>
      <w:szCs w:val="20"/>
    </w:rPr>
  </w:style>
  <w:style w:type="paragraph" w:styleId="1303" w:customStyle="1">
    <w:name w:val="xl90"/>
    <w:basedOn w:val="8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304" w:customStyle="1">
    <w:name w:val="xl91"/>
    <w:basedOn w:val="8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305" w:customStyle="1">
    <w:name w:val="xl92"/>
    <w:basedOn w:val="8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306" w:customStyle="1">
    <w:name w:val="xl93"/>
    <w:basedOn w:val="8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307" w:customStyle="1">
    <w:name w:val="xl94"/>
    <w:basedOn w:val="8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308" w:customStyle="1">
    <w:name w:val="xl95"/>
    <w:basedOn w:val="8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309" w:customStyle="1">
    <w:name w:val="xl96"/>
    <w:basedOn w:val="8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310" w:customStyle="1">
    <w:name w:val="xl97"/>
    <w:basedOn w:val="809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311" w:customStyle="1">
    <w:name w:val="xl98"/>
    <w:basedOn w:val="809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312" w:customStyle="1">
    <w:name w:val="xl99"/>
    <w:basedOn w:val="8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313" w:customStyle="1">
    <w:name w:val="xl100"/>
    <w:basedOn w:val="809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314" w:customStyle="1">
    <w:name w:val="xl101"/>
    <w:basedOn w:val="809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315" w:customStyle="1">
    <w:name w:val="xl102"/>
    <w:basedOn w:val="809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316" w:customStyle="1">
    <w:name w:val="xl103"/>
    <w:basedOn w:val="809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317" w:customStyle="1">
    <w:name w:val="РИС."/>
    <w:basedOn w:val="809"/>
    <w:next w:val="968"/>
    <w:link w:val="1318"/>
    <w:pPr>
      <w:jc w:val="center"/>
      <w:keepNext/>
      <w:spacing w:before="240" w:line="276" w:lineRule="auto"/>
    </w:pPr>
    <w:rPr>
      <w:rFonts w:cstheme="minorBidi"/>
      <w:sz w:val="20"/>
      <w:szCs w:val="22"/>
      <w:lang w:eastAsia="en-US"/>
    </w:rPr>
  </w:style>
  <w:style w:type="character" w:styleId="1318" w:customStyle="1">
    <w:name w:val="РИС. Знак"/>
    <w:link w:val="1317"/>
    <w:rPr>
      <w:rFonts w:eastAsia="Times New Roman" w:cstheme="minorBidi"/>
      <w:sz w:val="20"/>
      <w:szCs w:val="22"/>
    </w:rPr>
  </w:style>
  <w:style w:type="paragraph" w:styleId="1319">
    <w:name w:val="List Number"/>
    <w:basedOn w:val="809"/>
    <w:uiPriority w:val="99"/>
    <w:unhideWhenUsed/>
    <w:pPr>
      <w:contextualSpacing/>
      <w:ind w:left="360" w:hanging="360"/>
      <w:jc w:val="both"/>
      <w:widowControl w:val="off"/>
      <w:tabs>
        <w:tab w:val="num" w:pos="360" w:leader="none"/>
      </w:tabs>
    </w:pPr>
    <w:rPr>
      <w:rFonts w:eastAsia="Microsoft YaHei" w:cstheme="minorBidi"/>
      <w:sz w:val="20"/>
      <w:szCs w:val="22"/>
    </w:rPr>
  </w:style>
  <w:style w:type="paragraph" w:styleId="1320">
    <w:name w:val="footnote text"/>
    <w:basedOn w:val="809"/>
    <w:link w:val="1321"/>
    <w:qFormat/>
    <w:rPr>
      <w:sz w:val="20"/>
      <w:szCs w:val="20"/>
    </w:rPr>
  </w:style>
  <w:style w:type="character" w:styleId="1321" w:customStyle="1">
    <w:name w:val="Текст сноски Знак"/>
    <w:basedOn w:val="819"/>
    <w:link w:val="1320"/>
    <w:qFormat/>
    <w:rPr>
      <w:rFonts w:eastAsia="Times New Roman"/>
      <w:sz w:val="20"/>
      <w:szCs w:val="20"/>
      <w:lang w:eastAsia="ru-RU"/>
    </w:rPr>
  </w:style>
  <w:style w:type="character" w:styleId="1322" w:customStyle="1">
    <w:name w:val="Основной текст + Полужирный"/>
    <w:basedOn w:val="819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1323" w:customStyle="1">
    <w:name w:val="Основной текст2"/>
    <w:basedOn w:val="809"/>
    <w:pPr>
      <w:jc w:val="center"/>
      <w:spacing w:after="60" w:line="0" w:lineRule="atLeast"/>
      <w:shd w:val="clear" w:color="auto" w:fill="ffffff"/>
      <w:widowControl w:val="off"/>
    </w:pPr>
    <w:rPr>
      <w:color w:val="000000"/>
      <w:sz w:val="23"/>
      <w:szCs w:val="23"/>
      <w:lang w:bidi="ru-RU"/>
    </w:rPr>
  </w:style>
  <w:style w:type="table" w:styleId="1324" w:customStyle="1">
    <w:name w:val="Normal Table1"/>
    <w:uiPriority w:val="2"/>
    <w:semiHidden/>
    <w:unhideWhenUsed/>
    <w:qFormat/>
    <w:pPr>
      <w:spacing w:after="0" w:line="240" w:lineRule="auto"/>
      <w:widowControl w:val="off"/>
    </w:pPr>
    <w:rPr>
      <w:rFonts w:ascii="Calibri" w:hAnsi="Calibri" w:eastAsia="Calibri" w:cs="Arial"/>
      <w:sz w:val="22"/>
      <w:szCs w:val="22"/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325" w:customStyle="1">
    <w:name w:val="font5"/>
    <w:basedOn w:val="809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1326" w:customStyle="1">
    <w:name w:val="xl223"/>
    <w:basedOn w:val="809"/>
    <w:pPr>
      <w:jc w:val="center"/>
      <w:spacing w:before="100" w:beforeAutospacing="1" w:after="100" w:afterAutospacing="1"/>
    </w:pPr>
    <w:rPr>
      <w:sz w:val="20"/>
      <w:szCs w:val="20"/>
    </w:rPr>
  </w:style>
  <w:style w:type="paragraph" w:styleId="1327" w:customStyle="1">
    <w:name w:val="xl224"/>
    <w:basedOn w:val="8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328" w:customStyle="1">
    <w:name w:val="xl225"/>
    <w:basedOn w:val="8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329" w:customStyle="1">
    <w:name w:val="xl226"/>
    <w:basedOn w:val="8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330" w:customStyle="1">
    <w:name w:val="xl227"/>
    <w:basedOn w:val="8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331" w:customStyle="1">
    <w:name w:val="xl228"/>
    <w:basedOn w:val="8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332" w:customStyle="1">
    <w:name w:val="xl229"/>
    <w:basedOn w:val="809"/>
    <w:pPr>
      <w:ind w:firstLine="200"/>
      <w:spacing w:before="100" w:beforeAutospacing="1" w:after="100" w:afterAutospacing="1"/>
      <w:pBdr>
        <w:top w:val="single" w:color="000000" w:sz="4" w:space="0"/>
        <w:left w:val="single" w:color="000000" w:sz="4" w:space="18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333" w:customStyle="1">
    <w:name w:val="xl230"/>
    <w:basedOn w:val="809"/>
    <w:pPr>
      <w:ind w:firstLine="100"/>
      <w:spacing w:before="100" w:beforeAutospacing="1" w:after="100" w:afterAutospacing="1"/>
      <w:pBdr>
        <w:top w:val="single" w:color="000000" w:sz="4" w:space="0"/>
        <w:left w:val="single" w:color="000000" w:sz="4" w:space="9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334" w:customStyle="1">
    <w:name w:val="xl231"/>
    <w:basedOn w:val="809"/>
    <w:pPr>
      <w:spacing w:before="100" w:beforeAutospacing="1" w:after="100" w:afterAutospacing="1"/>
    </w:pPr>
    <w:rPr>
      <w:sz w:val="20"/>
      <w:szCs w:val="20"/>
    </w:rPr>
  </w:style>
  <w:style w:type="paragraph" w:styleId="1335" w:customStyle="1">
    <w:name w:val="xl232"/>
    <w:basedOn w:val="809"/>
    <w:pPr>
      <w:ind w:firstLine="300"/>
      <w:spacing w:before="100" w:beforeAutospacing="1" w:after="100" w:afterAutospacing="1"/>
      <w:pBdr>
        <w:top w:val="single" w:color="000000" w:sz="4" w:space="0"/>
        <w:left w:val="single" w:color="000000" w:sz="4" w:space="27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336" w:customStyle="1">
    <w:name w:val="xl233"/>
    <w:basedOn w:val="8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337" w:customStyle="1">
    <w:name w:val="xl234"/>
    <w:basedOn w:val="809"/>
    <w:pPr>
      <w:jc w:val="center"/>
      <w:spacing w:before="100" w:beforeAutospacing="1" w:after="100" w:afterAutospacing="1"/>
      <w:shd w:val="clear" w:color="000000" w:fill="a9d08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338" w:customStyle="1">
    <w:name w:val="xl235"/>
    <w:basedOn w:val="809"/>
    <w:pPr>
      <w:spacing w:before="100" w:beforeAutospacing="1" w:after="100" w:afterAutospacing="1"/>
      <w:shd w:val="clear" w:color="000000" w:fill="a9d08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339" w:customStyle="1">
    <w:name w:val="xl236"/>
    <w:basedOn w:val="809"/>
    <w:pPr>
      <w:jc w:val="center"/>
      <w:spacing w:before="100" w:beforeAutospacing="1" w:after="100" w:afterAutospacing="1"/>
      <w:shd w:val="clear" w:color="000000" w:fill="a9d08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340" w:customStyle="1">
    <w:name w:val="xl237"/>
    <w:basedOn w:val="809"/>
    <w:pPr>
      <w:ind w:firstLine="200"/>
      <w:spacing w:before="100" w:beforeAutospacing="1" w:after="100" w:afterAutospacing="1"/>
      <w:shd w:val="clear" w:color="000000" w:fill="a9d08e"/>
      <w:pBdr>
        <w:top w:val="single" w:color="000000" w:sz="4" w:space="0"/>
        <w:left w:val="single" w:color="000000" w:sz="4" w:space="18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341" w:customStyle="1">
    <w:name w:val="xl238"/>
    <w:basedOn w:val="8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20"/>
      <w:szCs w:val="20"/>
    </w:rPr>
  </w:style>
  <w:style w:type="paragraph" w:styleId="1342" w:customStyle="1">
    <w:name w:val="xl239"/>
    <w:basedOn w:val="8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20"/>
      <w:szCs w:val="20"/>
    </w:rPr>
  </w:style>
  <w:style w:type="paragraph" w:styleId="1343" w:customStyle="1">
    <w:name w:val="xl240"/>
    <w:basedOn w:val="809"/>
    <w:pPr>
      <w:jc w:val="center"/>
      <w:spacing w:before="100" w:beforeAutospacing="1" w:after="100" w:afterAutospacing="1"/>
      <w:shd w:val="clear" w:color="000000" w:fill="a9d08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344" w:customStyle="1">
    <w:name w:val="xl241"/>
    <w:basedOn w:val="809"/>
    <w:pPr>
      <w:jc w:val="center"/>
      <w:spacing w:before="100" w:beforeAutospacing="1" w:after="100" w:afterAutospacing="1"/>
      <w:shd w:val="clear" w:color="000000" w:fill="a9d08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345" w:customStyle="1">
    <w:name w:val="xl242"/>
    <w:basedOn w:val="809"/>
    <w:pPr>
      <w:jc w:val="center"/>
      <w:spacing w:before="100" w:beforeAutospacing="1" w:after="100" w:afterAutospacing="1"/>
      <w:shd w:val="clear" w:color="000000" w:fill="fff2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346" w:customStyle="1">
    <w:name w:val="xl243"/>
    <w:basedOn w:val="809"/>
    <w:pPr>
      <w:spacing w:before="100" w:beforeAutospacing="1" w:after="100" w:afterAutospacing="1"/>
      <w:shd w:val="clear" w:color="000000" w:fill="fff2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347" w:customStyle="1">
    <w:name w:val="xl244"/>
    <w:basedOn w:val="809"/>
    <w:pPr>
      <w:jc w:val="center"/>
      <w:spacing w:before="100" w:beforeAutospacing="1" w:after="100" w:afterAutospacing="1"/>
      <w:shd w:val="clear" w:color="000000" w:fill="fff2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348" w:customStyle="1">
    <w:name w:val="xl245"/>
    <w:basedOn w:val="809"/>
    <w:pPr>
      <w:jc w:val="center"/>
      <w:spacing w:before="100" w:beforeAutospacing="1" w:after="100" w:afterAutospacing="1"/>
      <w:shd w:val="clear" w:color="000000" w:fill="fff2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349" w:customStyle="1">
    <w:name w:val="xl246"/>
    <w:basedOn w:val="8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character" w:styleId="1350" w:customStyle="1">
    <w:name w:val="Абзац списка Знак"/>
    <w:link w:val="1239"/>
    <w:qFormat/>
    <w:rPr>
      <w:rFonts w:eastAsiaTheme="minorEastAsia" w:cstheme="minorBidi"/>
      <w:szCs w:val="22"/>
    </w:rPr>
  </w:style>
  <w:style w:type="paragraph" w:styleId="1351" w:customStyle="1">
    <w:name w:val="font6"/>
    <w:basedOn w:val="809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1352" w:customStyle="1">
    <w:name w:val="xl104"/>
    <w:basedOn w:val="809"/>
    <w:pPr>
      <w:spacing w:before="100" w:beforeAutospacing="1" w:after="100" w:afterAutospacing="1"/>
      <w:shd w:val="clear" w:color="000000" w:fill="f8cbad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353" w:customStyle="1">
    <w:name w:val="xl105"/>
    <w:basedOn w:val="809"/>
    <w:pPr>
      <w:spacing w:before="100" w:beforeAutospacing="1" w:after="100" w:afterAutospacing="1"/>
    </w:pPr>
  </w:style>
  <w:style w:type="paragraph" w:styleId="1354" w:customStyle="1">
    <w:name w:val="xl106"/>
    <w:basedOn w:val="8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355" w:customStyle="1">
    <w:name w:val="xl107"/>
    <w:basedOn w:val="8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356" w:customStyle="1">
    <w:name w:val="xl108"/>
    <w:basedOn w:val="8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357" w:customStyle="1">
    <w:name w:val="xl109"/>
    <w:basedOn w:val="8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1358" w:customStyle="1">
    <w:name w:val="xl110"/>
    <w:basedOn w:val="80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359">
    <w:name w:val="toc 4"/>
    <w:basedOn w:val="809"/>
    <w:next w:val="809"/>
    <w:uiPriority w:val="39"/>
    <w:unhideWhenUsed/>
    <w:pPr>
      <w:ind w:left="567"/>
      <w:spacing w:after="100" w:line="259" w:lineRule="auto"/>
      <w:tabs>
        <w:tab w:val="left" w:pos="1276" w:leader="none"/>
        <w:tab w:val="right" w:pos="9911" w:leader="dot"/>
      </w:tabs>
    </w:pPr>
    <w:rPr>
      <w:rFonts w:asciiTheme="minorHAnsi" w:hAnsiTheme="minorHAnsi" w:eastAsiaTheme="minorEastAsia" w:cstheme="minorBidi"/>
      <w:sz w:val="22"/>
      <w:szCs w:val="22"/>
    </w:rPr>
  </w:style>
  <w:style w:type="paragraph" w:styleId="1360">
    <w:name w:val="toc 5"/>
    <w:basedOn w:val="809"/>
    <w:next w:val="809"/>
    <w:uiPriority w:val="39"/>
    <w:unhideWhenUsed/>
    <w:pPr>
      <w:ind w:left="880"/>
      <w:spacing w:after="100" w:line="259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1361">
    <w:name w:val="toc 6"/>
    <w:basedOn w:val="809"/>
    <w:next w:val="809"/>
    <w:uiPriority w:val="39"/>
    <w:unhideWhenUsed/>
    <w:pPr>
      <w:ind w:left="1100"/>
      <w:spacing w:after="100" w:line="259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1362">
    <w:name w:val="toc 7"/>
    <w:basedOn w:val="809"/>
    <w:next w:val="809"/>
    <w:uiPriority w:val="39"/>
    <w:unhideWhenUsed/>
    <w:pPr>
      <w:ind w:left="1320"/>
      <w:spacing w:after="100" w:line="259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1363">
    <w:name w:val="toc 8"/>
    <w:basedOn w:val="809"/>
    <w:next w:val="809"/>
    <w:uiPriority w:val="39"/>
    <w:unhideWhenUsed/>
    <w:pPr>
      <w:ind w:left="1540"/>
      <w:spacing w:after="100" w:line="259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1364">
    <w:name w:val="toc 9"/>
    <w:basedOn w:val="809"/>
    <w:next w:val="809"/>
    <w:uiPriority w:val="39"/>
    <w:unhideWhenUsed/>
    <w:pPr>
      <w:ind w:left="1760"/>
      <w:spacing w:after="100" w:line="259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1365" w:customStyle="1">
    <w:name w:val="zag3"/>
    <w:basedOn w:val="809"/>
    <w:pPr>
      <w:ind w:left="709" w:hanging="709"/>
      <w:jc w:val="center"/>
      <w:spacing w:before="240" w:after="240"/>
    </w:pPr>
  </w:style>
  <w:style w:type="paragraph" w:styleId="1366" w:customStyle="1">
    <w:name w:val="font7"/>
    <w:basedOn w:val="809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1367" w:customStyle="1">
    <w:name w:val="xl171"/>
    <w:basedOn w:val="809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368" w:customStyle="1">
    <w:name w:val="xl172"/>
    <w:basedOn w:val="809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369" w:customStyle="1">
    <w:name w:val="xl173"/>
    <w:basedOn w:val="809"/>
    <w:pPr>
      <w:spacing w:before="100" w:beforeAutospacing="1" w:after="100" w:afterAutospacing="1"/>
    </w:pPr>
    <w:rPr>
      <w:b/>
      <w:bCs/>
    </w:rPr>
  </w:style>
  <w:style w:type="paragraph" w:styleId="1370" w:customStyle="1">
    <w:name w:val="xl174"/>
    <w:basedOn w:val="809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371" w:customStyle="1">
    <w:name w:val="xl175"/>
    <w:basedOn w:val="809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372" w:customStyle="1">
    <w:name w:val="xl176"/>
    <w:basedOn w:val="809"/>
    <w:pPr>
      <w:ind w:firstLine="300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2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373" w:customStyle="1">
    <w:name w:val="xl177"/>
    <w:basedOn w:val="809"/>
    <w:pPr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374" w:customStyle="1">
    <w:name w:val="xl178"/>
    <w:basedOn w:val="809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20"/>
      <w:szCs w:val="20"/>
    </w:rPr>
  </w:style>
  <w:style w:type="paragraph" w:styleId="1375" w:customStyle="1">
    <w:name w:val="xl179"/>
    <w:basedOn w:val="809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20"/>
      <w:szCs w:val="20"/>
    </w:rPr>
  </w:style>
  <w:style w:type="paragraph" w:styleId="1376" w:customStyle="1">
    <w:name w:val="xl180"/>
    <w:basedOn w:val="809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377" w:customStyle="1">
    <w:name w:val="xl181"/>
    <w:basedOn w:val="809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378" w:customStyle="1">
    <w:name w:val="xl182"/>
    <w:basedOn w:val="809"/>
    <w:pPr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20"/>
      <w:szCs w:val="20"/>
    </w:rPr>
  </w:style>
  <w:style w:type="paragraph" w:styleId="1379" w:customStyle="1">
    <w:name w:val="xl183"/>
    <w:basedOn w:val="809"/>
    <w:pPr>
      <w:jc w:val="center"/>
      <w:spacing w:before="100" w:beforeAutospacing="1" w:after="100" w:afterAutospacing="1"/>
      <w:shd w:val="clear" w:color="000000" w:fill="dbdbdb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380" w:customStyle="1">
    <w:name w:val="xl184"/>
    <w:basedOn w:val="809"/>
    <w:pPr>
      <w:ind w:firstLine="300"/>
      <w:spacing w:before="100" w:beforeAutospacing="1" w:after="100" w:afterAutospacing="1"/>
      <w:shd w:val="clear" w:color="000000" w:fill="dbdbdb"/>
      <w:pBdr>
        <w:top w:val="single" w:color="000000" w:sz="4" w:space="0"/>
        <w:left w:val="single" w:color="000000" w:sz="4" w:space="2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381" w:customStyle="1">
    <w:name w:val="xl185"/>
    <w:basedOn w:val="809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382" w:customStyle="1">
    <w:name w:val="xl186"/>
    <w:basedOn w:val="809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color w:val="000000"/>
      <w:sz w:val="20"/>
      <w:szCs w:val="20"/>
    </w:rPr>
  </w:style>
  <w:style w:type="paragraph" w:styleId="1383" w:customStyle="1">
    <w:name w:val="xl187"/>
    <w:basedOn w:val="809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20"/>
      <w:szCs w:val="20"/>
    </w:rPr>
  </w:style>
  <w:style w:type="paragraph" w:styleId="1384" w:customStyle="1">
    <w:name w:val="xl188"/>
    <w:basedOn w:val="809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20"/>
      <w:szCs w:val="20"/>
    </w:rPr>
  </w:style>
  <w:style w:type="paragraph" w:styleId="1385" w:customStyle="1">
    <w:name w:val="xl189"/>
    <w:basedOn w:val="809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20"/>
      <w:szCs w:val="20"/>
    </w:rPr>
  </w:style>
  <w:style w:type="paragraph" w:styleId="1386" w:customStyle="1">
    <w:name w:val="xl190"/>
    <w:basedOn w:val="809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1387" w:customStyle="1">
    <w:name w:val="xl191"/>
    <w:basedOn w:val="809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1388" w:customStyle="1">
    <w:name w:val="xl192"/>
    <w:basedOn w:val="809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8" w:space="0"/>
      </w:pBdr>
    </w:pPr>
    <w:rPr>
      <w:b/>
      <w:bCs/>
      <w:color w:val="000000"/>
      <w:sz w:val="20"/>
      <w:szCs w:val="20"/>
    </w:rPr>
  </w:style>
  <w:style w:type="paragraph" w:styleId="1389" w:customStyle="1">
    <w:name w:val="xl193"/>
    <w:basedOn w:val="809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8" w:space="0"/>
      </w:pBdr>
    </w:pPr>
    <w:rPr>
      <w:color w:val="000000"/>
      <w:sz w:val="20"/>
      <w:szCs w:val="20"/>
    </w:rPr>
  </w:style>
  <w:style w:type="paragraph" w:styleId="1390" w:customStyle="1">
    <w:name w:val="xl194"/>
    <w:basedOn w:val="809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8" w:space="0"/>
      </w:pBdr>
    </w:pPr>
    <w:rPr>
      <w:b/>
      <w:bCs/>
      <w:sz w:val="20"/>
      <w:szCs w:val="20"/>
    </w:rPr>
  </w:style>
  <w:style w:type="paragraph" w:styleId="1391" w:customStyle="1">
    <w:name w:val="xl195"/>
    <w:basedOn w:val="809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8" w:space="0"/>
      </w:pBdr>
    </w:pPr>
    <w:rPr>
      <w:color w:val="000000"/>
      <w:sz w:val="20"/>
      <w:szCs w:val="20"/>
    </w:rPr>
  </w:style>
  <w:style w:type="paragraph" w:styleId="1392" w:customStyle="1">
    <w:name w:val="xl196"/>
    <w:basedOn w:val="809"/>
    <w:pPr>
      <w:spacing w:before="100" w:beforeAutospacing="1" w:after="100" w:afterAutospacing="1"/>
      <w:pBdr>
        <w:left w:val="single" w:color="000000" w:sz="8" w:space="0"/>
        <w:right w:val="single" w:color="000000" w:sz="8" w:space="0"/>
      </w:pBdr>
    </w:pPr>
  </w:style>
  <w:style w:type="paragraph" w:styleId="1393" w:customStyle="1">
    <w:name w:val="xl197"/>
    <w:basedOn w:val="809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8" w:space="0"/>
      </w:pBdr>
    </w:pPr>
    <w:rPr>
      <w:sz w:val="20"/>
      <w:szCs w:val="20"/>
    </w:rPr>
  </w:style>
  <w:style w:type="paragraph" w:styleId="1394" w:customStyle="1">
    <w:name w:val="xl198"/>
    <w:basedOn w:val="809"/>
    <w:pPr>
      <w:jc w:val="center"/>
      <w:spacing w:before="100" w:beforeAutospacing="1" w:after="100" w:afterAutospacing="1"/>
      <w:shd w:val="clear" w:color="000000" w:fill="fce4d6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8" w:space="0"/>
      </w:pBdr>
    </w:pPr>
    <w:rPr>
      <w:b/>
      <w:bCs/>
      <w:sz w:val="20"/>
      <w:szCs w:val="20"/>
    </w:rPr>
  </w:style>
  <w:style w:type="paragraph" w:styleId="1395" w:customStyle="1">
    <w:name w:val="xl199"/>
    <w:basedOn w:val="809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8" w:space="0"/>
      </w:pBdr>
    </w:pPr>
    <w:rPr>
      <w:sz w:val="20"/>
      <w:szCs w:val="20"/>
    </w:rPr>
  </w:style>
  <w:style w:type="paragraph" w:styleId="1396" w:customStyle="1">
    <w:name w:val="xl200"/>
    <w:basedOn w:val="809"/>
    <w:pPr>
      <w:spacing w:before="100" w:beforeAutospacing="1" w:after="100" w:afterAutospacing="1"/>
      <w:pBdr>
        <w:left w:val="single" w:color="000000" w:sz="8" w:space="0"/>
        <w:right w:val="single" w:color="000000" w:sz="8" w:space="0"/>
      </w:pBdr>
    </w:pPr>
  </w:style>
  <w:style w:type="paragraph" w:styleId="1397" w:customStyle="1">
    <w:name w:val="xl201"/>
    <w:basedOn w:val="809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20"/>
      <w:szCs w:val="20"/>
    </w:rPr>
  </w:style>
  <w:style w:type="paragraph" w:styleId="1398" w:customStyle="1">
    <w:name w:val="xl202"/>
    <w:basedOn w:val="809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399" w:customStyle="1">
    <w:name w:val="xl203"/>
    <w:basedOn w:val="809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400" w:customStyle="1">
    <w:name w:val="xl204"/>
    <w:basedOn w:val="809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401" w:customStyle="1">
    <w:name w:val="xl205"/>
    <w:basedOn w:val="809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402" w:customStyle="1">
    <w:name w:val="xl206"/>
    <w:basedOn w:val="809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403" w:customStyle="1">
    <w:name w:val="xl207"/>
    <w:basedOn w:val="809"/>
    <w:pPr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404" w:customStyle="1">
    <w:name w:val="xl208"/>
    <w:basedOn w:val="809"/>
    <w:pPr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405" w:customStyle="1">
    <w:name w:val="xl209"/>
    <w:basedOn w:val="809"/>
    <w:pPr>
      <w:jc w:val="center"/>
      <w:spacing w:before="100" w:beforeAutospacing="1" w:after="100" w:afterAutospacing="1"/>
      <w:shd w:val="clear" w:color="000000" w:fill="fff2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406" w:customStyle="1">
    <w:name w:val="xl210"/>
    <w:basedOn w:val="809"/>
    <w:pPr>
      <w:jc w:val="center"/>
      <w:spacing w:before="100" w:beforeAutospacing="1" w:after="100" w:afterAutospacing="1"/>
      <w:shd w:val="clear" w:color="000000" w:fill="fff2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20"/>
      <w:szCs w:val="20"/>
    </w:rPr>
  </w:style>
  <w:style w:type="paragraph" w:styleId="1407" w:customStyle="1">
    <w:name w:val="xl211"/>
    <w:basedOn w:val="809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20"/>
      <w:szCs w:val="20"/>
    </w:rPr>
  </w:style>
  <w:style w:type="paragraph" w:styleId="1408" w:customStyle="1">
    <w:name w:val="xl212"/>
    <w:basedOn w:val="809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color w:val="000000"/>
      <w:sz w:val="20"/>
      <w:szCs w:val="20"/>
    </w:rPr>
  </w:style>
  <w:style w:type="paragraph" w:styleId="1409" w:customStyle="1">
    <w:name w:val="xl213"/>
    <w:basedOn w:val="809"/>
    <w:pPr>
      <w:jc w:val="center"/>
      <w:spacing w:before="100" w:beforeAutospacing="1" w:after="100" w:afterAutospacing="1"/>
      <w:shd w:val="clear" w:color="000000" w:fill="dbdbdb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410" w:customStyle="1">
    <w:name w:val="xl214"/>
    <w:basedOn w:val="809"/>
    <w:pPr>
      <w:jc w:val="center"/>
      <w:spacing w:before="100" w:beforeAutospacing="1" w:after="100" w:afterAutospacing="1"/>
      <w:shd w:val="clear" w:color="000000" w:fill="dbdbdb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411" w:customStyle="1">
    <w:name w:val="xl111"/>
    <w:basedOn w:val="8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7030a0"/>
      <w:sz w:val="20"/>
      <w:szCs w:val="20"/>
    </w:rPr>
  </w:style>
  <w:style w:type="paragraph" w:styleId="1412" w:customStyle="1">
    <w:name w:val="xl112"/>
    <w:basedOn w:val="809"/>
    <w:pPr>
      <w:jc w:val="center"/>
      <w:spacing w:before="100" w:beforeAutospacing="1" w:after="100" w:afterAutospacing="1"/>
      <w:shd w:val="clear" w:color="000000" w:fill="fff2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ff0000"/>
      <w:sz w:val="20"/>
      <w:szCs w:val="20"/>
    </w:rPr>
  </w:style>
  <w:style w:type="paragraph" w:styleId="1413" w:customStyle="1">
    <w:name w:val="xl113"/>
    <w:basedOn w:val="809"/>
    <w:pPr>
      <w:jc w:val="center"/>
      <w:spacing w:before="100" w:beforeAutospacing="1" w:after="100" w:afterAutospacing="1"/>
      <w:shd w:val="clear" w:color="000000" w:fill="fff2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ff0000"/>
      <w:sz w:val="20"/>
      <w:szCs w:val="20"/>
    </w:rPr>
  </w:style>
  <w:style w:type="paragraph" w:styleId="1414" w:customStyle="1">
    <w:name w:val="xl114"/>
    <w:basedOn w:val="8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b0f0"/>
      <w:sz w:val="20"/>
      <w:szCs w:val="20"/>
    </w:rPr>
  </w:style>
  <w:style w:type="paragraph" w:styleId="1415" w:customStyle="1">
    <w:name w:val="xl115"/>
    <w:basedOn w:val="809"/>
    <w:pPr>
      <w:jc w:val="center"/>
      <w:spacing w:before="100" w:beforeAutospacing="1" w:after="100" w:afterAutospacing="1"/>
      <w:shd w:val="clear" w:color="000000" w:fill="fff2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416" w:customStyle="1">
    <w:name w:val="xl116"/>
    <w:basedOn w:val="809"/>
    <w:pPr>
      <w:jc w:val="center"/>
      <w:spacing w:before="100" w:beforeAutospacing="1" w:after="100" w:afterAutospacing="1"/>
      <w:shd w:val="clear" w:color="000000" w:fill="fff2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417" w:customStyle="1">
    <w:name w:val="xl117"/>
    <w:basedOn w:val="809"/>
    <w:pPr>
      <w:jc w:val="center"/>
      <w:spacing w:before="100" w:beforeAutospacing="1" w:after="100" w:afterAutospacing="1"/>
      <w:shd w:val="clear" w:color="000000" w:fill="fff2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418" w:customStyle="1">
    <w:name w:val="xl118"/>
    <w:basedOn w:val="809"/>
    <w:pPr>
      <w:jc w:val="center"/>
      <w:spacing w:before="100" w:beforeAutospacing="1" w:after="100" w:afterAutospacing="1"/>
      <w:shd w:val="clear" w:color="000000" w:fill="fff2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b050"/>
      <w:sz w:val="20"/>
      <w:szCs w:val="20"/>
    </w:rPr>
  </w:style>
  <w:style w:type="paragraph" w:styleId="1419" w:customStyle="1">
    <w:name w:val="xl119"/>
    <w:basedOn w:val="809"/>
    <w:pPr>
      <w:jc w:val="center"/>
      <w:spacing w:before="100" w:beforeAutospacing="1" w:after="100" w:afterAutospacing="1"/>
      <w:shd w:val="clear" w:color="000000" w:fill="fff2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b050"/>
      <w:sz w:val="20"/>
      <w:szCs w:val="20"/>
    </w:rPr>
  </w:style>
  <w:style w:type="paragraph" w:styleId="1420" w:customStyle="1">
    <w:name w:val="xl120"/>
    <w:basedOn w:val="8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421" w:customStyle="1">
    <w:name w:val="xl121"/>
    <w:basedOn w:val="8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422" w:customStyle="1">
    <w:name w:val="xl122"/>
    <w:basedOn w:val="8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423" w:customStyle="1">
    <w:name w:val="xl123"/>
    <w:basedOn w:val="8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7030a0"/>
      <w:sz w:val="20"/>
      <w:szCs w:val="20"/>
    </w:rPr>
  </w:style>
  <w:style w:type="paragraph" w:styleId="1424" w:customStyle="1">
    <w:name w:val="xl124"/>
    <w:basedOn w:val="8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7030a0"/>
      <w:sz w:val="20"/>
      <w:szCs w:val="20"/>
    </w:rPr>
  </w:style>
  <w:style w:type="paragraph" w:styleId="1425" w:customStyle="1">
    <w:name w:val="xl125"/>
    <w:basedOn w:val="8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b0f0"/>
      <w:sz w:val="20"/>
      <w:szCs w:val="20"/>
    </w:rPr>
  </w:style>
  <w:style w:type="paragraph" w:styleId="1426" w:customStyle="1">
    <w:name w:val="xl126"/>
    <w:basedOn w:val="8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427" w:customStyle="1">
    <w:name w:val="xl127"/>
    <w:basedOn w:val="809"/>
    <w:pPr>
      <w:spacing w:before="100" w:beforeAutospacing="1" w:after="100" w:afterAutospacing="1"/>
    </w:pPr>
    <w:rPr>
      <w:color w:val="002060"/>
      <w:sz w:val="20"/>
      <w:szCs w:val="20"/>
      <w:u w:val="single"/>
    </w:rPr>
  </w:style>
  <w:style w:type="paragraph" w:styleId="1428" w:customStyle="1">
    <w:name w:val="xl128"/>
    <w:basedOn w:val="809"/>
    <w:pPr>
      <w:jc w:val="center"/>
      <w:spacing w:before="100" w:beforeAutospacing="1" w:after="100" w:afterAutospacing="1"/>
    </w:pPr>
    <w:rPr>
      <w:color w:val="002060"/>
      <w:sz w:val="20"/>
      <w:szCs w:val="20"/>
      <w:u w:val="single"/>
    </w:rPr>
  </w:style>
  <w:style w:type="paragraph" w:styleId="1429" w:customStyle="1">
    <w:name w:val="xl129"/>
    <w:basedOn w:val="8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b050"/>
      <w:sz w:val="20"/>
      <w:szCs w:val="20"/>
    </w:rPr>
  </w:style>
  <w:style w:type="paragraph" w:styleId="1430" w:customStyle="1">
    <w:name w:val="xl130"/>
    <w:basedOn w:val="8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b050"/>
      <w:sz w:val="20"/>
      <w:szCs w:val="20"/>
    </w:rPr>
  </w:style>
  <w:style w:type="paragraph" w:styleId="1431" w:customStyle="1">
    <w:name w:val="xl131"/>
    <w:basedOn w:val="809"/>
    <w:pPr>
      <w:spacing w:before="100" w:beforeAutospacing="1" w:after="100" w:afterAutospacing="1"/>
    </w:pPr>
    <w:rPr>
      <w:sz w:val="20"/>
      <w:szCs w:val="20"/>
    </w:rPr>
  </w:style>
  <w:style w:type="paragraph" w:styleId="1432" w:customStyle="1">
    <w:name w:val="xl132"/>
    <w:basedOn w:val="809"/>
    <w:pPr>
      <w:spacing w:before="100" w:beforeAutospacing="1" w:after="100" w:afterAutospacing="1"/>
    </w:pPr>
    <w:rPr>
      <w:sz w:val="20"/>
      <w:szCs w:val="20"/>
    </w:rPr>
  </w:style>
  <w:style w:type="paragraph" w:styleId="1433" w:customStyle="1">
    <w:name w:val="xl133"/>
    <w:basedOn w:val="8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434" w:customStyle="1">
    <w:name w:val="xl134"/>
    <w:basedOn w:val="8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435" w:customStyle="1">
    <w:name w:val="xl135"/>
    <w:basedOn w:val="8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436" w:customStyle="1">
    <w:name w:val="xl136"/>
    <w:basedOn w:val="8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2060"/>
      <w:sz w:val="20"/>
      <w:szCs w:val="20"/>
    </w:rPr>
  </w:style>
  <w:style w:type="paragraph" w:styleId="1437" w:customStyle="1">
    <w:name w:val="xl137"/>
    <w:basedOn w:val="809"/>
    <w:pPr>
      <w:spacing w:before="100" w:beforeAutospacing="1" w:after="100" w:afterAutospacing="1"/>
      <w:shd w:val="clear" w:color="000000" w:fill="9bc2e6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438" w:customStyle="1">
    <w:name w:val="xl152"/>
    <w:basedOn w:val="8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b050"/>
      <w:sz w:val="20"/>
      <w:szCs w:val="20"/>
    </w:rPr>
  </w:style>
  <w:style w:type="paragraph" w:styleId="1439" w:customStyle="1">
    <w:name w:val="xl153"/>
    <w:basedOn w:val="8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0"/>
      <w:szCs w:val="20"/>
    </w:rPr>
  </w:style>
  <w:style w:type="paragraph" w:styleId="1440" w:customStyle="1">
    <w:name w:val="xl154"/>
    <w:basedOn w:val="8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7030a0"/>
      <w:sz w:val="20"/>
      <w:szCs w:val="20"/>
    </w:rPr>
  </w:style>
  <w:style w:type="paragraph" w:styleId="1441" w:customStyle="1">
    <w:name w:val="xl155"/>
    <w:basedOn w:val="8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442" w:customStyle="1">
    <w:name w:val="xl156"/>
    <w:basedOn w:val="8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b0f0"/>
      <w:sz w:val="20"/>
      <w:szCs w:val="20"/>
    </w:rPr>
  </w:style>
  <w:style w:type="paragraph" w:styleId="1443" w:customStyle="1">
    <w:name w:val="xl157"/>
    <w:basedOn w:val="8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0"/>
      <w:szCs w:val="20"/>
    </w:rPr>
  </w:style>
  <w:style w:type="paragraph" w:styleId="1444" w:customStyle="1">
    <w:name w:val="xl158"/>
    <w:basedOn w:val="8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445" w:customStyle="1">
    <w:name w:val="xl159"/>
    <w:basedOn w:val="8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b0f0"/>
      <w:sz w:val="20"/>
      <w:szCs w:val="20"/>
    </w:rPr>
  </w:style>
  <w:style w:type="paragraph" w:styleId="1446" w:customStyle="1">
    <w:name w:val="xl160"/>
    <w:basedOn w:val="8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7030a0"/>
      <w:sz w:val="20"/>
      <w:szCs w:val="20"/>
    </w:rPr>
  </w:style>
  <w:style w:type="paragraph" w:styleId="1447" w:customStyle="1">
    <w:name w:val="xl161"/>
    <w:basedOn w:val="809"/>
    <w:pPr>
      <w:spacing w:before="100" w:beforeAutospacing="1" w:after="100" w:afterAutospacing="1"/>
      <w:shd w:val="clear" w:color="000000" w:fill="fff2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b0f0"/>
      <w:sz w:val="20"/>
      <w:szCs w:val="20"/>
    </w:rPr>
  </w:style>
  <w:style w:type="paragraph" w:styleId="1448" w:customStyle="1">
    <w:name w:val="xl162"/>
    <w:basedOn w:val="809"/>
    <w:pPr>
      <w:spacing w:before="100" w:beforeAutospacing="1" w:after="100" w:afterAutospacing="1"/>
      <w:shd w:val="clear" w:color="000000" w:fill="fff2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0"/>
      <w:szCs w:val="20"/>
    </w:rPr>
  </w:style>
  <w:style w:type="paragraph" w:styleId="1449" w:customStyle="1">
    <w:name w:val="xl163"/>
    <w:basedOn w:val="809"/>
    <w:pPr>
      <w:spacing w:before="100" w:beforeAutospacing="1" w:after="100" w:afterAutospacing="1"/>
      <w:shd w:val="clear" w:color="000000" w:fill="fff2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7030a0"/>
      <w:sz w:val="20"/>
      <w:szCs w:val="20"/>
    </w:rPr>
  </w:style>
  <w:style w:type="paragraph" w:styleId="1450" w:customStyle="1">
    <w:name w:val="xl164"/>
    <w:basedOn w:val="809"/>
    <w:pPr>
      <w:spacing w:before="100" w:beforeAutospacing="1" w:after="100" w:afterAutospacing="1"/>
      <w:shd w:val="clear" w:color="000000" w:fill="fff2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b050"/>
      <w:sz w:val="20"/>
      <w:szCs w:val="20"/>
    </w:rPr>
  </w:style>
  <w:style w:type="paragraph" w:styleId="1451" w:customStyle="1">
    <w:name w:val="xl165"/>
    <w:basedOn w:val="8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0"/>
      <w:szCs w:val="20"/>
    </w:rPr>
  </w:style>
  <w:style w:type="paragraph" w:styleId="1452" w:customStyle="1">
    <w:name w:val="xl166"/>
    <w:basedOn w:val="809"/>
    <w:pPr>
      <w:spacing w:before="100" w:beforeAutospacing="1" w:after="100" w:afterAutospacing="1"/>
      <w:shd w:val="clear" w:color="000000" w:fill="fff2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453" w:customStyle="1">
    <w:name w:val="xl167"/>
    <w:basedOn w:val="8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454" w:customStyle="1">
    <w:name w:val="xl168"/>
    <w:basedOn w:val="8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7030a0"/>
      <w:sz w:val="20"/>
      <w:szCs w:val="20"/>
    </w:rPr>
  </w:style>
  <w:style w:type="paragraph" w:styleId="1455" w:customStyle="1">
    <w:name w:val="xl169"/>
    <w:basedOn w:val="8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456" w:customStyle="1">
    <w:name w:val="xl170"/>
    <w:basedOn w:val="8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b0f0"/>
      <w:sz w:val="20"/>
      <w:szCs w:val="20"/>
    </w:rPr>
  </w:style>
  <w:style w:type="paragraph" w:styleId="1457" w:customStyle="1">
    <w:name w:val="Table Paragraph"/>
    <w:basedOn w:val="809"/>
    <w:uiPriority w:val="1"/>
    <w:qFormat/>
    <w:pPr>
      <w:ind w:left="111"/>
      <w:widowControl w:val="off"/>
    </w:pPr>
    <w:rPr>
      <w:sz w:val="22"/>
      <w:szCs w:val="22"/>
      <w:lang w:eastAsia="en-US"/>
    </w:rPr>
  </w:style>
  <w:style w:type="paragraph" w:styleId="1458" w:customStyle="1">
    <w:name w:val="Перечень"/>
    <w:basedOn w:val="985"/>
    <w:link w:val="1459"/>
    <w:qFormat/>
    <w:pPr>
      <w:numPr>
        <w:ilvl w:val="0"/>
        <w:numId w:val="14"/>
      </w:numPr>
      <w:ind w:left="0" w:firstLine="709"/>
      <w:spacing w:line="240" w:lineRule="auto"/>
      <w:tabs>
        <w:tab w:val="left" w:pos="1021" w:leader="none"/>
      </w:tabs>
    </w:pPr>
  </w:style>
  <w:style w:type="character" w:styleId="1459" w:customStyle="1">
    <w:name w:val="Перечень Знак"/>
    <w:basedOn w:val="986"/>
    <w:link w:val="1458"/>
  </w:style>
  <w:style w:type="character" w:styleId="1460">
    <w:name w:val="Strong"/>
    <w:basedOn w:val="819"/>
    <w:uiPriority w:val="22"/>
    <w:qFormat/>
    <w:rPr>
      <w:b/>
      <w:bCs/>
    </w:rPr>
  </w:style>
  <w:style w:type="paragraph" w:styleId="1461">
    <w:name w:val="Title"/>
    <w:basedOn w:val="809"/>
    <w:next w:val="809"/>
    <w:link w:val="1462"/>
    <w:uiPriority w:val="99"/>
    <w:pPr>
      <w:contextualSpacing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1462" w:customStyle="1">
    <w:name w:val="Название Знак"/>
    <w:basedOn w:val="819"/>
    <w:link w:val="1461"/>
    <w:uiPriority w:val="99"/>
    <w:rPr>
      <w:rFonts w:asciiTheme="majorHAnsi" w:hAnsiTheme="majorHAnsi" w:eastAsiaTheme="majorEastAsia" w:cstheme="majorBidi"/>
      <w:spacing w:val="-10"/>
      <w:sz w:val="56"/>
      <w:szCs w:val="56"/>
      <w:lang w:eastAsia="ru-RU"/>
    </w:rPr>
  </w:style>
  <w:style w:type="character" w:styleId="1463" w:customStyle="1">
    <w:name w:val="_Обычный Знак"/>
    <w:basedOn w:val="819"/>
    <w:link w:val="1464"/>
    <w:rPr>
      <w:iCs/>
      <w:szCs w:val="26"/>
    </w:rPr>
  </w:style>
  <w:style w:type="paragraph" w:styleId="1464" w:customStyle="1">
    <w:name w:val="_Обычный"/>
    <w:basedOn w:val="809"/>
    <w:link w:val="1463"/>
    <w:qFormat/>
    <w:pPr>
      <w:contextualSpacing/>
      <w:ind w:firstLine="709"/>
      <w:jc w:val="both"/>
      <w:spacing w:before="120" w:after="120" w:line="360" w:lineRule="auto"/>
    </w:pPr>
    <w:rPr>
      <w:rFonts w:eastAsiaTheme="minorHAnsi"/>
      <w:iCs/>
      <w:szCs w:val="26"/>
      <w:lang w:eastAsia="en-US"/>
    </w:rPr>
  </w:style>
  <w:style w:type="character" w:styleId="1465" w:customStyle="1">
    <w:name w:val="mw-headline"/>
    <w:basedOn w:val="819"/>
  </w:style>
  <w:style w:type="paragraph" w:styleId="1466">
    <w:name w:val="Normal (Web)"/>
    <w:basedOn w:val="809"/>
    <w:uiPriority w:val="99"/>
    <w:unhideWhenUsed/>
    <w:pPr>
      <w:spacing w:before="100" w:beforeAutospacing="1" w:after="100" w:afterAutospacing="1"/>
    </w:pPr>
  </w:style>
  <w:style w:type="character" w:styleId="1467" w:customStyle="1">
    <w:name w:val="fontstyle01"/>
    <w:basedOn w:val="819"/>
    <w:rPr>
      <w:rFonts w:hint="default" w:ascii="TimesNewRomanPS-BoldMT" w:hAnsi="TimesNewRomanPS-BoldMT"/>
      <w:b/>
      <w:bCs/>
      <w:i w:val="0"/>
      <w:iCs w:val="0"/>
      <w:color w:val="000000"/>
      <w:sz w:val="24"/>
      <w:szCs w:val="24"/>
    </w:rPr>
  </w:style>
  <w:style w:type="character" w:styleId="1468" w:customStyle="1">
    <w:name w:val="fontstyle21"/>
    <w:basedOn w:val="819"/>
    <w:rPr>
      <w:rFonts w:hint="default" w:ascii="TimesNewRomanPS-BoldMT" w:hAnsi="TimesNewRomanPS-BoldMT"/>
      <w:b/>
      <w:bCs/>
      <w:i w:val="0"/>
      <w:iCs w:val="0"/>
      <w:color w:val="333399"/>
      <w:sz w:val="28"/>
      <w:szCs w:val="28"/>
    </w:rPr>
  </w:style>
  <w:style w:type="paragraph" w:styleId="1469" w:customStyle="1">
    <w:name w:val="xl63"/>
    <w:basedOn w:val="8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8"/>
      <w:szCs w:val="28"/>
    </w:rPr>
  </w:style>
  <w:style w:type="paragraph" w:styleId="1470" w:customStyle="1">
    <w:name w:val="xl64"/>
    <w:basedOn w:val="8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character" w:styleId="1471" w:customStyle="1">
    <w:name w:val="Основной текст (2)"/>
    <w:rPr>
      <w:rFonts w:hint="default" w:ascii="Times New Roman" w:hAnsi="Times New Roman" w:eastAsia="Times New Roman" w:cs="Times New Roman"/>
      <w:b w:val="0"/>
      <w:bCs w:val="0"/>
      <w:i w:val="0"/>
      <w:iCs w:val="0"/>
      <w:smallCaps w:val="0"/>
      <w:color w:val="000000"/>
      <w:spacing w:val="0"/>
      <w:position w:val="0"/>
      <w:sz w:val="24"/>
      <w:szCs w:val="24"/>
      <w:u w:val="single"/>
      <w:lang w:val="ru-RU" w:eastAsia="ru-RU" w:bidi="ru-RU"/>
    </w:rPr>
  </w:style>
  <w:style w:type="paragraph" w:styleId="1472">
    <w:name w:val="List Bullet"/>
    <w:basedOn w:val="809"/>
    <w:semiHidden/>
    <w:unhideWhenUsed/>
    <w:pPr>
      <w:numPr>
        <w:ilvl w:val="0"/>
        <w:numId w:val="9"/>
      </w:numPr>
      <w:contextualSpacing/>
    </w:pPr>
  </w:style>
  <w:style w:type="character" w:styleId="1473" w:customStyle="1">
    <w:name w:val="Основной текст (7)_"/>
    <w:link w:val="1474"/>
    <w:rPr>
      <w:i/>
      <w:iCs/>
      <w:shd w:val="clear" w:color="auto" w:fill="ffffff"/>
    </w:rPr>
  </w:style>
  <w:style w:type="paragraph" w:styleId="1474" w:customStyle="1">
    <w:name w:val="Основной текст (7)"/>
    <w:basedOn w:val="809"/>
    <w:link w:val="1473"/>
    <w:pPr>
      <w:spacing w:line="274" w:lineRule="exact"/>
      <w:shd w:val="clear" w:color="auto" w:fill="ffffff"/>
      <w:widowControl w:val="off"/>
    </w:pPr>
    <w:rPr>
      <w:rFonts w:eastAsiaTheme="minorHAnsi"/>
      <w:i/>
      <w:iCs/>
      <w:lang w:eastAsia="en-US"/>
    </w:rPr>
  </w:style>
  <w:style w:type="character" w:styleId="1475" w:customStyle="1">
    <w:name w:val="Основной текст (8)_"/>
    <w:link w:val="1476"/>
    <w:rPr>
      <w:i/>
      <w:iCs/>
      <w:shd w:val="clear" w:color="auto" w:fill="ffffff"/>
    </w:rPr>
  </w:style>
  <w:style w:type="paragraph" w:styleId="1476" w:customStyle="1">
    <w:name w:val="Основной текст (8)"/>
    <w:basedOn w:val="809"/>
    <w:link w:val="1475"/>
    <w:pPr>
      <w:spacing w:line="274" w:lineRule="exact"/>
      <w:shd w:val="clear" w:color="auto" w:fill="ffffff"/>
      <w:widowControl w:val="off"/>
    </w:pPr>
    <w:rPr>
      <w:rFonts w:eastAsiaTheme="minorHAnsi"/>
      <w:i/>
      <w:iCs/>
      <w:lang w:eastAsia="en-US"/>
    </w:rPr>
  </w:style>
  <w:style w:type="character" w:styleId="1477" w:customStyle="1">
    <w:name w:val="Основной текст (2) + Интервал 1 pt"/>
    <w:rPr>
      <w:rFonts w:hint="default"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30"/>
      <w:position w:val="0"/>
      <w:sz w:val="24"/>
      <w:szCs w:val="24"/>
      <w:u w:val="none"/>
      <w:lang w:val="ru-RU" w:eastAsia="ru-RU" w:bidi="ru-RU"/>
    </w:rPr>
  </w:style>
  <w:style w:type="character" w:styleId="1478" w:customStyle="1">
    <w:name w:val="Подпись к таблице"/>
    <w:rPr>
      <w:rFonts w:hint="default" w:ascii="Times New Roman" w:hAnsi="Times New Roman" w:eastAsia="Times New Roman" w:cs="Times New Roman"/>
      <w:b w:val="0"/>
      <w:bCs w:val="0"/>
      <w:i w:val="0"/>
      <w:iCs w:val="0"/>
      <w:smallCaps w:val="0"/>
      <w:color w:val="000000"/>
      <w:spacing w:val="0"/>
      <w:position w:val="0"/>
      <w:sz w:val="24"/>
      <w:szCs w:val="24"/>
      <w:u w:val="single"/>
      <w:lang w:val="ru-RU" w:eastAsia="ru-RU" w:bidi="ru-RU"/>
    </w:rPr>
  </w:style>
  <w:style w:type="character" w:styleId="1479" w:customStyle="1">
    <w:name w:val="Основной текст (2) + Малые прописные"/>
    <w:rPr>
      <w:rFonts w:hint="default" w:ascii="Times New Roman" w:hAnsi="Times New Roman" w:eastAsia="Times New Roman" w:cs="Times New Roman"/>
      <w:b w:val="0"/>
      <w:bCs w:val="0"/>
      <w:i w:val="0"/>
      <w:iCs w:val="0"/>
      <w:smallCaps/>
      <w:strike w:val="0"/>
      <w:color w:val="000000"/>
      <w:spacing w:val="0"/>
      <w:position w:val="0"/>
      <w:sz w:val="24"/>
      <w:szCs w:val="24"/>
      <w:u w:val="none"/>
      <w:lang w:val="en-US" w:eastAsia="en-US" w:bidi="en-US"/>
    </w:rPr>
  </w:style>
  <w:style w:type="character" w:styleId="1480" w:customStyle="1">
    <w:name w:val="Абзац Знак"/>
    <w:link w:val="1481"/>
    <w:qFormat/>
    <w:rPr>
      <w:rFonts w:eastAsia="Times New Roman"/>
      <w:lang w:eastAsia="ru-RU"/>
    </w:rPr>
  </w:style>
  <w:style w:type="paragraph" w:styleId="1481" w:customStyle="1">
    <w:name w:val="Абзац"/>
    <w:link w:val="1480"/>
    <w:pPr>
      <w:ind w:firstLine="567"/>
      <w:jc w:val="both"/>
      <w:spacing w:before="120" w:after="60" w:line="240" w:lineRule="auto"/>
    </w:pPr>
    <w:rPr>
      <w:rFonts w:eastAsia="Times New Roman"/>
      <w:lang w:eastAsia="ru-RU"/>
    </w:rPr>
  </w:style>
  <w:style w:type="character" w:styleId="1482">
    <w:name w:val="footnote reference"/>
    <w:unhideWhenUsed/>
    <w:qFormat/>
    <w:rPr>
      <w:vertAlign w:val="superscript"/>
    </w:rPr>
  </w:style>
  <w:style w:type="character" w:styleId="1483" w:customStyle="1">
    <w:name w:val="Текст_Обычный"/>
    <w:basedOn w:val="819"/>
  </w:style>
  <w:style w:type="paragraph" w:styleId="1484">
    <w:name w:val="Body Text 3"/>
    <w:basedOn w:val="809"/>
    <w:link w:val="1485"/>
    <w:semiHidden/>
    <w:unhideWhenUsed/>
    <w:pPr>
      <w:spacing w:after="120"/>
    </w:pPr>
    <w:rPr>
      <w:sz w:val="16"/>
      <w:szCs w:val="16"/>
      <w:lang w:eastAsia="zh-CN"/>
    </w:rPr>
  </w:style>
  <w:style w:type="character" w:styleId="1485" w:customStyle="1">
    <w:name w:val="Основной текст 3 Знак"/>
    <w:basedOn w:val="819"/>
    <w:link w:val="1484"/>
    <w:semiHidden/>
    <w:rPr>
      <w:rFonts w:eastAsia="Times New Roman"/>
      <w:sz w:val="16"/>
      <w:szCs w:val="16"/>
      <w:lang w:eastAsia="zh-CN"/>
    </w:rPr>
  </w:style>
  <w:style w:type="paragraph" w:styleId="1486">
    <w:name w:val="Body Text"/>
    <w:basedOn w:val="809"/>
    <w:link w:val="1487"/>
    <w:uiPriority w:val="1"/>
    <w:unhideWhenUsed/>
    <w:pPr>
      <w:spacing w:after="120" w:line="276" w:lineRule="auto"/>
    </w:pPr>
    <w:rPr>
      <w:rFonts w:eastAsiaTheme="minorEastAsia" w:cstheme="minorBidi"/>
      <w:sz w:val="20"/>
      <w:szCs w:val="22"/>
      <w:lang w:eastAsia="en-US"/>
    </w:rPr>
  </w:style>
  <w:style w:type="character" w:styleId="1487" w:customStyle="1">
    <w:name w:val="Основной текст Знак"/>
    <w:basedOn w:val="819"/>
    <w:link w:val="1486"/>
    <w:uiPriority w:val="1"/>
    <w:rPr>
      <w:rFonts w:eastAsiaTheme="minorEastAsia" w:cstheme="minorBidi"/>
      <w:sz w:val="20"/>
      <w:szCs w:val="22"/>
    </w:rPr>
  </w:style>
  <w:style w:type="paragraph" w:styleId="1488" w:customStyle="1">
    <w:name w:val="font8"/>
    <w:basedOn w:val="809"/>
    <w:pPr>
      <w:spacing w:before="100" w:beforeAutospacing="1" w:after="100" w:afterAutospacing="1"/>
    </w:pPr>
    <w:rPr>
      <w:rFonts w:ascii="Symbol" w:hAnsi="Symbol" w:eastAsiaTheme="minorEastAsia" w:cstheme="minorBidi"/>
      <w:b/>
      <w:bCs/>
      <w:color w:val="000000"/>
      <w:sz w:val="20"/>
      <w:szCs w:val="20"/>
    </w:rPr>
  </w:style>
  <w:style w:type="paragraph" w:styleId="1489" w:customStyle="1">
    <w:name w:val="+"/>
    <w:basedOn w:val="809"/>
    <w:link w:val="1490"/>
    <w:pPr>
      <w:contextualSpacing/>
      <w:ind w:left="57" w:hanging="57"/>
      <w:jc w:val="both"/>
    </w:pPr>
    <w:rPr>
      <w:sz w:val="22"/>
      <w:szCs w:val="22"/>
      <w:lang w:eastAsia="en-US"/>
    </w:rPr>
  </w:style>
  <w:style w:type="character" w:styleId="1490" w:customStyle="1">
    <w:name w:val="+ Знак"/>
    <w:link w:val="1489"/>
    <w:rPr>
      <w:rFonts w:eastAsia="Times New Roman"/>
      <w:sz w:val="22"/>
      <w:szCs w:val="22"/>
    </w:rPr>
  </w:style>
  <w:style w:type="character" w:styleId="1491" w:customStyle="1">
    <w:name w:val="Основной текст_"/>
    <w:link w:val="1492"/>
    <w:rPr>
      <w:rFonts w:eastAsia="Times New Roman"/>
      <w:sz w:val="23"/>
      <w:szCs w:val="23"/>
      <w:shd w:val="clear" w:color="auto" w:fill="ffffff"/>
    </w:rPr>
  </w:style>
  <w:style w:type="paragraph" w:styleId="1492" w:customStyle="1">
    <w:name w:val="Основной текст3"/>
    <w:basedOn w:val="809"/>
    <w:link w:val="1491"/>
    <w:pPr>
      <w:ind w:hanging="460"/>
      <w:jc w:val="both"/>
      <w:spacing w:after="180" w:line="0" w:lineRule="atLeast"/>
      <w:shd w:val="clear" w:color="auto" w:fill="ffffff"/>
      <w:widowControl w:val="off"/>
    </w:pPr>
    <w:rPr>
      <w:sz w:val="23"/>
      <w:szCs w:val="23"/>
      <w:lang w:eastAsia="en-US"/>
    </w:rPr>
  </w:style>
  <w:style w:type="character" w:styleId="1493" w:customStyle="1">
    <w:name w:val="Неразрешенное упоминание11"/>
    <w:basedOn w:val="819"/>
    <w:uiPriority w:val="99"/>
    <w:semiHidden/>
    <w:unhideWhenUsed/>
    <w:rPr>
      <w:color w:val="605e5c"/>
      <w:shd w:val="clear" w:color="auto" w:fill="e1dfdd"/>
    </w:rPr>
  </w:style>
  <w:style w:type="character" w:styleId="1494">
    <w:name w:val="line number"/>
    <w:basedOn w:val="819"/>
  </w:style>
  <w:style w:type="paragraph" w:styleId="1495" w:customStyle="1">
    <w:name w:val="xl24522"/>
    <w:basedOn w:val="809"/>
    <w:pPr>
      <w:spacing w:before="100" w:beforeAutospacing="1" w:after="100" w:afterAutospacing="1"/>
    </w:pPr>
    <w:rPr>
      <w:sz w:val="20"/>
      <w:szCs w:val="20"/>
    </w:rPr>
  </w:style>
  <w:style w:type="paragraph" w:styleId="1496" w:customStyle="1">
    <w:name w:val="xl24523"/>
    <w:basedOn w:val="809"/>
    <w:pPr>
      <w:jc w:val="center"/>
      <w:spacing w:before="100" w:beforeAutospacing="1" w:after="100" w:afterAutospacing="1"/>
    </w:pPr>
    <w:rPr>
      <w:sz w:val="20"/>
      <w:szCs w:val="20"/>
    </w:rPr>
  </w:style>
  <w:style w:type="paragraph" w:styleId="1497" w:customStyle="1">
    <w:name w:val="xl24524"/>
    <w:basedOn w:val="809"/>
    <w:pPr>
      <w:jc w:val="center"/>
      <w:spacing w:before="100" w:beforeAutospacing="1" w:after="100" w:afterAutospacing="1"/>
      <w:shd w:val="clear" w:color="000000" w:fill="b1a0c7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498" w:customStyle="1">
    <w:name w:val="xl24525"/>
    <w:basedOn w:val="809"/>
    <w:pPr>
      <w:jc w:val="center"/>
      <w:spacing w:before="100" w:beforeAutospacing="1" w:after="100" w:afterAutospacing="1"/>
      <w:shd w:val="clear" w:color="000000" w:fill="4f81bd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499" w:customStyle="1">
    <w:name w:val="xl24526"/>
    <w:basedOn w:val="809"/>
    <w:pPr>
      <w:jc w:val="center"/>
      <w:spacing w:before="100" w:beforeAutospacing="1" w:after="100" w:afterAutospacing="1"/>
      <w:shd w:val="clear" w:color="000000" w:fill="b8cce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500" w:customStyle="1">
    <w:name w:val="xl24527"/>
    <w:basedOn w:val="809"/>
    <w:pPr>
      <w:jc w:val="center"/>
      <w:spacing w:before="100" w:beforeAutospacing="1" w:after="100" w:afterAutospacing="1"/>
    </w:pPr>
    <w:rPr>
      <w:sz w:val="20"/>
      <w:szCs w:val="20"/>
    </w:rPr>
  </w:style>
  <w:style w:type="paragraph" w:styleId="1501" w:customStyle="1">
    <w:name w:val="xl24528"/>
    <w:basedOn w:val="809"/>
    <w:pPr>
      <w:jc w:val="center"/>
      <w:spacing w:before="100" w:beforeAutospacing="1" w:after="100" w:afterAutospacing="1"/>
      <w:shd w:val="clear" w:color="000000" w:fill="b8cce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502" w:customStyle="1">
    <w:name w:val="xl24529"/>
    <w:basedOn w:val="809"/>
    <w:pPr>
      <w:jc w:val="center"/>
      <w:spacing w:before="100" w:beforeAutospacing="1" w:after="100" w:afterAutospacing="1"/>
      <w:shd w:val="clear" w:color="000000" w:fill="dce6f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503" w:customStyle="1">
    <w:name w:val="xl24530"/>
    <w:basedOn w:val="809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504" w:customStyle="1">
    <w:name w:val="xl24531"/>
    <w:basedOn w:val="809"/>
    <w:pPr>
      <w:spacing w:before="100" w:beforeAutospacing="1" w:after="100" w:afterAutospacing="1"/>
      <w:shd w:val="clear" w:color="000000" w:fill="b1a0c7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505" w:customStyle="1">
    <w:name w:val="xl24532"/>
    <w:basedOn w:val="809"/>
    <w:pPr>
      <w:spacing w:before="100" w:beforeAutospacing="1" w:after="100" w:afterAutospacing="1"/>
      <w:shd w:val="clear" w:color="000000" w:fill="4f81bd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506" w:customStyle="1">
    <w:name w:val="xl24533"/>
    <w:basedOn w:val="809"/>
    <w:pPr>
      <w:spacing w:before="100" w:beforeAutospacing="1" w:after="100" w:afterAutospacing="1"/>
      <w:shd w:val="clear" w:color="000000" w:fill="b8cce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507" w:customStyle="1">
    <w:name w:val="xl24534"/>
    <w:basedOn w:val="809"/>
    <w:pPr>
      <w:spacing w:before="100" w:beforeAutospacing="1" w:after="100" w:afterAutospacing="1"/>
      <w:shd w:val="clear" w:color="000000" w:fill="dce6f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508" w:customStyle="1">
    <w:name w:val="xl24535"/>
    <w:basedOn w:val="809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509" w:customStyle="1">
    <w:name w:val="xl24536"/>
    <w:basedOn w:val="809"/>
    <w:pPr>
      <w:spacing w:before="100" w:beforeAutospacing="1" w:after="100" w:afterAutospacing="1"/>
    </w:pPr>
    <w:rPr>
      <w:sz w:val="20"/>
      <w:szCs w:val="20"/>
    </w:rPr>
  </w:style>
  <w:style w:type="paragraph" w:styleId="1510" w:customStyle="1">
    <w:name w:val="xl24537"/>
    <w:basedOn w:val="809"/>
    <w:pPr>
      <w:jc w:val="center"/>
      <w:spacing w:before="100" w:beforeAutospacing="1" w:after="100" w:afterAutospacing="1"/>
      <w:shd w:val="clear" w:color="000000" w:fill="dce6f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511" w:customStyle="1">
    <w:name w:val="xl24538"/>
    <w:basedOn w:val="8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512" w:customStyle="1">
    <w:name w:val="xl24539"/>
    <w:basedOn w:val="8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513" w:customStyle="1">
    <w:name w:val="xl24540"/>
    <w:basedOn w:val="809"/>
    <w:pPr>
      <w:jc w:val="center"/>
      <w:spacing w:before="100" w:beforeAutospacing="1" w:after="100" w:afterAutospacing="1"/>
      <w:shd w:val="clear" w:color="000000" w:fill="b1a0c7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514" w:customStyle="1">
    <w:name w:val="xl24541"/>
    <w:basedOn w:val="809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515" w:customStyle="1">
    <w:name w:val="xl24542"/>
    <w:basedOn w:val="809"/>
    <w:pPr>
      <w:jc w:val="center"/>
      <w:spacing w:before="100" w:beforeAutospacing="1" w:after="100" w:afterAutospacing="1"/>
      <w:shd w:val="clear" w:color="000000" w:fill="d9d9d9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516" w:customStyle="1">
    <w:name w:val="xl24543"/>
    <w:basedOn w:val="809"/>
    <w:pPr>
      <w:spacing w:before="100" w:beforeAutospacing="1" w:after="100" w:afterAutospacing="1"/>
      <w:shd w:val="clear" w:color="000000" w:fill="d9d9d9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517" w:customStyle="1">
    <w:name w:val="xl24544"/>
    <w:basedOn w:val="809"/>
    <w:pPr>
      <w:jc w:val="center"/>
      <w:spacing w:before="100" w:beforeAutospacing="1" w:after="100" w:afterAutospacing="1"/>
      <w:shd w:val="clear" w:color="000000" w:fill="d9d9d9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518" w:customStyle="1">
    <w:name w:val="xl24545"/>
    <w:basedOn w:val="8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519" w:customStyle="1">
    <w:name w:val="xl24546"/>
    <w:basedOn w:val="809"/>
    <w:pPr>
      <w:jc w:val="center"/>
      <w:spacing w:before="100" w:beforeAutospacing="1" w:after="100" w:afterAutospacing="1"/>
      <w:shd w:val="clear" w:color="000000" w:fill="b1a0c7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520" w:customStyle="1">
    <w:name w:val="xl24547"/>
    <w:basedOn w:val="809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521" w:customStyle="1">
    <w:name w:val="xl24548"/>
    <w:basedOn w:val="809"/>
    <w:pPr>
      <w:jc w:val="center"/>
      <w:spacing w:before="100" w:beforeAutospacing="1" w:after="100" w:afterAutospacing="1"/>
      <w:shd w:val="clear" w:color="000000" w:fill="d9d9d9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522" w:customStyle="1">
    <w:name w:val="xl24549"/>
    <w:basedOn w:val="809"/>
    <w:pPr>
      <w:spacing w:before="100" w:beforeAutospacing="1" w:after="100" w:afterAutospacing="1"/>
      <w:shd w:val="clear" w:color="000000" w:fill="d9d9d9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523" w:customStyle="1">
    <w:name w:val="xl24550"/>
    <w:basedOn w:val="809"/>
    <w:pPr>
      <w:jc w:val="center"/>
      <w:spacing w:before="100" w:beforeAutospacing="1" w:after="100" w:afterAutospacing="1"/>
      <w:shd w:val="clear" w:color="000000" w:fill="d9d9d9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524" w:customStyle="1">
    <w:name w:val="xl24551"/>
    <w:basedOn w:val="809"/>
    <w:pPr>
      <w:jc w:val="center"/>
      <w:spacing w:before="100" w:beforeAutospacing="1" w:after="100" w:afterAutospacing="1"/>
      <w:shd w:val="clear" w:color="000000" w:fill="d9d9d9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525" w:customStyle="1">
    <w:name w:val="xl24552"/>
    <w:basedOn w:val="8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character" w:styleId="1526" w:customStyle="1">
    <w:name w:val="Font Style158"/>
    <w:rPr>
      <w:rFonts w:eastAsia="Times New Roman"/>
      <w:color w:val="auto"/>
      <w:sz w:val="26"/>
      <w:lang w:val="ru-RU" w:eastAsia="zh-CN"/>
    </w:rPr>
  </w:style>
  <w:style w:type="paragraph" w:styleId="1527" w:customStyle="1">
    <w:name w:val="xl24553"/>
    <w:basedOn w:val="809"/>
    <w:pPr>
      <w:jc w:val="center"/>
      <w:spacing w:before="100" w:beforeAutospacing="1" w:after="100" w:afterAutospacing="1"/>
      <w:shd w:val="clear" w:color="000000" w:fill="d9d9d9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528" w:customStyle="1">
    <w:name w:val="xl24554"/>
    <w:basedOn w:val="809"/>
    <w:pPr>
      <w:jc w:val="center"/>
      <w:spacing w:before="100" w:beforeAutospacing="1" w:after="100" w:afterAutospacing="1"/>
      <w:shd w:val="clear" w:color="000000" w:fill="d9d9d9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529" w:customStyle="1">
    <w:name w:val="xl24555"/>
    <w:basedOn w:val="809"/>
    <w:pPr>
      <w:jc w:val="center"/>
      <w:spacing w:before="100" w:beforeAutospacing="1" w:after="100" w:afterAutospacing="1"/>
      <w:shd w:val="clear" w:color="000000" w:fill="b1a0c7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530" w:customStyle="1">
    <w:name w:val="xl24556"/>
    <w:basedOn w:val="809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531" w:customStyle="1">
    <w:name w:val="xl24557"/>
    <w:basedOn w:val="809"/>
    <w:pPr>
      <w:jc w:val="center"/>
      <w:spacing w:before="100" w:beforeAutospacing="1" w:after="100" w:afterAutospacing="1"/>
      <w:shd w:val="clear" w:color="000000" w:fill="d9d9d9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532" w:customStyle="1">
    <w:name w:val="xl24558"/>
    <w:basedOn w:val="809"/>
    <w:pPr>
      <w:spacing w:before="100" w:beforeAutospacing="1" w:after="100" w:afterAutospacing="1"/>
      <w:shd w:val="clear" w:color="000000" w:fill="d9d9d9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533" w:customStyle="1">
    <w:name w:val="xl24559"/>
    <w:basedOn w:val="809"/>
    <w:pPr>
      <w:jc w:val="center"/>
      <w:spacing w:before="100" w:beforeAutospacing="1" w:after="100" w:afterAutospacing="1"/>
      <w:shd w:val="clear" w:color="000000" w:fill="d9d9d9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534" w:customStyle="1">
    <w:name w:val="xl24560"/>
    <w:basedOn w:val="809"/>
    <w:pPr>
      <w:jc w:val="center"/>
      <w:spacing w:before="100" w:beforeAutospacing="1" w:after="100" w:afterAutospacing="1"/>
      <w:shd w:val="clear" w:color="000000" w:fill="d9d9d9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535" w:customStyle="1">
    <w:name w:val="xl24561"/>
    <w:basedOn w:val="809"/>
    <w:pPr>
      <w:jc w:val="center"/>
      <w:spacing w:before="100" w:beforeAutospacing="1" w:after="100" w:afterAutospacing="1"/>
      <w:shd w:val="clear" w:color="000000" w:fill="d9d9d9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536" w:customStyle="1">
    <w:name w:val="xl24562"/>
    <w:basedOn w:val="809"/>
    <w:pPr>
      <w:jc w:val="center"/>
      <w:spacing w:before="100" w:beforeAutospacing="1" w:after="100" w:afterAutospacing="1"/>
      <w:shd w:val="clear" w:color="000000" w:fill="d9d9d9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537" w:customStyle="1">
    <w:name w:val="xl24563"/>
    <w:basedOn w:val="8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character" w:styleId="1538" w:customStyle="1">
    <w:name w:val="apple-converted-space"/>
    <w:basedOn w:val="819"/>
    <w:rPr>
      <w:rFonts w:cs="Times New Roman"/>
    </w:rPr>
  </w:style>
  <w:style w:type="paragraph" w:styleId="1539" w:customStyle="1">
    <w:name w:val="_Об_Таблица"/>
    <w:basedOn w:val="1464"/>
    <w:link w:val="1540"/>
    <w:qFormat/>
    <w:pPr>
      <w:contextualSpacing w:val="0"/>
      <w:ind w:firstLine="0"/>
      <w:jc w:val="center"/>
      <w:spacing w:before="0" w:after="0" w:line="240" w:lineRule="auto"/>
    </w:pPr>
    <w:rPr>
      <w:rFonts w:eastAsia="Calibri"/>
      <w:sz w:val="20"/>
      <w:szCs w:val="20"/>
      <w:lang w:eastAsia="ru-RU"/>
    </w:rPr>
  </w:style>
  <w:style w:type="character" w:styleId="1540" w:customStyle="1">
    <w:name w:val="_Об_Таблица Знак"/>
    <w:link w:val="1539"/>
    <w:rPr>
      <w:rFonts w:eastAsia="Calibri"/>
      <w:iCs/>
      <w:sz w:val="20"/>
      <w:szCs w:val="20"/>
      <w:lang w:eastAsia="ru-RU"/>
    </w:rPr>
  </w:style>
  <w:style w:type="numbering" w:styleId="1541" w:customStyle="1">
    <w:name w:val="Стиль2"/>
    <w:uiPriority w:val="99"/>
    <w:pPr>
      <w:numPr>
        <w:ilvl w:val="0"/>
        <w:numId w:val="11"/>
      </w:numPr>
    </w:pPr>
  </w:style>
  <w:style w:type="paragraph" w:styleId="1542" w:customStyle="1">
    <w:name w:val="Нормальный (таблица)"/>
    <w:basedOn w:val="809"/>
    <w:next w:val="809"/>
    <w:pPr>
      <w:jc w:val="both"/>
      <w:widowControl w:val="off"/>
    </w:pPr>
    <w:rPr>
      <w:rFonts w:ascii="Arial" w:hAnsi="Arial"/>
    </w:rPr>
  </w:style>
  <w:style w:type="paragraph" w:styleId="1543" w:customStyle="1">
    <w:name w:val="_Список нумерованный"/>
    <w:basedOn w:val="1464"/>
    <w:pPr>
      <w:numPr>
        <w:ilvl w:val="0"/>
        <w:numId w:val="12"/>
      </w:numPr>
      <w:contextualSpacing w:val="0"/>
      <w:ind w:left="1069"/>
      <w:spacing w:before="0" w:after="0"/>
      <w:tabs>
        <w:tab w:val="left" w:pos="284" w:leader="none"/>
      </w:tabs>
    </w:pPr>
    <w:rPr>
      <w:rFonts w:ascii="Arial" w:hAnsi="Arial"/>
      <w:iCs w:val="0"/>
    </w:rPr>
  </w:style>
  <w:style w:type="paragraph" w:styleId="1544" w:customStyle="1">
    <w:name w:val="_Обычный_табл_10пт_по центу"/>
    <w:basedOn w:val="809"/>
    <w:link w:val="1545"/>
    <w:qFormat/>
    <w:pPr>
      <w:jc w:val="center"/>
    </w:pPr>
    <w:rPr>
      <w:rFonts w:eastAsiaTheme="minorHAnsi"/>
      <w:iCs/>
      <w:sz w:val="20"/>
      <w:szCs w:val="20"/>
      <w:lang w:eastAsia="en-US"/>
    </w:rPr>
  </w:style>
  <w:style w:type="character" w:styleId="1545" w:customStyle="1">
    <w:name w:val="_Обычный_табл_10пт_по центу Знак"/>
    <w:basedOn w:val="819"/>
    <w:link w:val="1544"/>
    <w:rPr>
      <w:iCs/>
      <w:sz w:val="20"/>
      <w:szCs w:val="20"/>
    </w:rPr>
  </w:style>
  <w:style w:type="paragraph" w:styleId="1546" w:customStyle="1">
    <w:name w:val="_Таблица_по центру"/>
    <w:basedOn w:val="809"/>
    <w:next w:val="809"/>
    <w:link w:val="1547"/>
    <w:qFormat/>
    <w:pPr>
      <w:contextualSpacing/>
      <w:jc w:val="center"/>
    </w:pPr>
    <w:rPr>
      <w:rFonts w:eastAsiaTheme="minorHAnsi"/>
      <w:iCs/>
      <w:sz w:val="20"/>
      <w:szCs w:val="20"/>
    </w:rPr>
  </w:style>
  <w:style w:type="character" w:styleId="1547" w:customStyle="1">
    <w:name w:val="_Таблица_по центру Знак"/>
    <w:basedOn w:val="819"/>
    <w:link w:val="1546"/>
    <w:rPr>
      <w:iCs/>
      <w:sz w:val="20"/>
      <w:szCs w:val="20"/>
      <w:lang w:eastAsia="ru-RU"/>
    </w:rPr>
  </w:style>
  <w:style w:type="paragraph" w:styleId="1548" w:customStyle="1">
    <w:name w:val="_абзац"/>
    <w:basedOn w:val="809"/>
    <w:link w:val="1549"/>
    <w:pPr>
      <w:ind w:firstLine="567"/>
      <w:jc w:val="both"/>
      <w:spacing w:line="360" w:lineRule="auto"/>
      <w:widowControl w:val="off"/>
      <w:tabs>
        <w:tab w:val="left" w:pos="9356" w:leader="dot"/>
      </w:tabs>
      <w:suppressLineNumbers/>
    </w:pPr>
    <w:rPr>
      <w:sz w:val="26"/>
      <w:szCs w:val="20"/>
    </w:rPr>
  </w:style>
  <w:style w:type="character" w:styleId="1549" w:customStyle="1">
    <w:name w:val="_абзац Знак"/>
    <w:basedOn w:val="819"/>
    <w:link w:val="1548"/>
    <w:rPr>
      <w:rFonts w:eastAsia="Times New Roman"/>
      <w:sz w:val="26"/>
      <w:szCs w:val="20"/>
      <w:lang w:eastAsia="ru-RU"/>
    </w:rPr>
  </w:style>
  <w:style w:type="paragraph" w:styleId="1550" w:customStyle="1">
    <w:name w:val="_Подпись таблицы"/>
    <w:basedOn w:val="1464"/>
    <w:next w:val="1464"/>
    <w:link w:val="1551"/>
    <w:qFormat/>
    <w:pPr>
      <w:contextualSpacing w:val="0"/>
      <w:keepNext/>
      <w:spacing w:before="0" w:after="0" w:line="276" w:lineRule="auto"/>
    </w:pPr>
  </w:style>
  <w:style w:type="character" w:styleId="1551" w:customStyle="1">
    <w:name w:val="_Подпись таблицы Знак"/>
    <w:basedOn w:val="1463"/>
    <w:link w:val="1550"/>
    <w:rPr>
      <w:iCs/>
      <w:szCs w:val="26"/>
    </w:rPr>
  </w:style>
  <w:style w:type="paragraph" w:styleId="1552" w:customStyle="1">
    <w:name w:val="_Обычный_табл_10пт"/>
    <w:basedOn w:val="1464"/>
    <w:link w:val="1553"/>
    <w:pPr>
      <w:contextualSpacing w:val="0"/>
      <w:ind w:firstLine="0"/>
      <w:jc w:val="left"/>
      <w:spacing w:before="0" w:after="0" w:line="276" w:lineRule="auto"/>
    </w:pPr>
    <w:rPr>
      <w:sz w:val="20"/>
      <w:szCs w:val="20"/>
    </w:rPr>
  </w:style>
  <w:style w:type="character" w:styleId="1553" w:customStyle="1">
    <w:name w:val="_Обычный_табл_10пт Знак"/>
    <w:basedOn w:val="1463"/>
    <w:link w:val="1552"/>
    <w:rPr>
      <w:iCs/>
      <w:sz w:val="20"/>
      <w:szCs w:val="20"/>
    </w:rPr>
  </w:style>
  <w:style w:type="table" w:styleId="1554" w:customStyle="1">
    <w:name w:val="Table Grid Report1"/>
    <w:basedOn w:val="820"/>
    <w:next w:val="988"/>
    <w:uiPriority w:val="39"/>
    <w:pPr>
      <w:spacing w:after="0" w:line="240" w:lineRule="auto"/>
    </w:pPr>
    <w:rPr>
      <w:rFonts w:ascii="Arial" w:hAnsi="Arial" w:cstheme="minorBid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28" w:type="dxa"/>
        <w:right w:w="28" w:type="dxa"/>
      </w:tblCellMar>
    </w:tblPr>
    <w:tcPr>
      <w:vAlign w:val="center"/>
    </w:tcPr>
  </w:style>
  <w:style w:type="character" w:styleId="1555">
    <w:name w:val="Emphasis"/>
    <w:basedOn w:val="819"/>
    <w:uiPriority w:val="20"/>
    <w:qFormat/>
    <w:rPr>
      <w:i/>
      <w:iCs/>
    </w:rPr>
  </w:style>
  <w:style w:type="character" w:styleId="1556" w:customStyle="1">
    <w:name w:val="inactive"/>
    <w:basedOn w:val="819"/>
  </w:style>
  <w:style w:type="paragraph" w:styleId="1557">
    <w:name w:val="TOC Heading"/>
    <w:basedOn w:val="810"/>
    <w:next w:val="809"/>
    <w:uiPriority w:val="39"/>
    <w:unhideWhenUsed/>
    <w:qFormat/>
    <w:pPr>
      <w:numPr>
        <w:ilvl w:val="0"/>
        <w:numId w:val="0"/>
      </w:numPr>
      <w:contextualSpacing w:val="0"/>
      <w:jc w:val="center"/>
      <w:keepLines/>
      <w:keepNext/>
      <w:outlineLvl w:val="9"/>
    </w:pPr>
    <w:rPr>
      <w:rFonts w:eastAsiaTheme="majorEastAsia" w:cstheme="majorBidi"/>
      <w:caps/>
      <w:szCs w:val="32"/>
      <w:lang w:eastAsia="ru-RU"/>
    </w:rPr>
  </w:style>
  <w:style w:type="character" w:styleId="1558" w:customStyle="1">
    <w:name w:val="Неразрешенное упоминание2"/>
    <w:basedOn w:val="819"/>
    <w:uiPriority w:val="99"/>
    <w:semiHidden/>
    <w:unhideWhenUsed/>
    <w:rPr>
      <w:color w:val="605e5c"/>
      <w:shd w:val="clear" w:color="auto" w:fill="e1dfdd"/>
    </w:rPr>
  </w:style>
  <w:style w:type="paragraph" w:styleId="1559" w:customStyle="1">
    <w:name w:val="align_center"/>
    <w:basedOn w:val="809"/>
    <w:pPr>
      <w:spacing w:before="100" w:beforeAutospacing="1" w:after="100" w:afterAutospacing="1"/>
    </w:pPr>
  </w:style>
  <w:style w:type="table" w:styleId="1560" w:customStyle="1">
    <w:name w:val="Normal Table2"/>
    <w:uiPriority w:val="2"/>
    <w:semiHidden/>
    <w:unhideWhenUsed/>
    <w:qFormat/>
    <w:pPr>
      <w:spacing w:after="0" w:line="240" w:lineRule="auto"/>
      <w:widowControl w:val="off"/>
    </w:pPr>
    <w:rPr>
      <w:rFonts w:ascii="Calibri" w:hAnsi="Calibri" w:eastAsia="Calibri" w:cs="Arial"/>
      <w:sz w:val="22"/>
      <w:szCs w:val="22"/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character" w:styleId="1561" w:customStyle="1">
    <w:name w:val="Неразрешенное упоминание10"/>
    <w:basedOn w:val="819"/>
    <w:uiPriority w:val="99"/>
    <w:semiHidden/>
    <w:unhideWhenUsed/>
    <w:rPr>
      <w:color w:val="605e5c"/>
      <w:shd w:val="clear" w:color="auto" w:fill="e1dfdd"/>
    </w:rPr>
  </w:style>
  <w:style w:type="character" w:styleId="1562" w:customStyle="1">
    <w:name w:val="Интернет-ссылка"/>
    <w:rPr>
      <w:color w:val="000080"/>
      <w:u w:val="single"/>
    </w:rPr>
  </w:style>
  <w:style w:type="paragraph" w:styleId="1563" w:customStyle="1">
    <w:name w:val="_Список маркерованный"/>
    <w:basedOn w:val="809"/>
    <w:link w:val="1564"/>
    <w:pPr>
      <w:contextualSpacing/>
      <w:jc w:val="both"/>
      <w:spacing w:line="276" w:lineRule="auto"/>
      <w:tabs>
        <w:tab w:val="left" w:pos="284" w:leader="none"/>
      </w:tabs>
    </w:pPr>
    <w:rPr>
      <w:iCs/>
      <w:color w:val="000000"/>
      <w:szCs w:val="26"/>
    </w:rPr>
  </w:style>
  <w:style w:type="character" w:styleId="1564" w:customStyle="1">
    <w:name w:val="_Список маркерованный Знак"/>
    <w:basedOn w:val="819"/>
    <w:link w:val="1563"/>
    <w:rPr>
      <w:rFonts w:eastAsia="Times New Roman"/>
      <w:iCs/>
      <w:color w:val="000000"/>
      <w:szCs w:val="26"/>
      <w:lang w:eastAsia="ru-RU"/>
    </w:rPr>
  </w:style>
  <w:style w:type="character" w:styleId="1565" w:customStyle="1">
    <w:name w:val="Неразрешенное упоминание2"/>
    <w:basedOn w:val="819"/>
    <w:uiPriority w:val="99"/>
    <w:semiHidden/>
    <w:unhideWhenUsed/>
    <w:rPr>
      <w:color w:val="605e5c"/>
      <w:shd w:val="clear" w:color="auto" w:fill="e1dfdd"/>
    </w:rPr>
  </w:style>
  <w:style w:type="paragraph" w:styleId="1566" w:customStyle="1">
    <w:name w:val="Осн текст"/>
    <w:basedOn w:val="809"/>
    <w:link w:val="1567"/>
    <w:pPr>
      <w:ind w:firstLine="709"/>
      <w:jc w:val="both"/>
      <w:spacing w:line="360" w:lineRule="auto"/>
    </w:pPr>
    <w:rPr>
      <w:rFonts w:eastAsiaTheme="minorHAnsi"/>
      <w:szCs w:val="28"/>
      <w:lang w:eastAsia="en-US"/>
    </w:rPr>
  </w:style>
  <w:style w:type="character" w:styleId="1567" w:customStyle="1">
    <w:name w:val="Осн текст Знак"/>
    <w:basedOn w:val="819"/>
    <w:link w:val="1566"/>
    <w:rPr>
      <w:szCs w:val="28"/>
    </w:rPr>
  </w:style>
  <w:style w:type="paragraph" w:styleId="1568" w:customStyle="1">
    <w:name w:val="продолжение табл"/>
    <w:basedOn w:val="809"/>
    <w:link w:val="1569"/>
    <w:pPr>
      <w:spacing w:after="120"/>
    </w:pPr>
  </w:style>
  <w:style w:type="character" w:styleId="1569" w:customStyle="1">
    <w:name w:val="продолжение табл Знак"/>
    <w:basedOn w:val="819"/>
    <w:link w:val="1568"/>
    <w:rPr>
      <w:rFonts w:eastAsia="Times New Roman"/>
      <w:lang w:eastAsia="ru-RU"/>
    </w:rPr>
  </w:style>
  <w:style w:type="paragraph" w:styleId="1570" w:customStyle="1">
    <w:name w:val="Стиль1 основной текст"/>
    <w:basedOn w:val="1464"/>
    <w:link w:val="1571"/>
    <w:qFormat/>
    <w:pPr>
      <w:contextualSpacing w:val="0"/>
      <w:spacing w:before="0" w:after="0" w:line="240" w:lineRule="auto"/>
    </w:pPr>
  </w:style>
  <w:style w:type="character" w:styleId="1571" w:customStyle="1">
    <w:name w:val="Стиль1 основной текст Знак"/>
    <w:basedOn w:val="1463"/>
    <w:link w:val="1570"/>
    <w:rPr>
      <w:iCs/>
      <w:szCs w:val="26"/>
    </w:rPr>
  </w:style>
  <w:style w:type="paragraph" w:styleId="1572" w:customStyle="1">
    <w:name w:val="formattext"/>
    <w:basedOn w:val="809"/>
    <w:pPr>
      <w:spacing w:before="100" w:beforeAutospacing="1" w:after="100" w:afterAutospacing="1"/>
    </w:pPr>
  </w:style>
  <w:style w:type="paragraph" w:styleId="1573" w:customStyle="1">
    <w:name w:val="???????? ????? ? ???????? 31"/>
    <w:basedOn w:val="809"/>
    <w:pPr>
      <w:ind w:left="1276" w:hanging="142"/>
      <w:jc w:val="both"/>
    </w:pPr>
    <w:rPr>
      <w:sz w:val="28"/>
      <w:szCs w:val="20"/>
    </w:rPr>
  </w:style>
  <w:style w:type="table" w:styleId="1574" w:customStyle="1">
    <w:name w:val="Table Normal"/>
    <w:uiPriority w:val="2"/>
    <w:semiHidden/>
    <w:unhideWhenUsed/>
    <w:qFormat/>
    <w:pPr>
      <w:spacing w:after="0" w:line="240" w:lineRule="auto"/>
      <w:widowControl w:val="off"/>
    </w:pPr>
    <w:rPr>
      <w:rFonts w:ascii="Calibri" w:hAnsi="Calibri" w:eastAsia="Calibri" w:cs="Arial"/>
      <w:sz w:val="22"/>
      <w:szCs w:val="22"/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character" w:styleId="1575" w:customStyle="1">
    <w:name w:val="Основной текст (2)_"/>
    <w:basedOn w:val="819"/>
    <w:rPr>
      <w:rFonts w:ascii="Tahoma" w:hAnsi="Tahoma" w:eastAsia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1576" w:customStyle="1">
    <w:name w:val="Основной текст (2) + 7 pt"/>
    <w:basedOn w:val="1575"/>
    <w:rPr>
      <w:rFonts w:ascii="Tahoma" w:hAnsi="Tahoma" w:eastAsia="Tahoma" w:cs="Tahoma"/>
      <w:b/>
      <w:bCs/>
      <w:i w:val="0"/>
      <w:iCs w:val="0"/>
      <w:smallCaps w:val="0"/>
      <w:strike w:val="0"/>
      <w:color w:val="000000"/>
      <w:spacing w:val="0"/>
      <w:position w:val="0"/>
      <w:sz w:val="14"/>
      <w:szCs w:val="14"/>
      <w:u w:val="none"/>
      <w:lang w:val="ru-RU" w:eastAsia="ru-RU" w:bidi="ru-RU"/>
    </w:rPr>
  </w:style>
  <w:style w:type="character" w:styleId="1577" w:customStyle="1">
    <w:name w:val="Основной текст (2) + 9 pt;Полужирный"/>
    <w:basedOn w:val="1575"/>
    <w:rPr>
      <w:rFonts w:ascii="Arial" w:hAnsi="Arial" w:eastAsia="Arial" w:cs="Arial"/>
      <w:b/>
      <w:bCs/>
      <w:i w:val="0"/>
      <w:iCs w:val="0"/>
      <w:smallCaps w:val="0"/>
      <w:strike w:val="0"/>
      <w:color w:val="000000"/>
      <w:spacing w:val="0"/>
      <w:position w:val="0"/>
      <w:sz w:val="18"/>
      <w:szCs w:val="18"/>
      <w:u w:val="none"/>
      <w:lang w:val="ru-RU" w:eastAsia="ru-RU" w:bidi="ru-RU"/>
    </w:rPr>
  </w:style>
  <w:style w:type="character" w:styleId="1578" w:customStyle="1">
    <w:name w:val="Основной текст (2) + 8 pt"/>
    <w:basedOn w:val="1575"/>
    <w:rPr>
      <w:rFonts w:ascii="Arial" w:hAnsi="Arial" w:eastAsia="Arial" w:cs="Arial"/>
      <w:b w:val="0"/>
      <w:bCs w:val="0"/>
      <w:i w:val="0"/>
      <w:iCs w:val="0"/>
      <w:smallCaps w:val="0"/>
      <w:strike w:val="0"/>
      <w:color w:val="000000"/>
      <w:spacing w:val="0"/>
      <w:position w:val="0"/>
      <w:sz w:val="16"/>
      <w:szCs w:val="16"/>
      <w:u w:val="none"/>
      <w:lang w:val="ru-RU" w:eastAsia="ru-RU" w:bidi="ru-RU"/>
    </w:rPr>
  </w:style>
  <w:style w:type="character" w:styleId="1579" w:customStyle="1">
    <w:name w:val="Основной текст (2) + 8;5 pt;Полужирный"/>
    <w:basedOn w:val="1575"/>
    <w:rPr>
      <w:rFonts w:ascii="Tahoma" w:hAnsi="Tahoma" w:eastAsia="Tahoma" w:cs="Tahoma"/>
      <w:b/>
      <w:bCs/>
      <w:i w:val="0"/>
      <w:iCs w:val="0"/>
      <w:smallCaps w:val="0"/>
      <w:strike w:val="0"/>
      <w:color w:val="000000"/>
      <w:spacing w:val="0"/>
      <w:position w:val="0"/>
      <w:sz w:val="17"/>
      <w:szCs w:val="17"/>
      <w:u w:val="none"/>
      <w:lang w:val="ru-RU" w:eastAsia="ru-RU" w:bidi="ru-RU"/>
    </w:rPr>
  </w:style>
  <w:style w:type="character" w:styleId="1580" w:customStyle="1">
    <w:name w:val="Основной текст (2) + 8;5 pt"/>
    <w:basedOn w:val="1575"/>
    <w:rPr>
      <w:rFonts w:ascii="Tahoma" w:hAnsi="Tahoma" w:eastAsia="Tahoma" w:cs="Tahoma"/>
      <w:b w:val="0"/>
      <w:bCs w:val="0"/>
      <w:i w:val="0"/>
      <w:iCs w:val="0"/>
      <w:smallCaps w:val="0"/>
      <w:strike w:val="0"/>
      <w:color w:val="000000"/>
      <w:spacing w:val="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1581" w:customStyle="1">
    <w:name w:val="Default"/>
    <w:pPr>
      <w:spacing w:after="0" w:line="240" w:lineRule="auto"/>
    </w:pPr>
    <w:rPr>
      <w:color w:val="000000"/>
    </w:rPr>
  </w:style>
  <w:style w:type="character" w:styleId="1582" w:customStyle="1">
    <w:name w:val="_Выделение красным_12пт"/>
    <w:basedOn w:val="819"/>
    <w:uiPriority w:val="1"/>
    <w:rPr>
      <w:rFonts w:ascii="Times New Roman" w:hAnsi="Times New Roman" w:cs="Times New Roman"/>
      <w:b w:val="0"/>
      <w:i w:val="0"/>
      <w:iCs/>
      <w:color w:val="ff0000"/>
      <w:sz w:val="24"/>
      <w:szCs w:val="26"/>
      <w:u w:val="none"/>
    </w:rPr>
  </w:style>
  <w:style w:type="table" w:styleId="1583" w:customStyle="1">
    <w:name w:val="Таблица1"/>
    <w:basedOn w:val="820"/>
    <w:uiPriority w:val="99"/>
    <w:pPr>
      <w:jc w:val="center"/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b/>
        <w:i w:val="0"/>
        <w:sz w:val="20"/>
      </w:rPr>
      <w:trPr>
        <w:tblHeader/>
      </w:trPr>
    </w:tblStylePr>
  </w:style>
  <w:style w:type="table" w:styleId="1584" w:customStyle="1">
    <w:name w:val="Таблица2"/>
    <w:basedOn w:val="820"/>
    <w:uiPriority w:val="99"/>
    <w:pPr>
      <w:jc w:val="center"/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b/>
        <w:i w:val="0"/>
        <w:sz w:val="20"/>
      </w:rPr>
      <w:trPr>
        <w:tblHeader/>
      </w:trPr>
    </w:tblStylePr>
  </w:style>
  <w:style w:type="paragraph" w:styleId="1585" w:customStyle="1">
    <w:name w:val="ConsPlusNormal"/>
    <w:link w:val="1675"/>
    <w:pPr>
      <w:spacing w:after="0" w:line="240" w:lineRule="auto"/>
      <w:widowControl w:val="off"/>
    </w:pPr>
    <w:rPr>
      <w:rFonts w:ascii="Arial" w:hAnsi="Arial" w:cs="Arial" w:eastAsiaTheme="minorEastAsia"/>
      <w:sz w:val="20"/>
      <w:szCs w:val="22"/>
      <w:lang w:eastAsia="ru-RU"/>
    </w:rPr>
  </w:style>
  <w:style w:type="paragraph" w:styleId="1586" w:customStyle="1">
    <w:name w:val="xl215"/>
    <w:basedOn w:val="809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587" w:customStyle="1">
    <w:name w:val="xl216"/>
    <w:basedOn w:val="809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588" w:customStyle="1">
    <w:name w:val="xl217"/>
    <w:basedOn w:val="809"/>
    <w:pPr>
      <w:ind w:firstLine="200"/>
      <w:spacing w:before="100" w:beforeAutospacing="1" w:after="100" w:afterAutospacing="1"/>
      <w:shd w:val="clear" w:color="000000" w:fill="ddebf7"/>
      <w:pBdr>
        <w:top w:val="single" w:color="000000" w:sz="4" w:space="0"/>
        <w:left w:val="single" w:color="000000" w:sz="4" w:space="18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589" w:customStyle="1">
    <w:name w:val="xl218"/>
    <w:basedOn w:val="809"/>
    <w:pPr>
      <w:ind w:firstLine="200"/>
      <w:spacing w:before="100" w:beforeAutospacing="1" w:after="100" w:afterAutospacing="1"/>
      <w:shd w:val="clear" w:color="000000" w:fill="ddebf7"/>
      <w:pBdr>
        <w:top w:val="single" w:color="000000" w:sz="4" w:space="0"/>
        <w:left w:val="single" w:color="000000" w:sz="4" w:space="18"/>
        <w:bottom w:val="single" w:color="000000" w:sz="4" w:space="0"/>
        <w:right w:val="single" w:color="000000" w:sz="4" w:space="0"/>
      </w:pBdr>
    </w:pPr>
  </w:style>
  <w:style w:type="paragraph" w:styleId="1590" w:customStyle="1">
    <w:name w:val="xl219"/>
    <w:basedOn w:val="809"/>
    <w:pPr>
      <w:jc w:val="center"/>
      <w:spacing w:before="100" w:beforeAutospacing="1" w:after="100" w:afterAutospacing="1"/>
      <w:shd w:val="clear" w:color="000000" w:fill="ddebf7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</w:rPr>
  </w:style>
  <w:style w:type="paragraph" w:styleId="1591" w:customStyle="1">
    <w:name w:val="xl220"/>
    <w:basedOn w:val="809"/>
    <w:pPr>
      <w:jc w:val="center"/>
      <w:spacing w:before="100" w:beforeAutospacing="1" w:after="100" w:afterAutospacing="1"/>
      <w:shd w:val="clear" w:color="000000" w:fill="ddebf7"/>
      <w:pBdr>
        <w:left w:val="single" w:color="000000" w:sz="4" w:space="0"/>
        <w:right w:val="single" w:color="000000" w:sz="4" w:space="0"/>
      </w:pBdr>
    </w:pPr>
    <w:rPr>
      <w:color w:val="000000"/>
    </w:rPr>
  </w:style>
  <w:style w:type="paragraph" w:styleId="1592" w:customStyle="1">
    <w:name w:val="xl221"/>
    <w:basedOn w:val="809"/>
    <w:pPr>
      <w:jc w:val="center"/>
      <w:spacing w:before="100" w:beforeAutospacing="1" w:after="100" w:afterAutospacing="1"/>
      <w:shd w:val="clear" w:color="000000" w:fill="ddebf7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593" w:customStyle="1">
    <w:name w:val="xl222"/>
    <w:basedOn w:val="8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color w:val="000000"/>
    </w:rPr>
  </w:style>
  <w:style w:type="character" w:styleId="1594" w:customStyle="1">
    <w:name w:val="Другое_"/>
    <w:basedOn w:val="819"/>
    <w:link w:val="1595"/>
    <w:rPr>
      <w:rFonts w:ascii="Arial" w:hAnsi="Arial" w:eastAsia="Arial" w:cs="Arial"/>
      <w:shd w:val="clear" w:color="auto" w:fill="ffffff"/>
    </w:rPr>
  </w:style>
  <w:style w:type="paragraph" w:styleId="1595" w:customStyle="1">
    <w:name w:val="Другое"/>
    <w:basedOn w:val="809"/>
    <w:link w:val="1594"/>
    <w:qFormat/>
    <w:pPr>
      <w:shd w:val="clear" w:color="auto" w:fill="ffffff"/>
      <w:widowControl w:val="off"/>
    </w:pPr>
    <w:rPr>
      <w:rFonts w:ascii="Arial" w:hAnsi="Arial" w:eastAsia="Arial" w:cs="Arial"/>
      <w:lang w:eastAsia="en-US"/>
    </w:rPr>
  </w:style>
  <w:style w:type="paragraph" w:styleId="1596" w:customStyle="1">
    <w:name w:val="xl247"/>
    <w:basedOn w:val="809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597" w:customStyle="1">
    <w:name w:val="xl248"/>
    <w:basedOn w:val="809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598" w:customStyle="1">
    <w:name w:val="xl249"/>
    <w:basedOn w:val="809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599" w:customStyle="1">
    <w:name w:val="xl250"/>
    <w:basedOn w:val="809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600" w:customStyle="1">
    <w:name w:val="xl251"/>
    <w:basedOn w:val="809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601" w:customStyle="1">
    <w:name w:val="xl252"/>
    <w:basedOn w:val="809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602" w:customStyle="1">
    <w:name w:val="xl253"/>
    <w:basedOn w:val="8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603" w:customStyle="1">
    <w:name w:val="xl254"/>
    <w:basedOn w:val="809"/>
    <w:pPr>
      <w:jc w:val="center"/>
      <w:spacing w:before="100" w:beforeAutospacing="1" w:after="100" w:afterAutospacing="1"/>
      <w:shd w:val="clear" w:color="000000" w:fill="ddebf7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604" w:customStyle="1">
    <w:name w:val="xl255"/>
    <w:basedOn w:val="809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605" w:customStyle="1">
    <w:name w:val="xl256"/>
    <w:basedOn w:val="809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1606" w:customStyle="1">
    <w:name w:val="xl257"/>
    <w:basedOn w:val="809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607" w:customStyle="1">
    <w:name w:val="xl258"/>
    <w:basedOn w:val="809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608" w:customStyle="1">
    <w:name w:val="xl259"/>
    <w:basedOn w:val="809"/>
    <w:pPr>
      <w:jc w:val="center"/>
      <w:spacing w:before="100" w:beforeAutospacing="1" w:after="100" w:afterAutospacing="1"/>
      <w:shd w:val="clear" w:color="ddebf7" w:fill="ddebf7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609" w:customStyle="1">
    <w:name w:val="xl260"/>
    <w:basedOn w:val="809"/>
    <w:pPr>
      <w:jc w:val="center"/>
      <w:spacing w:before="100" w:beforeAutospacing="1" w:after="100" w:afterAutospacing="1"/>
      <w:shd w:val="clear" w:color="000000" w:fill="bdd7ee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1610" w:customStyle="1">
    <w:name w:val="xl261"/>
    <w:basedOn w:val="809"/>
    <w:pPr>
      <w:jc w:val="center"/>
      <w:spacing w:before="100" w:beforeAutospacing="1" w:after="100" w:afterAutospacing="1"/>
      <w:shd w:val="clear" w:color="ddebf7" w:fill="ddebf7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611" w:customStyle="1">
    <w:name w:val="xl262"/>
    <w:basedOn w:val="809"/>
    <w:pPr>
      <w:jc w:val="center"/>
      <w:spacing w:before="100" w:beforeAutospacing="1" w:after="100" w:afterAutospacing="1"/>
      <w:shd w:val="clear" w:color="000000" w:fill="bdd7e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612" w:customStyle="1">
    <w:name w:val="xl263"/>
    <w:basedOn w:val="809"/>
    <w:pPr>
      <w:jc w:val="center"/>
      <w:spacing w:before="100" w:beforeAutospacing="1" w:after="100" w:afterAutospacing="1"/>
      <w:shd w:val="clear" w:color="000000" w:fill="bdd7e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613" w:customStyle="1">
    <w:name w:val="xl264"/>
    <w:basedOn w:val="809"/>
    <w:pPr>
      <w:jc w:val="center"/>
      <w:spacing w:before="100" w:beforeAutospacing="1" w:after="100" w:afterAutospacing="1"/>
    </w:pPr>
    <w:rPr>
      <w:color w:val="000000"/>
    </w:rPr>
  </w:style>
  <w:style w:type="paragraph" w:styleId="1614" w:customStyle="1">
    <w:name w:val="xl265"/>
    <w:basedOn w:val="809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615" w:customStyle="1">
    <w:name w:val="xl266"/>
    <w:basedOn w:val="809"/>
    <w:pPr>
      <w:jc w:val="center"/>
      <w:spacing w:before="100" w:beforeAutospacing="1" w:after="100" w:afterAutospacing="1"/>
      <w:shd w:val="clear" w:color="ddebf7" w:fill="ddebf7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616" w:customStyle="1">
    <w:name w:val="xl267"/>
    <w:basedOn w:val="809"/>
    <w:pPr>
      <w:jc w:val="center"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1617" w:customStyle="1">
    <w:name w:val="xl268"/>
    <w:basedOn w:val="8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</w:rPr>
  </w:style>
  <w:style w:type="paragraph" w:styleId="1618" w:customStyle="1">
    <w:name w:val="xl269"/>
    <w:basedOn w:val="8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619" w:customStyle="1">
    <w:name w:val="xl270"/>
    <w:basedOn w:val="8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620" w:customStyle="1">
    <w:name w:val="xl271"/>
    <w:basedOn w:val="809"/>
    <w:pPr>
      <w:spacing w:before="100" w:beforeAutospacing="1" w:after="100" w:afterAutospacing="1"/>
    </w:pPr>
  </w:style>
  <w:style w:type="paragraph" w:styleId="1621" w:customStyle="1">
    <w:name w:val="xl272"/>
    <w:basedOn w:val="809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1622" w:customStyle="1">
    <w:name w:val="xl273"/>
    <w:basedOn w:val="8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</w:rPr>
  </w:style>
  <w:style w:type="paragraph" w:styleId="1623" w:customStyle="1">
    <w:name w:val="xl274"/>
    <w:basedOn w:val="8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</w:rPr>
  </w:style>
  <w:style w:type="paragraph" w:styleId="1624" w:customStyle="1">
    <w:name w:val="xl275"/>
    <w:basedOn w:val="8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625" w:customStyle="1">
    <w:name w:val="xl276"/>
    <w:basedOn w:val="8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626" w:customStyle="1">
    <w:name w:val="xl277"/>
    <w:basedOn w:val="809"/>
    <w:pPr>
      <w:spacing w:before="100" w:beforeAutospacing="1" w:after="100" w:afterAutospacing="1"/>
    </w:pPr>
    <w:rPr>
      <w:b/>
      <w:bCs/>
      <w:color w:val="000000"/>
    </w:rPr>
  </w:style>
  <w:style w:type="paragraph" w:styleId="1627" w:customStyle="1">
    <w:name w:val="xl278"/>
    <w:basedOn w:val="8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628" w:customStyle="1">
    <w:name w:val="xl279"/>
    <w:basedOn w:val="8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629" w:customStyle="1">
    <w:name w:val="xl280"/>
    <w:basedOn w:val="80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630" w:customStyle="1">
    <w:name w:val="xl281"/>
    <w:basedOn w:val="8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631" w:customStyle="1">
    <w:name w:val="xl282"/>
    <w:basedOn w:val="80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632" w:customStyle="1">
    <w:name w:val="xl283"/>
    <w:basedOn w:val="80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633" w:customStyle="1">
    <w:name w:val="xl284"/>
    <w:basedOn w:val="80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634" w:customStyle="1">
    <w:name w:val="xl285"/>
    <w:basedOn w:val="80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635" w:customStyle="1">
    <w:name w:val="xl286"/>
    <w:basedOn w:val="80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636" w:customStyle="1">
    <w:name w:val="xl287"/>
    <w:basedOn w:val="809"/>
    <w:pPr>
      <w:jc w:val="center"/>
      <w:spacing w:before="100" w:beforeAutospacing="1" w:after="100" w:afterAutospacing="1"/>
      <w:shd w:val="clear" w:color="000000" w:fill="bdd7e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637" w:customStyle="1">
    <w:name w:val="xl288"/>
    <w:basedOn w:val="809"/>
    <w:pPr>
      <w:jc w:val="center"/>
      <w:spacing w:before="100" w:beforeAutospacing="1" w:after="100" w:afterAutospacing="1"/>
      <w:shd w:val="clear" w:color="ddebf7" w:fill="bdd7e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638" w:customStyle="1">
    <w:name w:val="xl289"/>
    <w:basedOn w:val="809"/>
    <w:pPr>
      <w:jc w:val="center"/>
      <w:spacing w:before="100" w:beforeAutospacing="1" w:after="100" w:afterAutospacing="1"/>
      <w:shd w:val="clear" w:color="000000" w:fill="bdd7e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639" w:customStyle="1">
    <w:name w:val="xl290"/>
    <w:basedOn w:val="809"/>
    <w:pPr>
      <w:jc w:val="center"/>
      <w:spacing w:before="100" w:beforeAutospacing="1" w:after="100" w:afterAutospacing="1"/>
      <w:shd w:val="clear" w:color="000000" w:fill="bdd7ee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640" w:customStyle="1">
    <w:name w:val="xl291"/>
    <w:basedOn w:val="80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641" w:customStyle="1">
    <w:name w:val="xl292"/>
    <w:basedOn w:val="80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</w:rPr>
  </w:style>
  <w:style w:type="paragraph" w:styleId="1642" w:customStyle="1">
    <w:name w:val="xl293"/>
    <w:basedOn w:val="8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643" w:customStyle="1">
    <w:name w:val="xl294"/>
    <w:basedOn w:val="80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644" w:customStyle="1">
    <w:name w:val="xl295"/>
    <w:basedOn w:val="80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645" w:customStyle="1">
    <w:name w:val="xl296"/>
    <w:basedOn w:val="8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646" w:customStyle="1">
    <w:name w:val="xl297"/>
    <w:basedOn w:val="809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647" w:customStyle="1">
    <w:name w:val="xl298"/>
    <w:basedOn w:val="8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648" w:customStyle="1">
    <w:name w:val="xl299"/>
    <w:basedOn w:val="80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649" w:customStyle="1">
    <w:name w:val="xl300"/>
    <w:basedOn w:val="809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1650" w:customStyle="1">
    <w:name w:val="xl301"/>
    <w:basedOn w:val="8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651" w:customStyle="1">
    <w:name w:val="xl302"/>
    <w:basedOn w:val="8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1652" w:customStyle="1">
    <w:name w:val="xl303"/>
    <w:basedOn w:val="8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653" w:customStyle="1">
    <w:name w:val="xl304"/>
    <w:basedOn w:val="809"/>
    <w:pPr>
      <w:jc w:val="center"/>
      <w:spacing w:before="100" w:beforeAutospacing="1" w:after="100" w:afterAutospacing="1"/>
      <w:shd w:val="clear" w:color="000000" w:fill="548235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654" w:customStyle="1">
    <w:name w:val="xl305"/>
    <w:basedOn w:val="809"/>
    <w:pPr>
      <w:jc w:val="center"/>
      <w:spacing w:before="100" w:beforeAutospacing="1" w:after="100" w:afterAutospacing="1"/>
      <w:shd w:val="clear" w:color="000000" w:fill="548235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655" w:customStyle="1">
    <w:name w:val="xl306"/>
    <w:basedOn w:val="809"/>
    <w:pPr>
      <w:jc w:val="center"/>
      <w:spacing w:before="100" w:beforeAutospacing="1" w:after="100" w:afterAutospacing="1"/>
    </w:pPr>
  </w:style>
  <w:style w:type="paragraph" w:styleId="1656" w:customStyle="1">
    <w:name w:val="xl307"/>
    <w:basedOn w:val="809"/>
    <w:pPr>
      <w:jc w:val="center"/>
      <w:spacing w:before="100" w:beforeAutospacing="1" w:after="100" w:afterAutospacing="1"/>
      <w:shd w:val="clear" w:color="000000" w:fill="548235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657" w:customStyle="1">
    <w:name w:val="xl308"/>
    <w:basedOn w:val="809"/>
    <w:pPr>
      <w:jc w:val="center"/>
      <w:spacing w:before="100" w:beforeAutospacing="1" w:after="100" w:afterAutospacing="1"/>
      <w:shd w:val="clear" w:color="000000" w:fill="548235"/>
    </w:pPr>
  </w:style>
  <w:style w:type="paragraph" w:styleId="1658" w:customStyle="1">
    <w:name w:val="xl309"/>
    <w:basedOn w:val="809"/>
    <w:pPr>
      <w:jc w:val="center"/>
      <w:spacing w:before="100" w:beforeAutospacing="1" w:after="100" w:afterAutospacing="1"/>
    </w:pPr>
  </w:style>
  <w:style w:type="paragraph" w:styleId="1659" w:customStyle="1">
    <w:name w:val="Заголовок_5"/>
    <w:basedOn w:val="813"/>
    <w:link w:val="1660"/>
    <w:qFormat/>
    <w:pPr>
      <w:numPr>
        <w:ilvl w:val="0"/>
        <w:numId w:val="0"/>
      </w:numPr>
      <w:ind w:left="1783" w:hanging="648"/>
      <w:jc w:val="both"/>
      <w:tabs>
        <w:tab w:val="num" w:pos="0" w:leader="none"/>
        <w:tab w:val="left" w:pos="1560" w:leader="none"/>
      </w:tabs>
    </w:pPr>
    <w:rPr>
      <w:i w:val="0"/>
      <w:iCs/>
    </w:rPr>
  </w:style>
  <w:style w:type="character" w:styleId="1660" w:customStyle="1">
    <w:name w:val="Заголовок_5 Знак"/>
    <w:basedOn w:val="977"/>
    <w:link w:val="1659"/>
    <w:rPr>
      <w:b/>
      <w:i w:val="0"/>
      <w:iCs/>
    </w:rPr>
  </w:style>
  <w:style w:type="character" w:styleId="1661" w:customStyle="1">
    <w:name w:val="copyright-span"/>
    <w:basedOn w:val="819"/>
  </w:style>
  <w:style w:type="paragraph" w:styleId="1662" w:customStyle="1">
    <w:name w:val="Заголовок таблицы"/>
    <w:basedOn w:val="809"/>
    <w:link w:val="1664"/>
    <w:qFormat/>
    <w:pPr>
      <w:jc w:val="center"/>
      <w:spacing w:after="80"/>
    </w:pPr>
    <w:rPr>
      <w:rFonts w:ascii="Arial Narrow" w:hAnsi="Arial Narrow" w:eastAsiaTheme="minorHAnsi"/>
      <w:b/>
      <w:sz w:val="18"/>
      <w:szCs w:val="18"/>
      <w:lang w:eastAsia="en-US"/>
    </w:rPr>
  </w:style>
  <w:style w:type="paragraph" w:styleId="1663" w:customStyle="1">
    <w:name w:val="ОСНОВНОЙ"/>
    <w:basedOn w:val="809"/>
    <w:link w:val="1665"/>
    <w:pPr>
      <w:ind w:firstLine="567"/>
      <w:jc w:val="both"/>
      <w:spacing w:after="60"/>
    </w:pPr>
    <w:rPr>
      <w:color w:val="000000" w:themeColor="text1"/>
      <w:sz w:val="22"/>
      <w:szCs w:val="22"/>
    </w:rPr>
  </w:style>
  <w:style w:type="character" w:styleId="1664" w:customStyle="1">
    <w:name w:val="Заголовок таблицы Знак"/>
    <w:basedOn w:val="819"/>
    <w:link w:val="1662"/>
    <w:rPr>
      <w:rFonts w:ascii="Arial Narrow" w:hAnsi="Arial Narrow"/>
      <w:b/>
      <w:sz w:val="18"/>
      <w:szCs w:val="18"/>
    </w:rPr>
  </w:style>
  <w:style w:type="character" w:styleId="1665" w:customStyle="1">
    <w:name w:val="ОСНОВНОЙ Знак"/>
    <w:basedOn w:val="819"/>
    <w:link w:val="1663"/>
    <w:rPr>
      <w:rFonts w:eastAsia="Times New Roman"/>
      <w:color w:val="000000" w:themeColor="text1"/>
      <w:sz w:val="22"/>
      <w:szCs w:val="22"/>
      <w:lang w:eastAsia="ru-RU"/>
    </w:rPr>
  </w:style>
  <w:style w:type="character" w:styleId="1666" w:customStyle="1">
    <w:name w:val="search_result"/>
    <w:basedOn w:val="819"/>
    <w:rPr>
      <w:rFonts w:cs="Times New Roman"/>
    </w:rPr>
  </w:style>
  <w:style w:type="paragraph" w:styleId="1667" w:customStyle="1">
    <w:name w:val="Мой обычный"/>
    <w:basedOn w:val="809"/>
    <w:link w:val="1668"/>
    <w:pPr>
      <w:ind w:firstLine="567"/>
      <w:jc w:val="both"/>
      <w:spacing w:before="120" w:after="120"/>
    </w:pPr>
    <w:rPr>
      <w:szCs w:val="20"/>
    </w:rPr>
  </w:style>
  <w:style w:type="character" w:styleId="1668" w:customStyle="1">
    <w:name w:val="Мой обычный Знак"/>
    <w:basedOn w:val="819"/>
    <w:link w:val="1667"/>
    <w:rPr>
      <w:rFonts w:eastAsia="Times New Roman"/>
      <w:szCs w:val="20"/>
      <w:lang w:eastAsia="ru-RU"/>
    </w:rPr>
  </w:style>
  <w:style w:type="paragraph" w:styleId="1669" w:customStyle="1">
    <w:name w:val="Таблицы"/>
    <w:basedOn w:val="809"/>
    <w:link w:val="1670"/>
    <w:pPr>
      <w:jc w:val="center"/>
      <w:spacing w:before="120"/>
      <w:widowControl w:val="off"/>
    </w:pPr>
    <w:rPr>
      <w:b/>
      <w:szCs w:val="20"/>
    </w:rPr>
  </w:style>
  <w:style w:type="character" w:styleId="1670" w:customStyle="1">
    <w:name w:val="Таблицы Знак"/>
    <w:link w:val="1669"/>
    <w:rPr>
      <w:rFonts w:eastAsia="Times New Roman"/>
      <w:b/>
      <w:szCs w:val="20"/>
      <w:lang w:eastAsia="ru-RU"/>
    </w:rPr>
  </w:style>
  <w:style w:type="character" w:styleId="1671">
    <w:name w:val="page number"/>
    <w:basedOn w:val="819"/>
  </w:style>
  <w:style w:type="paragraph" w:styleId="1672" w:customStyle="1">
    <w:name w:val="Рисунки"/>
    <w:basedOn w:val="809"/>
    <w:link w:val="1673"/>
    <w:pPr>
      <w:jc w:val="center"/>
      <w:spacing w:after="120"/>
      <w:widowControl w:val="off"/>
    </w:pPr>
    <w:rPr>
      <w:b/>
      <w:szCs w:val="20"/>
    </w:rPr>
  </w:style>
  <w:style w:type="character" w:styleId="1673" w:customStyle="1">
    <w:name w:val="Рисунки Знак"/>
    <w:basedOn w:val="819"/>
    <w:link w:val="1672"/>
    <w:rPr>
      <w:rFonts w:eastAsia="Times New Roman"/>
      <w:b/>
      <w:szCs w:val="20"/>
      <w:lang w:eastAsia="ru-RU"/>
    </w:rPr>
  </w:style>
  <w:style w:type="paragraph" w:styleId="1674" w:customStyle="1">
    <w:name w:val="??????? (???)"/>
    <w:basedOn w:val="809"/>
    <w:pPr>
      <w:spacing w:before="100" w:after="119"/>
      <w:widowControl w:val="off"/>
    </w:pPr>
    <w:rPr>
      <w:szCs w:val="20"/>
    </w:rPr>
  </w:style>
  <w:style w:type="character" w:styleId="1675" w:customStyle="1">
    <w:name w:val="ConsPlusNormal Знак"/>
    <w:link w:val="1585"/>
    <w:rPr>
      <w:rFonts w:ascii="Arial" w:hAnsi="Arial" w:cs="Arial" w:eastAsiaTheme="minorEastAsia"/>
      <w:sz w:val="20"/>
      <w:szCs w:val="22"/>
      <w:lang w:eastAsia="ru-RU"/>
    </w:rPr>
  </w:style>
  <w:style w:type="paragraph" w:styleId="1676" w:customStyle="1">
    <w:name w:val="Название объекта - 1"/>
    <w:basedOn w:val="809"/>
    <w:next w:val="809"/>
    <w:qFormat/>
    <w:pPr>
      <w:ind w:firstLine="709"/>
      <w:jc w:val="both"/>
      <w:spacing w:before="60" w:after="60" w:line="288" w:lineRule="auto"/>
      <w:widowControl w:val="off"/>
    </w:pPr>
  </w:style>
  <w:style w:type="paragraph" w:styleId="1677" w:customStyle="1">
    <w:name w:val="Обычный (ПЗ)"/>
    <w:basedOn w:val="809"/>
    <w:qFormat/>
    <w:pPr>
      <w:ind w:firstLine="567"/>
      <w:jc w:val="both"/>
    </w:pPr>
    <w:rPr>
      <w:rFonts w:ascii="Arial" w:hAnsi="Arial"/>
      <w:b/>
      <w:szCs w:val="20"/>
    </w:rPr>
  </w:style>
  <w:style w:type="paragraph" w:styleId="1678" w:customStyle="1">
    <w:name w:val="3 заголовок"/>
    <w:basedOn w:val="812"/>
    <w:link w:val="1679"/>
    <w:pPr>
      <w:numPr>
        <w:ilvl w:val="0"/>
        <w:numId w:val="0"/>
      </w:numPr>
      <w:jc w:val="left"/>
      <w:keepLines/>
      <w:spacing w:before="240"/>
    </w:pPr>
    <w:rPr>
      <w:rFonts w:ascii="Cambria" w:hAnsi="Cambria"/>
      <w:color w:val="4f81bd"/>
      <w:sz w:val="22"/>
      <w:szCs w:val="22"/>
    </w:rPr>
  </w:style>
  <w:style w:type="character" w:styleId="1679" w:customStyle="1">
    <w:name w:val="3 заголовок Знак"/>
    <w:link w:val="1678"/>
    <w:rPr>
      <w:rFonts w:ascii="Cambria" w:hAnsi="Cambria" w:cstheme="minorBidi"/>
      <w:b/>
      <w:color w:val="4f81bd"/>
      <w:sz w:val="22"/>
      <w:szCs w:val="22"/>
    </w:rPr>
  </w:style>
  <w:style w:type="character" w:styleId="1680" w:customStyle="1">
    <w:name w:val="extendedtext-full"/>
    <w:basedOn w:val="819"/>
  </w:style>
  <w:style w:type="character" w:styleId="1681" w:customStyle="1">
    <w:name w:val="w"/>
    <w:basedOn w:val="819"/>
  </w:style>
  <w:style w:type="paragraph" w:styleId="1682" w:customStyle="1">
    <w:name w:val="основной текст"/>
    <w:basedOn w:val="809"/>
    <w:pPr>
      <w:ind w:firstLine="851"/>
      <w:jc w:val="both"/>
      <w:spacing w:after="120"/>
    </w:pPr>
    <w:rPr>
      <w:rFonts w:ascii="Arial" w:hAnsi="Arial"/>
      <w:sz w:val="28"/>
      <w:szCs w:val="20"/>
    </w:rPr>
  </w:style>
  <w:style w:type="paragraph" w:styleId="1683" w:customStyle="1">
    <w:name w:val="заголовок 9"/>
    <w:basedOn w:val="809"/>
    <w:next w:val="809"/>
    <w:uiPriority w:val="99"/>
    <w:qFormat/>
    <w:pPr>
      <w:jc w:val="center"/>
      <w:keepNext/>
    </w:pPr>
    <w:rPr>
      <w:szCs w:val="20"/>
    </w:rPr>
  </w:style>
  <w:style w:type="paragraph" w:styleId="1684" w:customStyle="1">
    <w:name w:val="Style70"/>
    <w:basedOn w:val="809"/>
    <w:uiPriority w:val="99"/>
    <w:pPr>
      <w:ind w:firstLine="168"/>
      <w:spacing w:line="211" w:lineRule="exact"/>
      <w:widowControl w:val="off"/>
    </w:pPr>
    <w:rPr>
      <w:rFonts w:ascii="Arial" w:hAnsi="Arial" w:cs="Arial" w:eastAsiaTheme="minorEastAsia"/>
    </w:rPr>
  </w:style>
  <w:style w:type="paragraph" w:styleId="1685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sz w:val="22"/>
      <w:szCs w:val="22"/>
      <w:lang w:eastAsia="ru-RU"/>
    </w:rPr>
  </w:style>
  <w:style w:type="paragraph" w:styleId="1686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2"/>
      <w:lang w:eastAsia="ru-RU"/>
    </w:rPr>
  </w:style>
  <w:style w:type="paragraph" w:styleId="1687" w:customStyle="1">
    <w:name w:val="font1"/>
    <w:basedOn w:val="809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styleId="1688" w:customStyle="1">
    <w:name w:val="font9"/>
    <w:basedOn w:val="80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689" w:customStyle="1">
    <w:name w:val="font10"/>
    <w:basedOn w:val="80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character" w:styleId="1690" w:customStyle="1">
    <w:name w:val="Body Text Keep Char"/>
    <w:link w:val="1691"/>
    <w:rPr>
      <w:rFonts w:eastAsia="Times New Roman"/>
      <w:spacing w:val="-5"/>
    </w:rPr>
  </w:style>
  <w:style w:type="paragraph" w:styleId="1691" w:customStyle="1">
    <w:name w:val="Body Text Keep"/>
    <w:basedOn w:val="809"/>
    <w:next w:val="1486"/>
    <w:link w:val="1690"/>
    <w:qFormat/>
    <w:pPr>
      <w:jc w:val="both"/>
      <w:spacing w:before="120" w:after="120"/>
    </w:pPr>
    <w:rPr>
      <w:spacing w:val="-5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hyperlink" Target="https://www.gorodperm.ru/upload/pages/458/2023/Prikaz__24-04-01-04-388_ot_28.12.2023.pdf" TargetMode="External"/><Relationship Id="rId14" Type="http://schemas.openxmlformats.org/officeDocument/2006/relationships/chart" Target="charts/chart1.xml" /><Relationship Id="rId15" Type="http://schemas.openxmlformats.org/officeDocument/2006/relationships/chart" Target="charts/chart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charts/_rels/chart1.xml.rels><?xml version="1.0" encoding="UTF-8" standalone="yes"?><Relationships xmlns="http://schemas.openxmlformats.org/package/2006/relationships"><Relationship Id="rId1" Type="http://schemas.openxmlformats.org/officeDocument/2006/relationships/themeOverride" Target="../theme/themeOverride1.xml" /><Relationship Id="rId2" Type="http://schemas.openxmlformats.org/officeDocument/2006/relationships/package" Target="../embeddings/Microsoft_Excel_Worksheet1.xlsx" /></Relationships>
</file>

<file path=word/charts/_rels/chart2.xml.rels><?xml version="1.0" encoding="UTF-8" standalone="yes"?><Relationships xmlns="http://schemas.openxmlformats.org/package/2006/relationships"><Relationship Id="rId1" Type="http://schemas.openxmlformats.org/officeDocument/2006/relationships/themeOverride" Target="../theme/themeOverride1.xml" /><Relationship Id="rId2" Type="http://schemas.openxmlformats.org/officeDocument/2006/relationships/package" Target="../embeddings/Microsoft_Excel_Worksheet2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spc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/>
                <a:cs typeface="Times New Roman"/>
              </a:rPr>
              <a:t>Потребность в капитальных вложениях</a:t>
            </a:r>
            <a:endParaRPr/>
          </a:p>
        </c:rich>
      </c:tx>
      <c:layout>
        <c:manualLayout>
          <c:xMode val="edge"/>
          <c:yMode val="edge"/>
          <c:x val="0.305869"/>
          <c:y val="0.000000"/>
        </c:manualLayout>
      </c:layout>
      <c:overlay val="0"/>
      <c:spPr bwMode="auto">
        <a:prstGeom prst="rect">
          <a:avLst/>
        </a:prstGeom>
        <a:noFill/>
        <a:ln>
          <a:noFill/>
          <a:miter/>
        </a:ln>
        <a:effectLst/>
      </c:spPr>
    </c:title>
    <c:autoTitleDeleted val="0"/>
    <c:view3D>
      <c:rotX val="30"/>
      <c:rotY val="225"/>
      <c:depthPercent val="100"/>
      <c:rAngAx val="0"/>
    </c:view3D>
    <c:floor>
      <c:thickness val="0"/>
      <c:spPr bwMode="auto">
        <a:prstGeom prst="rect">
          <a:avLst/>
        </a:prstGeom>
        <a:noFill/>
        <a:ln>
          <a:noFill/>
        </a:ln>
        <a:effectLst/>
      </c:spPr>
    </c:floor>
    <c:sideWall>
      <c:thickness val="0"/>
      <c:spPr bwMode="auto">
        <a:prstGeom prst="rect">
          <a:avLst/>
        </a:prstGeom>
        <a:noFill/>
        <a:ln>
          <a:noFill/>
        </a:ln>
        <a:effectLst/>
      </c:spPr>
    </c:sideWall>
    <c:backWall>
      <c:thickness val="0"/>
      <c:spPr bwMode="auto">
        <a:prstGeom prst="rect">
          <a:avLst/>
        </a:prstGeom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0.000000"/>
          <c:y val="0.063892"/>
          <c:w val="1.000000"/>
          <c:h val="0.861720"/>
        </c:manualLayout>
      </c:layout>
      <c:pie3DChart>
        <c:varyColors val="1"/>
        <c:ser>
          <c:idx val="0"/>
          <c:order val="0"/>
          <c:tx>
            <c:strRef>
              <c:f>Источники!$D$320</c:f>
              <c:strCache>
                <c:ptCount val="1"/>
                <c:pt idx="0">
                  <c:v xml:space="preserve">Потребность в капитальных вложениях, в т.ч.:</c:v>
                </c:pt>
              </c:strCache>
            </c:strRef>
          </c:tx>
          <c:dPt>
            <c:idx val="0"/>
            <c:bubble3D val="0"/>
            <c:spPr bwMode="auto">
              <a:prstGeom prst="rect">
                <a:avLst/>
              </a:prstGeom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 bwMode="auto">
              <a:prstGeom prst="rect">
                <a:avLst/>
              </a:prstGeom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 bwMode="auto">
              <a:prstGeom prst="rect">
                <a:avLst/>
              </a:prstGeom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 bwMode="auto">
              <a:prstGeom prst="rect">
                <a:avLst/>
              </a:prstGeom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 bwMode="auto">
              <a:prstGeom prst="rect">
                <a:avLst/>
              </a:prstGeom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 bwMode="auto">
              <a:prstGeom prst="rect">
                <a:avLst/>
              </a:prstGeom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dLblPos val="bestFit"/>
              <c:layout>
                <c:manualLayout>
                  <c:x val="0.106844"/>
                  <c:y val="-0.192196"/>
                </c:manualLayout>
              </c:layout>
              <c:showBubbleSize val="0"/>
              <c:showCatName val="1"/>
              <c:showLegendKey val="0"/>
              <c:showPercent val="1"/>
              <c:showSerName val="0"/>
              <c:showVal val="0"/>
              <c:tx>
                <c:rich>
                  <a:bodyPr/>
                  <a:lstStyle/>
                  <a:p>
                    <a:pPr>
                      <a:defRPr/>
                    </a:pPr>
                    <a:fld id="{BEB5860C-947B-4A5A-9438-0F69E433E811}" type="CATEGORYNAME">
                      <a:rPr lang="ru-RU" sz="1000">
                        <a:latin typeface="Times New Roman"/>
                        <a:cs typeface="Times New Roman"/>
                      </a:rPr>
                      <a:t/>
                    </a:fld>
                    <a:br>
                      <a:rPr lang="ru-RU" sz="1000">
                        <a:latin typeface="Times New Roman"/>
                        <a:cs typeface="Times New Roman"/>
                      </a:rPr>
                    </a:br>
                    <a:fld id="{49B7327C-FA59-4A06-8C05-E030814D2A19}" type="PERCENTAGE">
                      <a:rPr lang="ru-RU" sz="1000">
                        <a:latin typeface="Times New Roman"/>
                        <a:cs typeface="Times New Roman"/>
                      </a:rPr>
                      <a:t/>
                    </a:fld>
                    <a:endParaRPr lang="ru-RU" sz="1000">
                      <a:latin typeface="Times New Roman"/>
                      <a:cs typeface="Times New Roman"/>
                    </a:endParaRPr>
                  </a:p>
                </c:rich>
              </c:tx>
              <c:extLst>
                <c:ext uri="{CE6537A1-D6FC-4f65-9D91-7224C49458BB}">
                  <c15:showDataLabelsRange val="0"/>
                </c:ext>
              </c:extLst>
            </c:dLbl>
            <c:dLbl>
              <c:idx val="1"/>
              <c:dLblPos val="bestFit"/>
              <c:layout>
                <c:manualLayout>
                  <c:x val="0.099101"/>
                  <c:y val="0.134105"/>
                </c:manualLayout>
              </c:layout>
              <c:showBubbleSize val="0"/>
              <c:showCatName val="1"/>
              <c:showLegendKey val="0"/>
              <c:showPercent val="1"/>
              <c:showSerName val="0"/>
              <c:showVal val="0"/>
              <c:tx>
                <c:rich>
                  <a:bodyPr/>
                  <a:lstStyle/>
                  <a:p>
                    <a:pPr>
                      <a:defRPr/>
                    </a:pPr>
                    <a:fld id="{891FB1A5-A8AB-40F6-99DC-B0CB0B4C6F12}" type="CATEGORYNAME">
                      <a:rPr lang="ru-RU" sz="1000">
                        <a:latin typeface="Times New Roman"/>
                        <a:cs typeface="Times New Roman"/>
                      </a:rPr>
                      <a:t/>
                    </a:fld>
                    <a:br>
                      <a:rPr lang="ru-RU" sz="1000">
                        <a:latin typeface="Times New Roman"/>
                        <a:cs typeface="Times New Roman"/>
                      </a:rPr>
                    </a:br>
                    <a:fld id="{E9284D40-F6B6-4869-A6C7-71A7F50E5D49}" type="PERCENTAGE">
                      <a:rPr lang="ru-RU" sz="1000">
                        <a:latin typeface="Times New Roman"/>
                        <a:cs typeface="Times New Roman"/>
                      </a:rPr>
                      <a:t/>
                    </a:fld>
                    <a:endParaRPr lang="ru-RU" sz="1000">
                      <a:latin typeface="Times New Roman"/>
                      <a:cs typeface="Times New Roman"/>
                    </a:endParaRPr>
                  </a:p>
                </c:rich>
              </c:tx>
              <c:extLst>
                <c:ext uri="{CE6537A1-D6FC-4f65-9D91-7224C49458BB}">
                  <c15:showDataLabelsRange val="0"/>
                </c:ext>
              </c:extLst>
            </c:dLbl>
            <c:dLbl>
              <c:idx val="2"/>
              <c:dLblPos val="bestFit"/>
              <c:layout>
                <c:manualLayout>
                  <c:x val="-0.175337"/>
                  <c:y val="-0.275129"/>
                </c:manualLayout>
              </c:layout>
              <c:showBubbleSize val="0"/>
              <c:showCatName val="1"/>
              <c:showLegendKey val="0"/>
              <c:showPercent val="1"/>
              <c:showSerName val="0"/>
              <c:showVal val="0"/>
              <c:tx>
                <c:rich>
                  <a:bodyPr/>
                  <a:lstStyle/>
                  <a:p>
                    <a:pPr>
                      <a:defRPr/>
                    </a:pPr>
                    <a:fld id="{A1687DCA-663B-4D55-9C56-D7833114C4CC}" type="CATEGORYNAME">
                      <a:rPr lang="ru-RU" sz="1000">
                        <a:latin typeface="Times New Roman"/>
                        <a:cs typeface="Times New Roman"/>
                      </a:rPr>
                      <a:t/>
                    </a:fld>
                    <a:br>
                      <a:rPr lang="ru-RU" sz="1000">
                        <a:latin typeface="Times New Roman"/>
                        <a:cs typeface="Times New Roman"/>
                      </a:rPr>
                    </a:br>
                    <a:fld id="{75D56BE0-F5A0-43C3-9B8C-554BAF526412}" type="PERCENTAGE">
                      <a:rPr lang="ru-RU" sz="1000">
                        <a:latin typeface="Times New Roman"/>
                        <a:cs typeface="Times New Roman"/>
                      </a:rPr>
                      <a:t/>
                    </a:fld>
                    <a:endParaRPr lang="ru-RU" sz="1000">
                      <a:latin typeface="Times New Roman"/>
                      <a:cs typeface="Times New Roman"/>
                    </a:endParaRPr>
                  </a:p>
                </c:rich>
              </c:tx>
              <c:extLst>
                <c:ext uri="{CE6537A1-D6FC-4f65-9D91-7224C49458BB}">
                  <c15:showDataLabelsRange val="0"/>
                </c:ext>
              </c:extLst>
            </c:dLbl>
            <c:dLbl>
              <c:idx val="3"/>
              <c:dLblPos val="bestFit"/>
              <c:layout>
                <c:manualLayout>
                  <c:x val="0.143133"/>
                  <c:y val="-0.003454"/>
                </c:manualLayout>
              </c:layout>
              <c:numFmt formatCode="0.0%" sourceLinked="0"/>
              <c:showBubbleSize val="0"/>
              <c:showCatName val="1"/>
              <c:showLegendKey val="0"/>
              <c:showPercent val="1"/>
              <c:showSerName val="0"/>
              <c:showVal val="0"/>
              <c:spPr bwMode="auto">
                <a:prstGeom prst="rect">
                  <a:avLst/>
                </a:prstGeom>
                <a:noFill/>
                <a:ln>
                  <a:noFill/>
                </a:ln>
                <a:effectLst/>
              </c:spPr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>
                        <a:solidFill>
                          <a:sysClr val="windowText" lastClr="000000"/>
                        </a:solidFill>
                        <a:latin typeface="Times New Roman"/>
                        <a:ea typeface="+mn-ea"/>
                        <a:cs typeface="Times New Roman"/>
                      </a:defRPr>
                    </a:pPr>
                    <a:fld id="{94C5C500-6DB8-4158-ADA9-EB765A1E5790}" type="CATEGORYNAME">
                      <a:rPr lang="ru-RU" sz="1000">
                        <a:latin typeface="Times New Roman"/>
                        <a:cs typeface="Times New Roman"/>
                      </a:rPr>
                      <a:t/>
                    </a:fld>
                    <a:br>
                      <a:rPr lang="ru-RU" sz="1000">
                        <a:latin typeface="Times New Roman"/>
                        <a:cs typeface="Times New Roman"/>
                      </a:rPr>
                    </a:br>
                    <a:fld id="{711E53EB-C02C-4378-AA68-3045F84B600E}" type="PERCENTAGE">
                      <a:rPr lang="ru-RU" sz="1000">
                        <a:latin typeface="Times New Roman"/>
                        <a:cs typeface="Times New Roman"/>
                      </a:rPr>
                      <a:t/>
                    </a:fld>
                    <a:endParaRPr lang="ru-RU" sz="1000">
                      <a:latin typeface="Times New Roman"/>
                      <a:cs typeface="Times New Roman"/>
                    </a:endParaRPr>
                  </a:p>
                </c:rich>
              </c:tx>
              <c:extLst>
                <c:ext uri="{CE6537A1-D6FC-4f65-9D91-7224C49458BB}">
                  <c15:showDataLabelsRange val="0"/>
                </c:ext>
              </c:extLst>
            </c:dLbl>
            <c:dLbl>
              <c:idx val="4"/>
              <c:dLblPos val="bestFit"/>
              <c:layout>
                <c:manualLayout>
                  <c:x val="-0.096522"/>
                  <c:y val="-0.059946"/>
                </c:manualLayout>
              </c:layout>
              <c:numFmt formatCode="0.0%" sourceLinked="0"/>
              <c:showBubbleSize val="0"/>
              <c:showCatName val="1"/>
              <c:showLegendKey val="0"/>
              <c:showPercent val="1"/>
              <c:showSerName val="0"/>
              <c:showVal val="0"/>
              <c:spPr bwMode="auto">
                <a:prstGeom prst="rect">
                  <a:avLst/>
                </a:prstGeom>
                <a:noFill/>
                <a:ln>
                  <a:noFill/>
                </a:ln>
                <a:effectLst/>
              </c:spPr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>
                        <a:solidFill>
                          <a:sysClr val="windowText" lastClr="000000"/>
                        </a:solidFill>
                        <a:latin typeface="Times New Roman"/>
                        <a:ea typeface="+mn-ea"/>
                        <a:cs typeface="Times New Roman"/>
                      </a:defRPr>
                    </a:pPr>
                    <a:fld id="{4D615FAC-87CB-4F6C-8E70-3D6589841ED4}" type="CATEGORYNAME">
                      <a:rPr lang="ru-RU" sz="1000">
                        <a:latin typeface="Times New Roman"/>
                        <a:cs typeface="Times New Roman"/>
                      </a:rPr>
                      <a:t/>
                    </a:fld>
                    <a:br>
                      <a:rPr lang="ru-RU" sz="1000">
                        <a:latin typeface="Times New Roman"/>
                        <a:cs typeface="Times New Roman"/>
                      </a:rPr>
                    </a:br>
                    <a:fld id="{D471A7D1-301C-422C-B2E2-2949AAE3E2E7}" type="PERCENTAGE">
                      <a:rPr lang="ru-RU" sz="1000">
                        <a:latin typeface="Times New Roman"/>
                        <a:cs typeface="Times New Roman"/>
                      </a:rPr>
                      <a:t/>
                    </a:fld>
                    <a:endParaRPr lang="ru-RU" sz="1000">
                      <a:latin typeface="Times New Roman"/>
                      <a:cs typeface="Times New Roman"/>
                    </a:endParaRPr>
                  </a:p>
                </c:rich>
              </c:tx>
              <c:extLst>
                <c:ext uri="{CE6537A1-D6FC-4f65-9D91-7224C49458BB}">
                  <c15:showDataLabelsRange val="0"/>
                </c:ext>
              </c:extLst>
            </c:dLbl>
            <c:dLbl>
              <c:idx val="5"/>
              <c:dLblPos val="bestFit"/>
              <c:layout>
                <c:manualLayout>
                  <c:x val="0.145642"/>
                  <c:y val="-0.287449"/>
                </c:manualLayout>
              </c:layout>
              <c:numFmt formatCode="0.0%" sourceLinked="0"/>
              <c:showBubbleSize val="0"/>
              <c:showCatName val="1"/>
              <c:showLegendKey val="0"/>
              <c:showPercent val="1"/>
              <c:showSerName val="0"/>
              <c:showVal val="0"/>
              <c:spPr bwMode="auto">
                <a:prstGeom prst="rect">
                  <a:avLst/>
                </a:prstGeom>
                <a:noFill/>
                <a:ln>
                  <a:noFill/>
                </a:ln>
                <a:effectLst/>
              </c:spPr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>
                        <a:solidFill>
                          <a:sysClr val="windowText" lastClr="000000"/>
                        </a:solidFill>
                        <a:latin typeface="Times New Roman"/>
                        <a:ea typeface="+mn-ea"/>
                        <a:cs typeface="Times New Roman"/>
                      </a:defRPr>
                    </a:pPr>
                    <a:fld id="{0BE2DA90-9DE2-4A53-AC76-F13C64A510B5}" type="CATEGORYNAME">
                      <a:rPr lang="ru-RU" sz="1000">
                        <a:latin typeface="Times New Roman"/>
                        <a:cs typeface="Times New Roman"/>
                      </a:rPr>
                      <a:t/>
                    </a:fld>
                    <a:br>
                      <a:rPr lang="ru-RU" sz="1000">
                        <a:latin typeface="Times New Roman"/>
                        <a:cs typeface="Times New Roman"/>
                      </a:rPr>
                    </a:br>
                    <a:fld id="{5ED67458-B4D9-402A-9307-AEDC49E68603}" type="PERCENTAGE">
                      <a:rPr lang="ru-RU" sz="1000">
                        <a:latin typeface="Times New Roman"/>
                        <a:cs typeface="Times New Roman"/>
                      </a:rPr>
                      <a:t/>
                    </a:fld>
                    <a:endParaRPr lang="ru-RU" sz="1000">
                      <a:latin typeface="Times New Roman"/>
                      <a:cs typeface="Times New Roman"/>
                    </a:endParaRPr>
                  </a:p>
                </c:rich>
              </c:tx>
              <c:extLst>
                <c:ext uri="{CE6537A1-D6FC-4f65-9D91-7224C49458BB}">
                  <c15:showDataLabelsRange val="0"/>
                </c:ext>
              </c:extLst>
            </c:dLbl>
            <c:dLblPos val="bestFit"/>
            <c:leaderLines>
              <c:spPr bwMode="auto">
                <a:prstGeom prst="rect">
                  <a:avLst/>
                </a:prstGeom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numFmt formatCode="0.0%" sourceLinked="0"/>
            <c:showBubbleSize val="0"/>
            <c:showCatName val="1"/>
            <c:showLeaderLines val="1"/>
            <c:showLegendKey val="0"/>
            <c:showPercent val="1"/>
            <c:showSerName val="0"/>
            <c:showVal val="0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>
                    <a:solidFill>
                      <a:sysClr val="windowText" lastClr="000000"/>
                    </a:solidFill>
                    <a:latin typeface="Times New Roman"/>
                    <a:ea typeface="+mn-ea"/>
                    <a:cs typeface="Times New Roman"/>
                  </a:defRPr>
                </a:pPr>
                <a:endParaRPr lang="ru-RU"/>
              </a:p>
            </c:txPr>
          </c:dLbls>
          <c:cat>
            <c:strRef>
              <c:f>(Источники!$C$320,Источники!$C$326,Источники!$C$332,Источники!$C$338,Источники!$C$344,Источники!$C$350)</c:f>
              <c:strCache>
                <c:ptCount val="6"/>
                <c:pt idx="0">
                  <c:v xml:space="preserve">Система теплоснабжения</c:v>
                </c:pt>
                <c:pt idx="1">
                  <c:v xml:space="preserve">Система водоснабжения</c:v>
                </c:pt>
                <c:pt idx="2">
                  <c:v xml:space="preserve">Система водоотведения</c:v>
                </c:pt>
                <c:pt idx="3">
                  <c:v xml:space="preserve">Система электроснабжения</c:v>
                </c:pt>
                <c:pt idx="4">
                  <c:v xml:space="preserve">Система газоснабжения</c:v>
                </c:pt>
                <c:pt idx="5">
                  <c:v xml:space="preserve">Система обращения с ТКО</c:v>
                </c:pt>
              </c:strCache>
            </c:strRef>
          </c:cat>
          <c:val>
            <c:numRef>
              <c:f>(Источники!$M$320,Источники!$M$326,Источники!$M$332,Источники!$M$338,Источники!$M$344,Источники!$M$350)</c:f>
              <c:numCache>
                <c:formatCode xml:space="preserve">#,##0;\ \-\ #;"-";\ @</c:formatCode>
                <c:ptCount val="6"/>
                <c:pt idx="0">
                  <c:v>31880264.998614483</c:v>
                </c:pt>
                <c:pt idx="1">
                  <c:v>58921579.532623455</c:v>
                </c:pt>
                <c:pt idx="2">
                  <c:v>61666674.814128205</c:v>
                </c:pt>
                <c:pt idx="3">
                  <c:v>4418601.891122857</c:v>
                </c:pt>
                <c:pt idx="4">
                  <c:v>1223245</c:v>
                </c:pt>
                <c:pt idx="5">
                  <c:v>10946660.636634933</c:v>
                </c:pt>
              </c:numCache>
            </c:numRef>
          </c:val>
        </c:ser>
        <c:dLbls>
          <c:showBubbleSize val="0"/>
          <c:showCatName val="1"/>
          <c:showLeaderLines val="1"/>
          <c:showLegendKey val="0"/>
          <c:showPercent val="1"/>
          <c:showSerName val="0"/>
          <c:showVal val="0"/>
        </c:dLbls>
      </c:pie3DChart>
      <c:spPr bwMode="auto">
        <a:prstGeom prst="rect">
          <a:avLst/>
        </a:prstGeom>
        <a:noFill/>
        <a:ln>
          <a:noFill/>
        </a:ln>
        <a:effectLst/>
      </c:spPr>
    </c:plotArea>
    <c:plotVisOnly val="1"/>
    <c:dispBlanksAs val="gap"/>
    <c:showDLblsOverMax val="0"/>
  </c:chart>
  <c:spPr bwMode="auto"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spc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/>
                <a:cs typeface="Times New Roman"/>
              </a:rPr>
              <a:t>Источники финансирования</a:t>
            </a:r>
            <a:endParaRPr/>
          </a:p>
        </c:rich>
      </c:tx>
      <c:layout/>
      <c:overlay val="0"/>
      <c:spPr bwMode="auto">
        <a:prstGeom prst="rect">
          <a:avLst/>
        </a:prstGeom>
        <a:noFill/>
        <a:ln>
          <a:noFill/>
          <a:miter/>
        </a:ln>
        <a:effectLst/>
      </c:spPr>
    </c:title>
    <c:autoTitleDeleted val="0"/>
    <c:view3D>
      <c:rotX val="30"/>
      <c:rotY val="130"/>
      <c:depthPercent val="100"/>
      <c:rAngAx val="0"/>
    </c:view3D>
    <c:floor>
      <c:thickness val="0"/>
      <c:spPr bwMode="auto">
        <a:prstGeom prst="rect">
          <a:avLst/>
        </a:prstGeom>
        <a:noFill/>
        <a:ln>
          <a:noFill/>
        </a:ln>
        <a:effectLst/>
      </c:spPr>
    </c:floor>
    <c:sideWall>
      <c:thickness val="0"/>
      <c:spPr bwMode="auto">
        <a:prstGeom prst="rect">
          <a:avLst/>
        </a:prstGeom>
        <a:noFill/>
        <a:ln>
          <a:noFill/>
        </a:ln>
        <a:effectLst/>
      </c:spPr>
    </c:sideWall>
    <c:backWall>
      <c:thickness val="0"/>
      <c:spPr bwMode="auto">
        <a:prstGeom prst="rect">
          <a:avLst/>
        </a:prstGeom>
        <a:noFill/>
        <a:ln>
          <a:noFill/>
        </a:ln>
        <a:effectLst/>
      </c:spPr>
    </c:backWall>
    <c:plotArea>
      <c:layout/>
      <c:pie3DChart>
        <c:varyColors val="1"/>
        <c:ser>
          <c:idx val="0"/>
          <c:order val="0"/>
          <c:tx>
            <c:strRef>
              <c:f>Источники!$D$320</c:f>
              <c:strCache>
                <c:ptCount val="1"/>
                <c:pt idx="0">
                  <c:v xml:space="preserve">Потребность в капитальных вложениях, в т.ч.:</c:v>
                </c:pt>
              </c:strCache>
            </c:strRef>
          </c:tx>
          <c:dPt>
            <c:idx val="0"/>
            <c:bubble3D val="0"/>
            <c:spPr bwMode="auto">
              <a:prstGeom prst="rect">
                <a:avLst/>
              </a:prstGeom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 bwMode="auto">
              <a:prstGeom prst="rect">
                <a:avLst/>
              </a:prstGeom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 bwMode="auto">
              <a:prstGeom prst="rect">
                <a:avLst/>
              </a:prstGeom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 bwMode="auto">
              <a:prstGeom prst="rect">
                <a:avLst/>
              </a:prstGeom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 bwMode="auto">
              <a:prstGeom prst="rect">
                <a:avLst/>
              </a:prstGeom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076188"/>
                  <c:y val="-0.307859"/>
                </c:manualLayout>
              </c:layout>
              <c:numFmt formatCode="0.0%" sourceLinked="0"/>
              <c:showBubbleSize val="0"/>
              <c:showCatName val="1"/>
              <c:showLegendKey val="0"/>
              <c:showPercent val="1"/>
              <c:showSerName val="0"/>
              <c:showVal val="0"/>
              <c:spPr bwMode="auto">
                <a:prstGeom prst="rect">
                  <a:avLst/>
                </a:prstGeom>
                <a:noFill/>
                <a:ln>
                  <a:noFill/>
                </a:ln>
                <a:effectLst/>
              </c:spPr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>
                        <a:solidFill>
                          <a:sysClr val="windowText" lastClr="000000"/>
                        </a:solidFill>
                        <a:latin typeface="Times New Roman"/>
                        <a:ea typeface="+mn-ea"/>
                        <a:cs typeface="Times New Roman"/>
                      </a:defRPr>
                    </a:pPr>
                    <a:fld id="{6829C29C-022A-4E81-9EEE-05C704A2D377}" type="CATEGORYNAME">
                      <a:rPr lang="ru-RU" sz="1000">
                        <a:latin typeface="Times New Roman"/>
                        <a:cs typeface="Times New Roman"/>
                      </a:rPr>
                      <a:t/>
                    </a:fld>
                    <a:br>
                      <a:rPr lang="ru-RU" sz="1000">
                        <a:latin typeface="Times New Roman"/>
                        <a:cs typeface="Times New Roman"/>
                      </a:rPr>
                    </a:br>
                    <a:fld id="{FCC470D1-CBED-4D66-90E9-2FAFC7A74769}" type="PERCENTAGE">
                      <a:rPr lang="ru-RU" sz="1000">
                        <a:latin typeface="Times New Roman"/>
                        <a:cs typeface="Times New Roman"/>
                      </a:rPr>
                      <a:t/>
                    </a:fld>
                    <a:endParaRPr lang="ru-RU" sz="1000">
                      <a:latin typeface="Times New Roman"/>
                      <a:cs typeface="Times New Roman"/>
                    </a:endParaRPr>
                  </a:p>
                </c:rich>
              </c:tx>
              <c:extLst>
                <c:ext uri="{CE6537A1-D6FC-4f65-9D91-7224C49458BB}">
                  <c15:showDataLabelsRange val="0"/>
                </c:ext>
              </c:extLst>
            </c:dLbl>
            <c:dLbl>
              <c:idx val="1"/>
              <c:layout>
                <c:manualLayout>
                  <c:x val="0.000000"/>
                  <c:y val="-0.062297"/>
                </c:manualLayout>
              </c:layout>
              <c:numFmt formatCode="0.0%" sourceLinked="0"/>
              <c:showBubbleSize val="0"/>
              <c:showCatName val="1"/>
              <c:showLegendKey val="0"/>
              <c:showPercent val="1"/>
              <c:showSerName val="0"/>
              <c:showVal val="0"/>
              <c:spPr bwMode="auto">
                <a:prstGeom prst="rect">
                  <a:avLst/>
                </a:prstGeom>
                <a:noFill/>
                <a:ln>
                  <a:noFill/>
                </a:ln>
                <a:effectLst/>
              </c:spPr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>
                        <a:solidFill>
                          <a:sysClr val="windowText" lastClr="000000"/>
                        </a:solidFill>
                        <a:latin typeface="Times New Roman"/>
                        <a:ea typeface="+mn-ea"/>
                        <a:cs typeface="Times New Roman"/>
                      </a:defRPr>
                    </a:pPr>
                    <a:fld id="{8558E2CE-C413-4A75-8970-19D984D4B548}" type="CATEGORYNAME">
                      <a:rPr lang="ru-RU" sz="1000">
                        <a:latin typeface="Times New Roman"/>
                        <a:cs typeface="Times New Roman"/>
                      </a:rPr>
                      <a:t/>
                    </a:fld>
                    <a:br>
                      <a:rPr lang="ru-RU" sz="1000">
                        <a:latin typeface="Times New Roman"/>
                        <a:cs typeface="Times New Roman"/>
                      </a:rPr>
                    </a:br>
                    <a:fld id="{589D42E6-237D-4F03-9E24-288C0D9FDD87}" type="PERCENTAGE">
                      <a:rPr lang="ru-RU" sz="1000">
                        <a:latin typeface="Times New Roman"/>
                        <a:cs typeface="Times New Roman"/>
                      </a:rPr>
                      <a:t/>
                    </a:fld>
                    <a:endParaRPr lang="ru-RU" sz="1000">
                      <a:latin typeface="Times New Roman"/>
                      <a:cs typeface="Times New Roman"/>
                    </a:endParaRPr>
                  </a:p>
                </c:rich>
              </c:tx>
              <c:extLst>
                <c:ext uri="{CE6537A1-D6FC-4f65-9D91-7224C49458BB}">
                  <c15:showDataLabelsRange val="0"/>
                </c:ext>
              </c:extLst>
            </c:dLbl>
            <c:dLbl>
              <c:idx val="2"/>
              <c:layout>
                <c:manualLayout>
                  <c:x val="0.000553"/>
                  <c:y val="-0.108430"/>
                </c:manualLayout>
              </c:layout>
              <c:numFmt formatCode="0.0%" sourceLinked="0"/>
              <c:showBubbleSize val="0"/>
              <c:showCatName val="1"/>
              <c:showLegendKey val="0"/>
              <c:showPercent val="1"/>
              <c:showSerName val="0"/>
              <c:showVal val="0"/>
              <c:spPr bwMode="auto">
                <a:prstGeom prst="rect">
                  <a:avLst/>
                </a:prstGeom>
                <a:noFill/>
                <a:ln>
                  <a:noFill/>
                </a:ln>
                <a:effectLst/>
              </c:spPr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>
                        <a:solidFill>
                          <a:sysClr val="windowText" lastClr="000000"/>
                        </a:solidFill>
                        <a:latin typeface="Times New Roman"/>
                        <a:ea typeface="+mn-ea"/>
                        <a:cs typeface="Times New Roman"/>
                      </a:defRPr>
                    </a:pPr>
                    <a:fld id="{F899579D-6A55-4B23-81C6-D68DAD7D8F41}" type="CATEGORYNAME">
                      <a:rPr lang="ru-RU" sz="1000">
                        <a:latin typeface="Times New Roman"/>
                        <a:cs typeface="Times New Roman"/>
                      </a:rPr>
                      <a:t/>
                    </a:fld>
                    <a:br>
                      <a:rPr lang="ru-RU" sz="1000">
                        <a:latin typeface="Times New Roman"/>
                        <a:cs typeface="Times New Roman"/>
                      </a:rPr>
                    </a:br>
                    <a:fld id="{22F9954B-8AEF-455B-A3A9-7F201DA3D1BB}" type="PERCENTAGE">
                      <a:rPr lang="ru-RU" sz="1000">
                        <a:latin typeface="Times New Roman"/>
                        <a:cs typeface="Times New Roman"/>
                      </a:rPr>
                      <a:t/>
                    </a:fld>
                    <a:endParaRPr lang="ru-RU" sz="1000">
                      <a:latin typeface="Times New Roman"/>
                      <a:cs typeface="Times New Roman"/>
                    </a:endParaRPr>
                  </a:p>
                </c:rich>
              </c:tx>
              <c:extLst>
                <c:ext uri="{CE6537A1-D6FC-4f65-9D91-7224C49458BB}">
                  <c15:showDataLabelsRange val="0"/>
                </c:ext>
              </c:extLst>
            </c:dLbl>
            <c:dLbl>
              <c:idx val="3"/>
              <c:layout>
                <c:manualLayout>
                  <c:x val="0.000017"/>
                  <c:y val="-0.196226"/>
                </c:manualLayout>
              </c:layout>
              <c:numFmt formatCode="0.0%" sourceLinked="0"/>
              <c:showBubbleSize val="0"/>
              <c:showCatName val="1"/>
              <c:showLegendKey val="0"/>
              <c:showPercent val="1"/>
              <c:showSerName val="0"/>
              <c:showVal val="0"/>
              <c:spPr bwMode="auto">
                <a:prstGeom prst="rect">
                  <a:avLst/>
                </a:prstGeom>
                <a:noFill/>
                <a:ln>
                  <a:noFill/>
                </a:ln>
                <a:effectLst/>
              </c:spPr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>
                        <a:solidFill>
                          <a:sysClr val="windowText" lastClr="000000"/>
                        </a:solidFill>
                        <a:latin typeface="Times New Roman"/>
                        <a:ea typeface="+mn-ea"/>
                        <a:cs typeface="Times New Roman"/>
                      </a:defRPr>
                    </a:pPr>
                    <a:fld id="{A85170D2-3CB5-49D0-A99C-BD7BB51BE081}" type="CATEGORYNAME">
                      <a:rPr lang="ru-RU" sz="1000">
                        <a:latin typeface="Times New Roman"/>
                        <a:cs typeface="Times New Roman"/>
                      </a:rPr>
                      <a:t/>
                    </a:fld>
                    <a:br>
                      <a:rPr lang="ru-RU" sz="1000">
                        <a:latin typeface="Times New Roman"/>
                        <a:cs typeface="Times New Roman"/>
                      </a:rPr>
                    </a:br>
                    <a:fld id="{0882ECC9-BCEB-40B9-8A00-4908EED59F15}" type="PERCENTAGE">
                      <a:rPr lang="ru-RU" sz="1000">
                        <a:latin typeface="Times New Roman"/>
                        <a:cs typeface="Times New Roman"/>
                      </a:rPr>
                      <a:t/>
                    </a:fld>
                    <a:endParaRPr lang="ru-RU" sz="1000">
                      <a:latin typeface="Times New Roman"/>
                      <a:cs typeface="Times New Roman"/>
                    </a:endParaRPr>
                  </a:p>
                </c:rich>
              </c:tx>
              <c:extLst>
                <c:ext uri="{CE6537A1-D6FC-4f65-9D91-7224C49458BB}">
                  <c15:showDataLabelsRange val="0"/>
                </c:ext>
              </c:extLst>
            </c:dLbl>
            <c:dLbl>
              <c:idx val="4"/>
              <c:layout>
                <c:manualLayout>
                  <c:x val="-0.237369"/>
                  <c:y val="0.151210"/>
                </c:manualLayout>
              </c:layout>
              <c:numFmt formatCode="0.0%" sourceLinked="0"/>
              <c:showBubbleSize val="0"/>
              <c:showCatName val="1"/>
              <c:showLegendKey val="0"/>
              <c:showPercent val="1"/>
              <c:showSerName val="0"/>
              <c:showVal val="0"/>
              <c:spPr bwMode="auto">
                <a:prstGeom prst="rect">
                  <a:avLst/>
                </a:prstGeom>
                <a:noFill/>
                <a:ln>
                  <a:noFill/>
                </a:ln>
                <a:effectLst/>
              </c:spPr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>
                        <a:solidFill>
                          <a:sysClr val="windowText" lastClr="000000"/>
                        </a:solidFill>
                        <a:latin typeface="Times New Roman"/>
                        <a:ea typeface="+mn-ea"/>
                        <a:cs typeface="Times New Roman"/>
                      </a:defRPr>
                    </a:pPr>
                    <a:fld id="{1B0DCCF9-D7C9-4E7B-B93F-661D2E90A4B3}" type="CATEGORYNAME">
                      <a:rPr lang="ru-RU" sz="1000">
                        <a:latin typeface="Times New Roman"/>
                        <a:cs typeface="Times New Roman"/>
                      </a:rPr>
                      <a:t/>
                    </a:fld>
                    <a:br>
                      <a:rPr lang="ru-RU" sz="1000">
                        <a:latin typeface="Times New Roman"/>
                        <a:cs typeface="Times New Roman"/>
                      </a:rPr>
                    </a:br>
                    <a:fld id="{45B0446B-FF65-4ED1-AAAD-39D736E3F003}" type="PERCENTAGE">
                      <a:rPr lang="ru-RU" sz="1000">
                        <a:latin typeface="Times New Roman"/>
                        <a:cs typeface="Times New Roman"/>
                      </a:rPr>
                      <a:t/>
                    </a:fld>
                    <a:endParaRPr lang="ru-RU" sz="1000">
                      <a:latin typeface="Times New Roman"/>
                      <a:cs typeface="Times New Roman"/>
                    </a:endParaRPr>
                  </a:p>
                </c:rich>
              </c:tx>
              <c:extLst>
                <c:ext uri="{CE6537A1-D6FC-4f65-9D91-7224C49458BB}">
                  <c15:showDataLabelsRange val="0"/>
                </c:ext>
              </c:extLst>
            </c:dLbl>
            <c:leaderLines>
              <c:spPr bwMode="auto">
                <a:prstGeom prst="rect">
                  <a:avLst/>
                </a:prstGeom>
                <a:ln w="9525" cap="sq" cmpd="sng" algn="ctr">
                  <a:solidFill>
                    <a:sysClr val="windowText" lastClr="000000"/>
                  </a:solidFill>
                  <a:round/>
                </a:ln>
                <a:effectLst/>
              </c:spPr>
            </c:leaderLines>
            <c:numFmt formatCode="0.0%" sourceLinked="0"/>
            <c:showBubbleSize val="0"/>
            <c:showCatName val="1"/>
            <c:showLeaderLines val="1"/>
            <c:showLegendKey val="0"/>
            <c:showPercent val="1"/>
            <c:showSerName val="0"/>
            <c:showVal val="0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>
                    <a:solidFill>
                      <a:sysClr val="windowText" lastClr="000000"/>
                    </a:solidFill>
                    <a:latin typeface="Times New Roman"/>
                    <a:ea typeface="+mn-ea"/>
                    <a:cs typeface="Times New Roman"/>
                  </a:defRPr>
                </a:pPr>
                <a:endParaRPr lang="ru-RU"/>
              </a:p>
            </c:txPr>
          </c:dLbls>
          <c:cat>
            <c:strRef>
              <c:f>Источники!$D$321:$D$325</c:f>
              <c:strCache>
                <c:ptCount val="5"/>
                <c:pt idx="0">
                  <c:v xml:space="preserve">собственные/кредитные средства</c:v>
                </c:pt>
                <c:pt idx="1">
                  <c:v xml:space="preserve">плата за подключение</c:v>
                </c:pt>
                <c:pt idx="2">
                  <c:v xml:space="preserve">бюджеты различных уровней</c:v>
                </c:pt>
                <c:pt idx="3">
                  <c:v xml:space="preserve">прочие источники</c:v>
                </c:pt>
                <c:pt idx="4">
                  <c:v xml:space="preserve">источник не определен</c:v>
                </c:pt>
              </c:strCache>
            </c:strRef>
          </c:cat>
          <c:val>
            <c:numRef>
              <c:f>Источники!$M$357:$M$361</c:f>
              <c:numCache>
                <c:formatCode xml:space="preserve">#,##0;\ \-\ #;"-";\ @</c:formatCode>
                <c:ptCount val="5"/>
                <c:pt idx="0">
                  <c:v>42188012.733224615</c:v>
                </c:pt>
                <c:pt idx="1">
                  <c:v>21507333.95679856</c:v>
                </c:pt>
                <c:pt idx="2">
                  <c:v>7300204.386972161</c:v>
                </c:pt>
                <c:pt idx="3">
                  <c:v>7009711.820315756</c:v>
                </c:pt>
                <c:pt idx="4">
                  <c:v>91051763.97581284</c:v>
                </c:pt>
              </c:numCache>
            </c:numRef>
          </c:val>
        </c:ser>
        <c:dLbls>
          <c:showBubbleSize val="0"/>
          <c:showCatName val="1"/>
          <c:showLeaderLines val="1"/>
          <c:showLegendKey val="0"/>
          <c:showPercent val="1"/>
          <c:showSerName val="0"/>
          <c:showVal val="0"/>
        </c:dLbls>
      </c:pie3DChart>
      <c:spPr bwMode="auto">
        <a:prstGeom prst="rect">
          <a:avLst/>
        </a:prstGeom>
        <a:noFill/>
        <a:ln>
          <a:noFill/>
        </a:ln>
        <a:effectLst/>
      </c:spPr>
    </c:plotArea>
    <c:plotVisOnly val="1"/>
    <c:dispBlanksAs val="gap"/>
    <c:showDLblsOverMax val="0"/>
  </c:chart>
  <c:spPr bwMode="auto"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 xmlns:r="http://schemas.openxmlformats.org/officeDocument/2006/relationships" xmlns:p="http://schemas.openxmlformats.org/presentation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Arial"/>
      <a:cs typeface="Arial"/>
    </a:majorFont>
    <a:minorFont>
      <a:latin typeface="Calibri"/>
      <a:ea typeface="Arial"/>
      <a:cs typeface="Arial"/>
    </a:minorFont>
  </a:fontScheme>
  <a:fmtScheme name="Стандартная">
    <a:fillStyleLst>
      <a:solidFill>
        <a:schemeClr val="phClr"/>
      </a:solidFill>
      <a:gradFill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5E35E-E0D2-4D21-AD48-CBEEDC21F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Чичко Максим</dc:creator>
  <cp:revision>42</cp:revision>
  <dcterms:created xsi:type="dcterms:W3CDTF">2024-11-15T06:42:00Z</dcterms:created>
  <dcterms:modified xsi:type="dcterms:W3CDTF">2024-11-29T04:03:04Z</dcterms:modified>
</cp:coreProperties>
</file>