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DA" w:rsidRPr="000451DA" w:rsidRDefault="000451DA" w:rsidP="000451DA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451DA">
        <w:rPr>
          <w:rFonts w:ascii="Times New Roman" w:hAnsi="Times New Roman" w:cs="Times New Roman"/>
          <w:sz w:val="24"/>
          <w:szCs w:val="24"/>
        </w:rPr>
        <w:br/>
      </w:r>
    </w:p>
    <w:p w:rsidR="000451DA" w:rsidRPr="000451DA" w:rsidRDefault="000451DA" w:rsidP="000451D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0451DA" w:rsidRPr="000451DA" w:rsidRDefault="000451DA" w:rsidP="000451DA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от 20 октября 2021 г. N 917</w:t>
      </w:r>
    </w:p>
    <w:p w:rsidR="000451DA" w:rsidRPr="000451DA" w:rsidRDefault="000451DA" w:rsidP="000451DA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"ОРГАНИЗАЦИЯ ДОРОЖНОЙ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ДЕЯТЕЛЬНОСТИ 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1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"Организация дорожной деятельности в городе Перми".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8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782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"Организация дорожной деятельности в городе Перми";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27 февраля 2019 г. </w:t>
      </w:r>
      <w:hyperlink r:id="rId9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129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22 марта 2019 г. </w:t>
      </w:r>
      <w:hyperlink r:id="rId10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174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28 мая 2019 г. </w:t>
      </w:r>
      <w:hyperlink r:id="rId11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224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16 августа 2019 г. </w:t>
      </w:r>
      <w:hyperlink r:id="rId12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484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14 октября 2019 г. </w:t>
      </w:r>
      <w:hyperlink r:id="rId13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680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4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750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11 декабря 2019 г. </w:t>
      </w:r>
      <w:hyperlink r:id="rId15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1002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26 декабря 2019 г. </w:t>
      </w:r>
      <w:hyperlink r:id="rId16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1104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27 января 2020 г. </w:t>
      </w:r>
      <w:hyperlink r:id="rId17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70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08 апреля 2020 г. </w:t>
      </w:r>
      <w:hyperlink r:id="rId18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333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11 июня 2020 г. </w:t>
      </w:r>
      <w:hyperlink r:id="rId19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514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16 сентября 2020 г. </w:t>
      </w:r>
      <w:hyperlink r:id="rId20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846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1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1053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19 ноября 2020 г. </w:t>
      </w:r>
      <w:hyperlink r:id="rId22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1168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</w:t>
      </w:r>
      <w:r w:rsidRPr="000451DA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28 декабря 2020 г. </w:t>
      </w:r>
      <w:hyperlink r:id="rId23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1339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20 февраля 2021 г. </w:t>
      </w:r>
      <w:hyperlink r:id="rId24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26 февраля 2021 г. </w:t>
      </w:r>
      <w:hyperlink r:id="rId25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118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26 апреля 2021 г. </w:t>
      </w:r>
      <w:hyperlink r:id="rId26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298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25 мая 2021 г. </w:t>
      </w:r>
      <w:hyperlink r:id="rId27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369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782";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от 08 июля 2021 г. </w:t>
      </w:r>
      <w:hyperlink r:id="rId28" w:history="1">
        <w:r w:rsidRPr="000451DA">
          <w:rPr>
            <w:rFonts w:ascii="Times New Roman" w:hAnsi="Times New Roman" w:cs="Times New Roman"/>
            <w:color w:val="0000FF"/>
            <w:sz w:val="24"/>
            <w:szCs w:val="24"/>
          </w:rPr>
          <w:t>N 510</w:t>
        </w:r>
      </w:hyperlink>
      <w:r w:rsidRPr="000451DA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дорожной деятельности в городе Перми", утвержденную постановлением администрации города Перми от 19.10.2018 N 782".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</w:t>
      </w:r>
      <w:proofErr w:type="spellStart"/>
      <w:r w:rsidRPr="000451DA">
        <w:rPr>
          <w:rFonts w:ascii="Times New Roman" w:hAnsi="Times New Roman" w:cs="Times New Roman"/>
          <w:sz w:val="24"/>
          <w:szCs w:val="24"/>
        </w:rPr>
        <w:t>Галиханова</w:t>
      </w:r>
      <w:proofErr w:type="spellEnd"/>
      <w:r w:rsidRPr="000451DA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51D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451DA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УТВЕРЖДЕНА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от 20.10.2021 N 917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0451D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"ОРГАНИЗАЦИЯ ДОРОЖНОЙ ДЕЯТЕЛЬНОСТИ 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ПАСПОРТ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8"/>
        <w:gridCol w:w="1474"/>
        <w:gridCol w:w="1474"/>
        <w:gridCol w:w="1474"/>
        <w:gridCol w:w="1474"/>
        <w:gridCol w:w="1474"/>
      </w:tblGrid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"Организация дорожной деятельности в городе Перми" (далее - программа)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Галиханов</w:t>
            </w:r>
            <w:proofErr w:type="spellEnd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proofErr w:type="spellStart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города Перми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города Перми (далее - ДДБ)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ДДБ;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города Перми (далее - территориальные органы):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Ленинского района города Перми (далее - АЛР);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АНЛ);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 (далее - ДЗО);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(далее - МКУ):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Дзержинского района" (далее - МКУ "БДР");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Индустриального района" (далее - МКУ "БИР");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Кировского района" (далее - МКУ "БКР");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Ленинского района" (далее - МКУ "БЛР");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Мотовилихинского района" (далее - МКУ "БМР");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Орджоникидзевского района" (далее - МКУ "БОР");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Свердловского района" (далее - "БСР");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МКУ "Благоустройство поселка Новые </w:t>
            </w:r>
            <w:proofErr w:type="spellStart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" (далее - МКУ "БНЛ");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МКУ "Пермская дирекция дорожного движения" (далее - МКУ "ПДДД")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в организации и функционировании мест паркования (стоянки) транспортных средств.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местного значения на территории города Перми составляет 2193,9 км, что превышает аналогичный показатель городов, входящих в состав Ассоциации городов Поволжья: Ижевск (890,0 км), Казань (1750,0 км), Самара (1022,7 км), Уфа (1317,6 км).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млн. кв. м, в Уфе - 1,7 млн. кв. м, в Кирове - 1,3 млн. кв. м.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В сравнении с городами, входящими в состав Ассоциации городов Поволжья, наибольшую протяженность сети ливневой канализации имеет Нижний Новгород - 430,0 км, наименьшая в Сарапуле - 1 км. Протяженность ливневой канализации на территории города Перми составляет 192,2 км.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по организации и обеспечению безопасности дорожного движения на улично-дорожной сети города Перми ежегодно содержатся технические средства организации дорожного движения (ежегодно содержится не менее 43,0 тыс. дорожных знаков и 400 светофорных объектов, наносится 128,0 тыс. кв. м дорожной разметки, устанавливается не менее 1085 столбиков для безопасности велосипедистов и пешеходов), функционирует комплекс технических средств видеонаблюдения и управления дорожным движением, организованы 5350 ед. парковочных мест транспортных средств на платной основе. Прорабатывается вопрос о реализации мероприятий по созданию внеуличных (плоскостных) муниципальных парковок, в том числе перехватывающих.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Программа взаимосвязана с муниципальной программой "Развитие автомобильных дорог и дорожных сооружений в городе Перми".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направлена на обеспечение соответствия </w:t>
            </w: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 эксплуатационных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Задачи программы направлены на решение следующих проблем: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- автомобильные дороги).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Общая площадь проезжей части автомобильных дорог 1-3 эксплуатационных категорий составляет более 6,8 млн. кв. м, из которых по состоянию на конец 2020 года 70,6% отвечают нормативным и допустимым требованиям к транспортно-эксплуатационным показателям;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3. ненормативное состояние либо отсутствие ливневой канализации.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4. 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 Приведение в нормативное состояние автомобильных дорог, снижение уровня перегрузки и ликвидации мест концентрации ДТП.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1.1.2. Обеспечение мер по восстановлению и поддержанию нормативного состояния автомобильных дорог и искусственных дорожных сооружений.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1.1.3. Обеспечение мер по поддержанию нормативного уровня освещенности автомобильных дорог.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1.1.4. Создание условий для развития архитектурной привлекательности города.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1.2. Обеспечение деятельности заказчиков работ.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1.2.1. Обеспечение деятельности заказчиков работ финансированием.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1.3. Совершенствование организации дорожного движения на улично-дорожной сети города Перми.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1.3.1.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0451DA" w:rsidRPr="000451DA" w:rsidTr="000451DA">
        <w:tc>
          <w:tcPr>
            <w:tcW w:w="39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0451DA" w:rsidRPr="000451DA" w:rsidTr="000451DA">
        <w:tc>
          <w:tcPr>
            <w:tcW w:w="397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7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5622889,300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3547707,500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3191979,800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2980840,300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2979862,000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3961168,300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2763454,500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2557648,800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2980840,300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2979862,000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1661721,000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784253,000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634331,000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4737889,100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3081834,000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2726106,300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2194853,300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2193875,000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3128668,100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2350081,000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2144275,300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2194853,300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2193875,000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1609221,000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731753,000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581831,000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571670,400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186062,200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186062,200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576175,700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576175,700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571670,400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186062,200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186062,200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576175,700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576175,700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313329,800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279811,300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279811,300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209811,300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209811,300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260829,800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227311,300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227311,300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209811,300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209811,300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52500,000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52500,000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52500,000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397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находящаяся в нормативном состоянии, %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84,9 &lt;1&gt;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0451DA" w:rsidRPr="000451DA" w:rsidTr="000451DA">
        <w:tc>
          <w:tcPr>
            <w:tcW w:w="39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74" w:type="dxa"/>
            <w:vAlign w:val="center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&lt;1&gt; Показатель будет достигнут при условии обеспечения дополнительным финансированием.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451DA" w:rsidSect="000451DA">
          <w:pgSz w:w="11905" w:h="16838"/>
          <w:pgMar w:top="567" w:right="851" w:bottom="1134" w:left="851" w:header="0" w:footer="0" w:gutter="0"/>
          <w:cols w:space="720"/>
        </w:sect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подпрограммы 1.1 "Приведение в нормативное состояние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автомобильных дорог, снижение уровня перегрузки и ликвидации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мест концентрации ДТП" муниципальной программы "Организация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дорожной деятельности 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608"/>
        <w:gridCol w:w="624"/>
        <w:gridCol w:w="864"/>
        <w:gridCol w:w="709"/>
        <w:gridCol w:w="850"/>
        <w:gridCol w:w="709"/>
        <w:gridCol w:w="851"/>
        <w:gridCol w:w="1361"/>
        <w:gridCol w:w="40"/>
        <w:gridCol w:w="1377"/>
        <w:gridCol w:w="40"/>
        <w:gridCol w:w="584"/>
        <w:gridCol w:w="44"/>
        <w:gridCol w:w="806"/>
        <w:gridCol w:w="48"/>
        <w:gridCol w:w="803"/>
        <w:gridCol w:w="56"/>
        <w:gridCol w:w="652"/>
        <w:gridCol w:w="57"/>
        <w:gridCol w:w="794"/>
        <w:gridCol w:w="58"/>
      </w:tblGrid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07" w:type="dxa"/>
            <w:gridSpan w:val="6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84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Содержание и ремонт автомобильных дорог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2204479,13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2204479,13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2204479,13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2204479,13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2204479,13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191903,400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191903,400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191903,400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191903,400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191903,400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2535088,07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2535088,07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2535088,07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2535088,07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2535088,07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152835,700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152835,700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152835,700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152835,700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152835,700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2739631,3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2739631,3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2739631,3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2739631,3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2739631,3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136794,000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136794,000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136794,000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136794,000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136794,000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1550754,9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1550754,9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1550754,9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1550754,9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1550754,9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307255,000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307255,000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307255,000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307255,000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307255,000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3306354,2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3306354,2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3306354,2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3306354,2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3306354,2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229037,900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224999,500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224999,500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224999,500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224999,500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3237289,2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3237289,2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3237289,2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3237289,2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3237289,2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149914,900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149914,900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149914,900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149914,900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149914,900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3472577,5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3472577,5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3472577,5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3472577,5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3472577,5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289543,000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289543,000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289543,000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289543,000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289543,000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542000,52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542000,52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542000,52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542000,52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542000,52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20435,100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20435,100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20435,100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20435,100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20435,100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19588174,82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19588174,82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19588174,82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19588174,82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19588174,82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1477719,000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1473680,600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1473680,600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1473680,600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1473680,600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93035,00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56294,00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72398,66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69614,10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66936,63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305997,400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141155,100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41155,000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41155,000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41155,000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78304,30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80761,26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77655,06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74668,33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71796,47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191153,900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144143,000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44143,000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44143,000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44143,000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83989,81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80761,26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77655,06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74668,33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71796,47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44142,000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40798,800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40798,900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40798,900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40798,900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98067,00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57804,23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55580,99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53443,26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51387,75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299783,100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16070,800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16070,800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16070,800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16070,800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102574,62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89691,24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86241,57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82924,59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79735,18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53909,500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53909,500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53909,500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53909,500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53909,500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93278,17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86983,52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83638,00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80421,15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77328,03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49023,700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49023,700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49023,700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49023,700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49023,700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90464,28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86983,52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83638,00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80421,15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77328,03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61743,300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47544,700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47544,700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47544,700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47544,700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17721,19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14570,43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14010,03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13471,19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12953,06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9313,700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9313,700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9313,700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9313,700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9313,700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 1.1.1.1.1.2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657434,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55384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9,46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550817,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52963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2,1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509261,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1015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066,600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501959,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301959,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30195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9,300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301959,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1.1.1.1.1.3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578,000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1570,000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1570,000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1570,000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1570,000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1570,000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1223,400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1223,400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1223,400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1223,400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1223,400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1286,800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1286,800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1286,800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1286,800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1286,800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1119,200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1119,200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1119,200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1119,200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1119,200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 1.1.1.1.1.3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1548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1433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1377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1324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7429,600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7429,600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7429,600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7429,600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7429,600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1.1.1.1.1.4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710,600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710,600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710,600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553,600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553,600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553,600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553,600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553,600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534,000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3362,400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3362,400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3362,400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- ЕГРН), что подтверждено выпиской из ЕГРН о принятии на учет бесхозяйного недвижимого имущества, выданной Управлением Федеральной службы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государственной регистрации, кадастра и картографии по Пермскому краю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6,1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АНЛ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27,3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25,1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1.1.1.1.1.6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50,237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1404,100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1.1.1.1.1.7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166,3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166,3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166,3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166,3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166,3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1696,300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1762,800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1762,800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1762,800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1762,800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1.1.1.1.1.8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551,1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551,1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551,1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551,1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551,1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1.1.1.1.1.9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131,500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2508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409,500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198992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6,200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178992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6,200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17899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26,200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178992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6,200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1.1.1.1.2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192,2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60487,300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60487,300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60487,300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60487,300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60487,300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1.1.1.1.2.2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10396,06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9996,21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9611,74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9242,06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8886,59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1.1.1.1.2.3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9246,800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9246,800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9246,800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9246,800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9246,800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1.1.1.1.2.4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объектов очистных сооружений, в отношении которых проведены работы по инвентаризации, паспортизации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412,800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70146,900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69734,100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69734,100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69734,100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69734,100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3151,6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5312,1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7562,5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7562,5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6991,9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3893,200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6824,600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10104,300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10104,300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10104,300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2909,2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2797,3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2689,7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2689,7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2486,8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2909,2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6410,9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3824,5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3824,5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3535,9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3593,700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8236,200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5109,900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5109,900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5109,900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3878,9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3729,7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3586,2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3586,2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3315,7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3878,9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8312,9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6887,4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6887,4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6367,8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4791,600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10679,700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9202,300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9202,300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9202,300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2424,3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7420,1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8125,7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8125,7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7512,7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2994,800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9532,800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10856,800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10856,800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10856,800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4363,7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4195,9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4034,5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4034,5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3730,1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5390,500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727,3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699,3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672,4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672,4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621,7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898,400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898,400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898,400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898,400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898,400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24243,1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38878,2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37382,9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37382,9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34562,6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29947,500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49947,500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49947,500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49947,500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49947,500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1030,4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990,7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952,6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916,0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880,8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1648,8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1585,4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1524,4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1465,8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1409,4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532,400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1442,2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1386,8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1333,4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1282,2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1232,8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465,700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465,700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465,700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1133,5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1089,9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1048,0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1007,7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968,9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1546,0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1486,5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1429,4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1374,4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1321,5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499,200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499,200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1339,7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1288,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1238,7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1191,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1145,2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432,6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432,600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432,600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432,6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432,600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1751,9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1684,6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1619,8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1557,5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1497,6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565,700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565,700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565,700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565,700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412,5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396,6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381,4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366,7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352,6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133,200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133,200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133,200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10305,0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9908,7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9527,7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9161,3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8808,8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3327,500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3327,500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33275,000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53275,000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53275,000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53275,000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53275,000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2611831,400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2112935,300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1912935,300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1912935,300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1912935,300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Содержание, ремонт и обследование искусственных дорожных сооружений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элементов искусственных дорожных сооружений, в отношении которых осуществляются содержание и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21337,34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21337,34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21337,34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21337,34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21337,34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44299,100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22694,500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22694,500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22694,500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22694,500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1.1.1.2.1.2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13407,600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13407,600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1.1.1.2.1.3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искусственных дорожных сооружений, в отношении которых осуществляются охрана и содержание системы обеспечения транспортной безопасности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12149,000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12149,000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5556,600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5556,600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5556,600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69855,700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69855,700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48251,100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"Дорожная сеть" национального проекта "Безопасные и качественные автомобильные дороги"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регионального проекта "Безопасные и качественные автомобильные дороги Пермского края и Пермской городской агломерации"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106366,0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47650,0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126970,900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121982,900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8,21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9797,0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51383,0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24420,000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135000,000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протяженность участка автомобильной дороги, в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1,06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5,49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1.1.1.3.1.3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44984,0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36775,0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80399,000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97311,000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4,32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4,75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1.1.1.3.1.4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17031,0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27300,0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43198,400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54600,000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2,87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1.1.1.3.1.5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24000,0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31121,800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83000,000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1,12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2,66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1.1.1.3.1.6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25366,5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30005,0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83974,400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68115,600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3,02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2,77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1.1.1.3.1.7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101274,0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94875,0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211975,400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143243,600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10,42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1.1.1.3.1.8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9000,0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41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2859,000</w:t>
            </w:r>
          </w:p>
        </w:tc>
        <w:tc>
          <w:tcPr>
            <w:tcW w:w="850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28500,000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0,32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1.1.1.3.1.9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226892,0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37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 1.1.1.3.1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318558,5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320988,0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226892,0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604918,900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731753,100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604918,900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731753,100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604918,900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731753,100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3286606,000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2892939,400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2543017,400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1961186,400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1961186,400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2681687,100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2161186,400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1961186,400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1961186,400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1961186,400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604918,900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731753,000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18553,7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21824,200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16453,5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18175,800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65963,300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6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35007,2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205963,300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1659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63,300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40000,000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165963,300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Обеспечение текущего и капитального ремонта сетей наружного освещения.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1.1.3.1.1.1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1326,66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1435,46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1405,44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1351,39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1299,41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175044,100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176975,200 </w:t>
            </w:r>
            <w:hyperlink w:anchor="P1959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180570,400 </w:t>
            </w:r>
            <w:hyperlink w:anchor="P1960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200570,400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200570,400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1.1.3.1.1.2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38,81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37,31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35,88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34,50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33,17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17759,600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17759,600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17759,600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17759,600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17759,600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192803,700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214734,800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218330,000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218330,000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218330,000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1.1.3.1.2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Содержание сетей наружного освещения микрорайона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Бумкомбинат</w:t>
            </w:r>
            <w:proofErr w:type="spellEnd"/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1.1.3.1.2.1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протяженность сетей наружного освещения в микрорайоне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Бумкомбинат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, находящихся на содержании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10,98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10,98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10,98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10,98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10,98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1239,300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1.1.3.1.3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1.1.3.1.3.1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1817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64435,200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64435,200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1.1.3.1.4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Содержание сетей наружного освещения на автомобильных дорогах города Перми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1.1.3.1.4.1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сетей наружного освещения, находящихся на содержании (КЖЦ)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57,08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57,08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57,08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57,08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12920,500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13519,600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14097,600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13119,300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12920,500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13519,600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14097,600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13119,300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258478,200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188894,600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183088,900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233666,900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232688,600</w:t>
            </w:r>
          </w:p>
        </w:tc>
      </w:tr>
      <w:tr w:rsidR="000451DA" w:rsidRPr="000451DA" w:rsidTr="000451DA">
        <w:tc>
          <w:tcPr>
            <w:tcW w:w="9760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258478,200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188894,600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183088,900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233666,900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232688,600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1.1.4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1.1.4.1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Выполнение комплекса мероприятий по архитектурной подсветке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1.1.4.1.1</w:t>
            </w:r>
          </w:p>
        </w:tc>
        <w:tc>
          <w:tcPr>
            <w:tcW w:w="13935" w:type="dxa"/>
            <w:gridSpan w:val="21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Архитектурная подсветка зданий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1.1.4.1.1.1</w:t>
            </w:r>
          </w:p>
        </w:tc>
        <w:tc>
          <w:tcPr>
            <w:tcW w:w="26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зданий, обеспеченных архитектурной подсветкой фасадов</w:t>
            </w:r>
          </w:p>
        </w:tc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148502,800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672211,400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1"/>
          <w:wAfter w:w="58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1.1.4.1.1.2</w:t>
            </w:r>
          </w:p>
        </w:tc>
        <w:tc>
          <w:tcPr>
            <w:tcW w:w="26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6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6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74127,400</w:t>
            </w:r>
          </w:p>
        </w:tc>
        <w:tc>
          <w:tcPr>
            <w:tcW w:w="850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894841,600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148502,800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7463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38,800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894841,600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148502,800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746338,800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894841,600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148502,800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746338,800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4737889,100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3081834,000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2726106,300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2194853,300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2193875,000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3128668,100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2350081,000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2144275,300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2194853,300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2193875,000</w:t>
            </w:r>
          </w:p>
        </w:tc>
      </w:tr>
      <w:tr w:rsidR="000451DA" w:rsidRPr="000451DA" w:rsidTr="000451DA">
        <w:tc>
          <w:tcPr>
            <w:tcW w:w="9760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62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1609221,000</w:t>
            </w:r>
          </w:p>
        </w:tc>
        <w:tc>
          <w:tcPr>
            <w:tcW w:w="854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731753,000</w:t>
            </w:r>
          </w:p>
        </w:tc>
        <w:tc>
          <w:tcPr>
            <w:tcW w:w="85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581831,000</w:t>
            </w:r>
          </w:p>
        </w:tc>
        <w:tc>
          <w:tcPr>
            <w:tcW w:w="709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2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59"/>
      <w:bookmarkEnd w:id="1"/>
      <w:r w:rsidRPr="000451DA">
        <w:rPr>
          <w:rFonts w:ascii="Times New Roman" w:hAnsi="Times New Roman" w:cs="Times New Roman"/>
          <w:sz w:val="24"/>
          <w:szCs w:val="24"/>
        </w:rPr>
        <w:t>&lt;2&gt; Условно утвержденные расходы бюджета города Перми - 20000,000 тыс. руб.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60"/>
      <w:bookmarkEnd w:id="2"/>
      <w:r w:rsidRPr="000451DA">
        <w:rPr>
          <w:rFonts w:ascii="Times New Roman" w:hAnsi="Times New Roman" w:cs="Times New Roman"/>
          <w:sz w:val="24"/>
          <w:szCs w:val="24"/>
        </w:rPr>
        <w:t>&lt;3&gt; Условно утвержденные расходы бюджета города Перми - 30000,000 тыс. руб.</w:t>
      </w:r>
    </w:p>
    <w:p w:rsidR="000451DA" w:rsidRPr="000451DA" w:rsidRDefault="000451DA" w:rsidP="000451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451DA" w:rsidRPr="000451DA" w:rsidSect="000451DA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подпрограммы 1.2 "Обеспечение деятельности заказчиков работ"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муниципальной программы "Организация дорожной деятельности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2537"/>
        <w:gridCol w:w="559"/>
        <w:gridCol w:w="619"/>
        <w:gridCol w:w="619"/>
        <w:gridCol w:w="619"/>
        <w:gridCol w:w="619"/>
        <w:gridCol w:w="619"/>
        <w:gridCol w:w="1308"/>
        <w:gridCol w:w="1559"/>
        <w:gridCol w:w="992"/>
        <w:gridCol w:w="993"/>
        <w:gridCol w:w="992"/>
        <w:gridCol w:w="992"/>
        <w:gridCol w:w="993"/>
        <w:gridCol w:w="55"/>
        <w:gridCol w:w="16"/>
      </w:tblGrid>
      <w:tr w:rsidR="000451DA" w:rsidRPr="000451DA" w:rsidTr="000451DA">
        <w:trPr>
          <w:gridAfter w:val="1"/>
          <w:wAfter w:w="16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537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3654" w:type="dxa"/>
            <w:gridSpan w:val="6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07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5017" w:type="dxa"/>
            <w:gridSpan w:val="6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0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3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090" w:type="dxa"/>
            <w:gridSpan w:val="16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090" w:type="dxa"/>
            <w:gridSpan w:val="16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Выполнение функций муниципального заказчика работ</w:t>
            </w:r>
          </w:p>
        </w:tc>
      </w:tr>
      <w:tr w:rsidR="000451DA" w:rsidRPr="000451DA" w:rsidTr="000451DA">
        <w:tc>
          <w:tcPr>
            <w:tcW w:w="114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090" w:type="dxa"/>
            <w:gridSpan w:val="16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537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"удовлетворительно"</w:t>
            </w: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444240,300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443753,800 </w:t>
            </w:r>
            <w:hyperlink w:anchor="P2191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443753,800 </w:t>
            </w:r>
            <w:hyperlink w:anchor="P2192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445699,600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445699,600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45839,600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45459,000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45459,000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46981,100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46981,100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9977,800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9904,300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9904,300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10198,400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10198,400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10593,700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10515,000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10515,000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10829,700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10829,700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10342,500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10261,900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10261,900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10584,400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10584,400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9790,600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9714,200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9714,200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10019,800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10019,800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13351,500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13246,800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13246,800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13665,600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13665,600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10075,600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9992,700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9992,700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10324,300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10324,300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11429,800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11340,300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11340,300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11698,200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11698,200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6029,000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5980,600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5980,600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6174,600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6174,600</w:t>
            </w:r>
          </w:p>
        </w:tc>
      </w:tr>
      <w:tr w:rsidR="000451DA" w:rsidRPr="000451DA" w:rsidTr="000451DA">
        <w:trPr>
          <w:gridAfter w:val="2"/>
          <w:wAfter w:w="71" w:type="dxa"/>
        </w:trPr>
        <w:tc>
          <w:tcPr>
            <w:tcW w:w="114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1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0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571670,400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186062,200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186062,200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576175,700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576175,700</w:t>
            </w:r>
          </w:p>
        </w:tc>
      </w:tr>
      <w:tr w:rsidR="000451DA" w:rsidRPr="000451DA" w:rsidTr="000451DA">
        <w:trPr>
          <w:gridAfter w:val="2"/>
          <w:wAfter w:w="70" w:type="dxa"/>
        </w:trPr>
        <w:tc>
          <w:tcPr>
            <w:tcW w:w="8643" w:type="dxa"/>
            <w:gridSpan w:val="9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</w:tr>
      <w:tr w:rsidR="000451DA" w:rsidRPr="000451DA" w:rsidTr="000451DA">
        <w:trPr>
          <w:gridAfter w:val="2"/>
          <w:wAfter w:w="70" w:type="dxa"/>
        </w:trPr>
        <w:tc>
          <w:tcPr>
            <w:tcW w:w="8643" w:type="dxa"/>
            <w:gridSpan w:val="9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</w:tr>
      <w:tr w:rsidR="000451DA" w:rsidRPr="000451DA" w:rsidTr="000451DA">
        <w:trPr>
          <w:gridAfter w:val="2"/>
          <w:wAfter w:w="70" w:type="dxa"/>
        </w:trPr>
        <w:tc>
          <w:tcPr>
            <w:tcW w:w="8643" w:type="dxa"/>
            <w:gridSpan w:val="9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</w:tr>
      <w:tr w:rsidR="000451DA" w:rsidRPr="000451DA" w:rsidTr="000451DA">
        <w:trPr>
          <w:gridAfter w:val="2"/>
          <w:wAfter w:w="70" w:type="dxa"/>
        </w:trPr>
        <w:tc>
          <w:tcPr>
            <w:tcW w:w="8643" w:type="dxa"/>
            <w:gridSpan w:val="9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59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  <w:tc>
          <w:tcPr>
            <w:tcW w:w="99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570168,600</w:t>
            </w:r>
          </w:p>
        </w:tc>
      </w:tr>
    </w:tbl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91"/>
      <w:bookmarkEnd w:id="3"/>
      <w:r w:rsidRPr="000451DA">
        <w:rPr>
          <w:rFonts w:ascii="Times New Roman" w:hAnsi="Times New Roman" w:cs="Times New Roman"/>
          <w:sz w:val="24"/>
          <w:szCs w:val="24"/>
        </w:rPr>
        <w:t>&lt;4&gt; Условно утвержденные расходы бюджета города Перми - 384106,400 тыс. руб.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92"/>
      <w:bookmarkEnd w:id="4"/>
      <w:r w:rsidRPr="000451DA">
        <w:rPr>
          <w:rFonts w:ascii="Times New Roman" w:hAnsi="Times New Roman" w:cs="Times New Roman"/>
          <w:sz w:val="24"/>
          <w:szCs w:val="24"/>
        </w:rPr>
        <w:t>&lt;5&gt; Условно утвержденные расходы бюджета города Перми - 384106,400 тыс. руб.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451DA" w:rsidSect="000451DA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подпрограммы 1.3 "Совершенствование организации дорожного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движения на улично-дорожной сети города Перми" муниципальной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программы "Организация дорожной деятельности 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2211"/>
        <w:gridCol w:w="624"/>
        <w:gridCol w:w="790"/>
        <w:gridCol w:w="709"/>
        <w:gridCol w:w="708"/>
        <w:gridCol w:w="851"/>
        <w:gridCol w:w="709"/>
        <w:gridCol w:w="1288"/>
        <w:gridCol w:w="39"/>
        <w:gridCol w:w="1208"/>
        <w:gridCol w:w="39"/>
        <w:gridCol w:w="969"/>
        <w:gridCol w:w="992"/>
        <w:gridCol w:w="992"/>
        <w:gridCol w:w="992"/>
        <w:gridCol w:w="992"/>
        <w:gridCol w:w="22"/>
        <w:gridCol w:w="53"/>
      </w:tblGrid>
      <w:tr w:rsidR="000451DA" w:rsidRPr="000451DA" w:rsidTr="000451DA">
        <w:trPr>
          <w:gridAfter w:val="1"/>
          <w:wAfter w:w="53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4391" w:type="dxa"/>
            <w:gridSpan w:val="6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998" w:type="dxa"/>
            <w:gridSpan w:val="7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ind w:left="56" w:hanging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дорожных знаков на содержании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5,170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5,170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5,170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5,170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5,170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3278,800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3278,800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3278,800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3278,800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3278,800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4,950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4,950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4,950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4,950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4,950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3139,300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3139,300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3139,300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3139,300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3139,300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4,080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4,080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4,080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4,080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4,080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2587,500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8,390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9,097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9,097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9,097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9,097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5320,900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5769,400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5769,400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5769,400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5769,400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7,460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7,460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7,460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7,460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7,460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4731,100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4731,100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4731,100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4731,100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4731,100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4,190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4,190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4,190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4,190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4,190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2657,300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2657,300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2657,300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2657,300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2657,300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9,220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9,220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9,220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9,220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9,220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5847,300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5847,300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0,482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0,482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0,482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0,482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0,482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305,700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43,942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44,649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44,649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44,649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44,649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27867,900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28316,400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28316,400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28316,400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28316,400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1.3.1.1.1.2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641,200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584,500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511,800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511,800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511,800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511,800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511,800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988,500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1061,200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1061,200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867,400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1235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3326,500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458,000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1077,500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1077,500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2989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1951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1951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8051,400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5255,600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5255,600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5255,600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5255,600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1.3.1.1.1.3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нанесенной дорожной разметки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16,33834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15,9289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15,9289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15,9289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15,9289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11534,400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11150,300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11150,300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11150,300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11150,300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19,77436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20,42023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20,42023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20,42023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20,42023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15579,400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17433,900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17433,900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17433,900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17433,900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10,64889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11,79518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11,79518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11,79518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11,79518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5252,700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6328,000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6328,000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6328,000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6328,000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21,98024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21,98024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21,98024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21,98024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21,98024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20619,700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20619,700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20619,700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20619,700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20619,700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20,04137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21,08518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21,08518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21,08518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21,08518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10398,000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11377,200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11377,200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11377,200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11377,200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13,47342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11,14244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11,14244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11,14244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11,14244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5087,200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2900,200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24,97449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26,05049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26,05049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26,05049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26,05049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15112,700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16122,100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16122,100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16122,100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16122,100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1,20087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1,20087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1,20087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1,20087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1,20087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312,600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128,43198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129,60353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129,60353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129,60353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129,60353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83896,700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86244,000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86244,000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86244,000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86244,000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1.3.1.1.1.4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"БНЛ"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72,000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576,000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1.3.1.1.1.5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173,900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64,400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173,900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173,900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173,900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238,300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128,800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991,800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991,800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991,800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991,800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991,800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1.3.1.1.1.6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1031,700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1031,700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1031,700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1031,700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1031,700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506,100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980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1008" w:type="dxa"/>
            <w:gridSpan w:val="2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4068,300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4068,300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4068,300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4068,300</w:t>
            </w:r>
          </w:p>
        </w:tc>
        <w:tc>
          <w:tcPr>
            <w:tcW w:w="992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4068,300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1.3.1.1.1.7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548,600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1400,0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1400,0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1400,0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1400,0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3840,200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3840,200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3840,200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3840,200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3840,200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1.3.1.1.1.8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1085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565,100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565,100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129857,400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Совершенствование технологии управления дорожным движением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1.3.1.2.1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1.3.1.2.1.1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394,0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394,0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394,0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394,0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1470,000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1.3.1.2.1.2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1874,000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1874,000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1874,000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1874,000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1874,000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1.3.1.2.1.3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тыс. шт.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153,000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3497,000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3497,000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3497,000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3497,000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3497,000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1.3.1.2.2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1.3.1.2.2.1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18864,400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18864,400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18864,400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18864,400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18864,400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1.3.1.2.2.2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количество светофорных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объектов на содержании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447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457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457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457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457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32342,000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33258,500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33258,500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33258,500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33258,500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1.3.1.2.2.3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35335,000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86541,400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52122,900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52122,900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52122,900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52122,900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1.3.1.2.3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Развитие системы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фотовидеофиксации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на аварийно-опасных участках г. Перми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1.3.1.2.3.1</w:t>
            </w:r>
          </w:p>
        </w:tc>
        <w:tc>
          <w:tcPr>
            <w:tcW w:w="221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количество стационарных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фотовидеофиксаторов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, установленных на аварийно-опасных участках улично-дорожной сети города Перми</w:t>
            </w:r>
          </w:p>
        </w:tc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88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17500,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17500,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70000,000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160038,400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108119,900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108119,900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107538,400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55619,900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1.3.1.3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0451DA" w:rsidRPr="000451DA" w:rsidTr="000451DA"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1.3.1.3.1</w:t>
            </w:r>
          </w:p>
        </w:tc>
        <w:tc>
          <w:tcPr>
            <w:tcW w:w="14188" w:type="dxa"/>
            <w:gridSpan w:val="18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1.3.1.3.1.1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количество функционирующих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автопатрулей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на улично-дорожной сети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669,600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669,500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1.3.1.3.1.2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количество функционирующих мобильных фото-,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видеофиксаторов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, контролирующих нарушения правил парковки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5855,000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5855,000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5855,000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5855,000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5855,000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11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1.3.1.3.1.3</w:t>
            </w:r>
          </w:p>
        </w:tc>
        <w:tc>
          <w:tcPr>
            <w:tcW w:w="221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0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5350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5350</w:t>
            </w:r>
          </w:p>
        </w:tc>
        <w:tc>
          <w:tcPr>
            <w:tcW w:w="70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5350</w:t>
            </w:r>
          </w:p>
        </w:tc>
        <w:tc>
          <w:tcPr>
            <w:tcW w:w="851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5350</w:t>
            </w:r>
          </w:p>
        </w:tc>
        <w:tc>
          <w:tcPr>
            <w:tcW w:w="70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5350</w:t>
            </w:r>
          </w:p>
        </w:tc>
        <w:tc>
          <w:tcPr>
            <w:tcW w:w="1288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"ПДДД"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008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16909,500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17809,500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17809,500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17809,500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17809,500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23434,000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23434,000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24334,000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313329,800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260829,800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227311,300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227311,300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 w:val="restart"/>
          </w:tcPr>
          <w:p w:rsidR="000451DA" w:rsidRPr="000451DA" w:rsidRDefault="000451DA" w:rsidP="000451DA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313329,800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279811,300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260829,800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227311,300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227311,300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209811,300</w:t>
            </w:r>
          </w:p>
        </w:tc>
      </w:tr>
      <w:tr w:rsidR="000451DA" w:rsidRPr="000451DA" w:rsidTr="000451DA">
        <w:trPr>
          <w:gridAfter w:val="2"/>
          <w:wAfter w:w="75" w:type="dxa"/>
        </w:trPr>
        <w:tc>
          <w:tcPr>
            <w:tcW w:w="9119" w:type="dxa"/>
            <w:gridSpan w:val="10"/>
            <w:vMerge/>
          </w:tcPr>
          <w:p w:rsidR="000451DA" w:rsidRPr="000451DA" w:rsidRDefault="000451DA" w:rsidP="000451DA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69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52500,000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451DA" w:rsidRPr="000451DA" w:rsidRDefault="000451DA" w:rsidP="000451DA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0451DA" w:rsidRPr="000451DA" w:rsidRDefault="000451DA" w:rsidP="000451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451DA" w:rsidRPr="000451DA" w:rsidSect="000451DA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ТАБЛИЦА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"Организация дорожной деятельности 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83"/>
        <w:gridCol w:w="904"/>
        <w:gridCol w:w="664"/>
        <w:gridCol w:w="664"/>
        <w:gridCol w:w="664"/>
        <w:gridCol w:w="664"/>
        <w:gridCol w:w="664"/>
        <w:gridCol w:w="6"/>
      </w:tblGrid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83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Наименование цели, подпрограммы, задачи, показателя конечного результата программы</w:t>
            </w:r>
          </w:p>
        </w:tc>
        <w:tc>
          <w:tcPr>
            <w:tcW w:w="90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0" w:type="dxa"/>
            <w:gridSpan w:val="5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 программы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51DA" w:rsidRPr="000451DA" w:rsidTr="000451DA"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84,9 </w:t>
            </w:r>
            <w:hyperlink w:anchor="P3629" w:history="1">
              <w:r w:rsidRPr="000451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Подпрограмма. Приведение в нормативное состояние автомобильных дорог, снижение уровня перегрузки и ликвидации мест концентрации ДТП</w:t>
            </w:r>
          </w:p>
        </w:tc>
      </w:tr>
      <w:tr w:rsidR="000451DA" w:rsidRPr="000451DA" w:rsidTr="000451DA"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DA" w:rsidRPr="000451DA" w:rsidTr="000451DA"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"удовлетворительно" (согласно </w:t>
            </w:r>
            <w:hyperlink r:id="rId29" w:history="1">
              <w:r w:rsidRPr="000451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Постановлению</w:t>
              </w:r>
            </w:hyperlink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30 января 2020 г. N 86 "Об утверждении Положения о системе оплаты труда работников муниципальных учреждений в сфере благоустройства территории города Перми")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</w:tr>
      <w:tr w:rsidR="000451DA" w:rsidRPr="000451DA" w:rsidTr="000451DA">
        <w:tc>
          <w:tcPr>
            <w:tcW w:w="62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413" w:type="dxa"/>
            <w:gridSpan w:val="8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улично-дорожной сети, на </w:t>
            </w: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51DA" w:rsidRPr="000451DA" w:rsidTr="000451DA">
        <w:trPr>
          <w:gridAfter w:val="1"/>
          <w:wAfter w:w="6" w:type="dxa"/>
        </w:trPr>
        <w:tc>
          <w:tcPr>
            <w:tcW w:w="62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9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51DA" w:rsidRPr="000451DA" w:rsidRDefault="000451DA" w:rsidP="000451D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29"/>
      <w:bookmarkEnd w:id="5"/>
      <w:r w:rsidRPr="000451DA">
        <w:rPr>
          <w:rFonts w:ascii="Times New Roman" w:hAnsi="Times New Roman" w:cs="Times New Roman"/>
          <w:sz w:val="24"/>
          <w:szCs w:val="24"/>
        </w:rPr>
        <w:t>&lt;6&gt; Показатель будет достигнут при условии обеспечения дополнительным финансированием.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Default="000451DA" w:rsidP="000451DA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451DA" w:rsidSect="000451DA">
          <w:pgSz w:w="11905" w:h="16838"/>
          <w:pgMar w:top="851" w:right="567" w:bottom="851" w:left="1134" w:header="0" w:footer="0" w:gutter="0"/>
          <w:cols w:space="720"/>
        </w:sectPr>
      </w:pPr>
    </w:p>
    <w:p w:rsidR="000451DA" w:rsidRPr="000451DA" w:rsidRDefault="000451DA" w:rsidP="000451DA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к таблице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показателей конечного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результата муниципальной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программы "Организация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дорожной деятельности</w:t>
      </w:r>
    </w:p>
    <w:p w:rsidR="000451DA" w:rsidRPr="000451DA" w:rsidRDefault="000451DA" w:rsidP="000451D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МЕТОДИКА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муниципальной программы "Организация дорожной деятельности</w:t>
      </w:r>
    </w:p>
    <w:p w:rsidR="000451DA" w:rsidRPr="000451DA" w:rsidRDefault="000451DA" w:rsidP="000451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451DA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2040"/>
        <w:gridCol w:w="964"/>
        <w:gridCol w:w="1304"/>
        <w:gridCol w:w="1701"/>
        <w:gridCol w:w="3262"/>
        <w:gridCol w:w="1967"/>
        <w:gridCol w:w="1928"/>
        <w:gridCol w:w="1684"/>
        <w:gridCol w:w="8"/>
      </w:tblGrid>
      <w:tr w:rsidR="000451DA" w:rsidRPr="000451DA" w:rsidTr="000451DA">
        <w:tc>
          <w:tcPr>
            <w:tcW w:w="363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040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96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304" w:type="dxa"/>
            <w:vMerge w:val="restart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963" w:type="dxa"/>
            <w:gridSpan w:val="2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5587" w:type="dxa"/>
            <w:gridSpan w:val="4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0451DA" w:rsidRPr="000451DA" w:rsidRDefault="000451DA" w:rsidP="000451DA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фо</w:t>
            </w:r>
            <w:bookmarkStart w:id="6" w:name="_GoBack"/>
            <w:bookmarkEnd w:id="6"/>
            <w:r w:rsidRPr="000451DA">
              <w:rPr>
                <w:rFonts w:ascii="Times New Roman" w:hAnsi="Times New Roman" w:cs="Times New Roman"/>
                <w:szCs w:val="24"/>
              </w:rPr>
              <w:t>рмула расчета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Дп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Пгар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Пввед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) x 100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Пгар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проезжей части автомобильных дорог 1-3 эксплуатационных категорий содержания, межремонтный срок по которым не истек,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Пввед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проезжей части автомобильных дорог 1-3 эксплуатационных категорий содержания, внутриквартальных проездов, в отношении которых в текущем году выполнены капитальный ремонт, ремонт, реконструкция, строительство,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площадь проезжей части автомобильных дорог 1-3 эксплуатационных категорий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содержания, кв. 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случаев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С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ДТП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= К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ДТП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/ Ч x 100000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ДТП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по Пермскому краю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Дсод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проезжей части автомобильных дорог, содержание которых осуществляется в соответствии с нормативными требованиями,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площадь проезжей части автомобильных дорог, кв. 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Умех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Пвс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Посв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протяженность освещенных частей улиц, проездов и набережных;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Пмо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протяженность улиц, проездов и набережных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Доля автомобильных дорог общего пользования местного значения города Перми, оборудованных исправными сетями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Дливн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Пливн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Пливн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протяженность автомобильных дорог 1-3 эксплуатационных категорий содержания местного значения города Перми, оборудованных исправными сетями ливневой канализации, км;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протяженность автомобильных дорог местного значения города Перми 1-3 эксплуатационных категорий содержания, км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Дрем = (Прем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Прем - площадь проезжей части автомобильных дорог, в отношении которых в текущем году выполнен ремонт,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Омд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площадь проезжей части автомобильных дорог, кв. 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территориальных органов администрации города Перми (заказчик работ - МКУ "Благоустройство района")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Дпас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Ппас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Ппас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протяженность автомобильных дорог, в отношении которых выполнены работы по паспортизации, км;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Оавтодор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протяженность автомобильных дорог местного значения города Перми, км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", территориальных органов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Доля площади пешеходных дорожек и тротуаров, приведенных в нормативное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Дпеш.зон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Ппеш.зон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Опеш.зон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Ппеш.зон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пешеходных дорожек и тротуаров, приведенных в нормативное состояние в текущем году,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Опеш.зон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общая площадь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пешеходных зон в границах городского округа, кв. 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территориальных органов администрации города Перми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Двнпр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Пвнпр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Овнпр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внпр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проезжей части внутриквартальных проездов, относящихся к муниципальной собственности, находящихся в нормативном состоянии, кв. 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внпр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проезжей части внутриквартальных проездов, относящихся к муниципальной собственности, кв. 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МКУ "Благоустройство района"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отчетная документация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согласно </w:t>
            </w:r>
            <w:hyperlink r:id="rId30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пункту 3.7</w:t>
              </w:r>
            </w:hyperlink>
            <w:r w:rsidRPr="000451DA">
              <w:rPr>
                <w:rFonts w:ascii="Times New Roman" w:hAnsi="Times New Roman" w:cs="Times New Roman"/>
                <w:szCs w:val="24"/>
              </w:rPr>
              <w:t xml:space="preserve"> Постановления администрации города Перми от 24 сентября 2008 г. N 938 "Об утверждении Регламента организации наружного освещения улиц города Перми"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ДДБ,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ежемесячные выездные проверки в рамках осуществления контроля за работой МУП НО г. Перми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Горсвет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", выполняющего работы по содержанию и ремонту муниципальных сетей наружного освещения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ежемесячно, до 30 числа месяца, следующего за отчетным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Доля уличных опор освещения, которая охвачена интеллектуальными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системами освещения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С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общ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С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инт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.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С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общ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светильников на улично-дорожной сети города Перми;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С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инт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.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светильников,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оснащенных системой интеллектуального управления (нарастающим итогом)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ежегодно, до 01 февраля года, следующего за отчетным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количество зданий, в отношении которых завершены работы по архитектурной подсветке фасада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акт приемки выполненных работ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"удовлетворительно" (согласно </w:t>
            </w:r>
            <w:hyperlink r:id="rId31" w:history="1">
              <w:r w:rsidRPr="000451DA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Постановлению</w:t>
              </w:r>
            </w:hyperlink>
            <w:r w:rsidRPr="000451DA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06 ноября 2009 г. N 830 "Об утверждении Положения о системе оплаты труда работников муниципальных учреждений в сфере благоустройства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территории города Перми")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Дучр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Кучр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Оучр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Кучр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муниципальных казенных учреждений, осуществляющих функцию муниципального заказчика, имеющих оценку эффективности деятельности учреждений не менее "удовлетворительно", ед.;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Оучр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общее количество муниципальных казенных учреждений, осуществляющих функцию муниципального заказчика, ед.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ДДБ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информации от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", МКУ "Благоустройство района"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01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ТСОДД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ТСОДД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доля технических средств организации дорожного движения, находящихся на содержании;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технических средств организации дорожного движения, находящихся на содержании;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общее количество технических средств организации дорожного движения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контрактов, заключенных на содержание технических средств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проектов организации дорожного движения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ТСВН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ТСВН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доля комплексов технических средств видеонаблюдения и управления дорожным движением, находящихся на содержании;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технических средств видеонаблюдения и управления дорожным движением, находящихся на содержании;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общее количество технических средств видеонаблюдения и управления дорожным движением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КСтсвн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контрактов, заключенных на содержание видеонаблюдения и управления дорожным движением;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Ктсвн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проектов организации дорожного движения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Доля площади улично-дорожной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ПОб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ПОДД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/ П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ПОб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.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доля площади улично-дорожной сети, обеспеченная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проектами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ПОДД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улично-дорожной сети, обеспеченная актуальными проектами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 - общая площадь улично-дорожной сети города Перми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ПОДД</w:t>
            </w:r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проектов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 - по данным департамента дорог и благоустройства и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 (балансодержателя)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запрос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 xml:space="preserve">ежегодно, до 20 февраля года,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ПРеал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РеалПОДД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П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ПРеал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доля площади улично-дорожной сети, на которой реализованы проекты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РеалПОДД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площадь улично-дорожной сети, на которой реализованы проекты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 - общая площадь улично-дорожной сети города Перми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</w:t>
            </w:r>
            <w:r w:rsidRPr="000451DA">
              <w:rPr>
                <w:rFonts w:ascii="Times New Roman" w:hAnsi="Times New Roman" w:cs="Times New Roman"/>
                <w:szCs w:val="24"/>
                <w:vertAlign w:val="subscript"/>
              </w:rPr>
              <w:t>Реал.ПОДД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на основании данных об исполнении контрактов, заключенных на комплексную реализацию проектов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 - по данным ДДБ и МКУ "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>" (балансодержателя)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УВо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Ко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Кпл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УВо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удельный вес обустроенных светофорных объектов;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Ко - количество обустроенных светофорных объектов на улично-дорожной сети;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Кпл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запланированных к обустройству светофорных объектов на улично-дорожной </w:t>
            </w: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сети города Перми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Ко - по данным контрактов;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Кпл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утвержденной муниципальной программы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по данным бухгалтерской отчетности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0451DA" w:rsidRPr="000451DA" w:rsidTr="000451DA">
        <w:trPr>
          <w:gridAfter w:val="1"/>
          <w:wAfter w:w="8" w:type="dxa"/>
        </w:trPr>
        <w:tc>
          <w:tcPr>
            <w:tcW w:w="363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040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96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0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Копм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262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Дпм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доля организованных парковочных мест;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Копм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количество организованных парковочных мест;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а общее количество парковочных мест в зоне платной парковки, утвержденных проектами организации дорожного движения</w:t>
            </w:r>
          </w:p>
        </w:tc>
        <w:tc>
          <w:tcPr>
            <w:tcW w:w="1967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актуальных проектов организации дорожного движения;</w:t>
            </w:r>
          </w:p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1DA">
              <w:rPr>
                <w:rFonts w:ascii="Times New Roman" w:hAnsi="Times New Roman" w:cs="Times New Roman"/>
                <w:szCs w:val="24"/>
              </w:rPr>
              <w:t>Копм</w:t>
            </w:r>
            <w:proofErr w:type="spellEnd"/>
            <w:r w:rsidRPr="000451DA">
              <w:rPr>
                <w:rFonts w:ascii="Times New Roman" w:hAnsi="Times New Roman" w:cs="Times New Roman"/>
                <w:szCs w:val="24"/>
              </w:rPr>
              <w:t xml:space="preserve"> - по данным МКУ "Пермская дирекция дорожного движения"</w:t>
            </w:r>
          </w:p>
        </w:tc>
        <w:tc>
          <w:tcPr>
            <w:tcW w:w="1928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запрос исходных данных</w:t>
            </w:r>
          </w:p>
        </w:tc>
        <w:tc>
          <w:tcPr>
            <w:tcW w:w="1684" w:type="dxa"/>
          </w:tcPr>
          <w:p w:rsidR="000451DA" w:rsidRPr="000451DA" w:rsidRDefault="000451DA" w:rsidP="000451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1DA">
              <w:rPr>
                <w:rFonts w:ascii="Times New Roman" w:hAnsi="Times New Roman" w:cs="Times New Roman"/>
                <w:szCs w:val="24"/>
              </w:rPr>
              <w:t>ежегодно, до 20 февраля года, следующего за отчетным периодом</w:t>
            </w:r>
          </w:p>
        </w:tc>
      </w:tr>
    </w:tbl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51DA" w:rsidRPr="000451DA" w:rsidRDefault="000451DA" w:rsidP="000451DA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0451DA" w:rsidRDefault="00DA656C" w:rsidP="000451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DA656C" w:rsidRPr="000451DA" w:rsidSect="000451DA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A"/>
    <w:rsid w:val="000451DA"/>
    <w:rsid w:val="00D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7274-2F21-4295-87BE-4E3ECFD1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1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D56FD293139A8BD4750505B82E32CEF00CD8DB948CBCB0A4F11BC13D7A90B6B52D85B7DA94089AE95A50081C2CC974710VAN" TargetMode="External"/><Relationship Id="rId13" Type="http://schemas.openxmlformats.org/officeDocument/2006/relationships/hyperlink" Target="consultantplus://offline/ref=7D9D56FD293139A8BD4750505B82E32CEF00CD8DB94DC8CC084911BC13D7A90B6B52D85B7DA94089AE95A50081C2CC974710VAN" TargetMode="External"/><Relationship Id="rId18" Type="http://schemas.openxmlformats.org/officeDocument/2006/relationships/hyperlink" Target="consultantplus://offline/ref=7D9D56FD293139A8BD4750505B82E32CEF00CD8DB94DC1CA0C4D11BC13D7A90B6B52D85B7DA94089AE95A50081C2CC974710VAN" TargetMode="External"/><Relationship Id="rId26" Type="http://schemas.openxmlformats.org/officeDocument/2006/relationships/hyperlink" Target="consultantplus://offline/ref=7D9D56FD293139A8BD4750505B82E32CEF00CD8DB94BCBCD094111BC13D7A90B6B52D85B7DA94089AE95A50081C2CC974710V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9D56FD293139A8BD4750505B82E32CEF00CD8DB94ACCCD0E4811BC13D7A90B6B52D85B7DA94089AE95A50081C2CC974710VAN" TargetMode="External"/><Relationship Id="rId7" Type="http://schemas.openxmlformats.org/officeDocument/2006/relationships/hyperlink" Target="consultantplus://offline/ref=7D9D56FD293139A8BD4750505B82E32CEF00CD8DB948C8C40A4D11BC13D7A90B6B52D85B6FA91885AF94B054D2989B9A450BC7989CA7E1BBBF18V0N" TargetMode="External"/><Relationship Id="rId12" Type="http://schemas.openxmlformats.org/officeDocument/2006/relationships/hyperlink" Target="consultantplus://offline/ref=7D9D56FD293139A8BD4750505B82E32CEF00CD8DB94CC0CF074B11BC13D7A90B6B52D85B7DA94089AE95A50081C2CC974710VAN" TargetMode="External"/><Relationship Id="rId17" Type="http://schemas.openxmlformats.org/officeDocument/2006/relationships/hyperlink" Target="consultantplus://offline/ref=7D9D56FD293139A8BD4750505B82E32CEF00CD8DB94DCCCA0D4811BC13D7A90B6B52D85B7DA94089AE95A50081C2CC974710VAN" TargetMode="External"/><Relationship Id="rId25" Type="http://schemas.openxmlformats.org/officeDocument/2006/relationships/hyperlink" Target="consultantplus://offline/ref=7D9D56FD293139A8BD4750505B82E32CEF00CD8DB94AC0C4084811BC13D7A90B6B52D85B7DA94089AE95A50081C2CC974710VA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9D56FD293139A8BD4750505B82E32CEF00CD8DB94DCDCE0E4E11BC13D7A90B6B52D85B7DA94089AE95A50081C2CC974710VAN" TargetMode="External"/><Relationship Id="rId20" Type="http://schemas.openxmlformats.org/officeDocument/2006/relationships/hyperlink" Target="consultantplus://offline/ref=7D9D56FD293139A8BD4750505B82E32CEF00CD8DB94ACAC8074811BC13D7A90B6B52D85B7DA94089AE95A50081C2CC974710VAN" TargetMode="External"/><Relationship Id="rId29" Type="http://schemas.openxmlformats.org/officeDocument/2006/relationships/hyperlink" Target="consultantplus://offline/ref=1712FDB50A04D9099961D40C19E025911ECF91EDF13474B7D6516A99F7E1CA6F2231C6E8DEB7E033EF6C8F6552EE5366252FV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9D56FD293139A8BD474E5D4DEEBE27E30B9688BB4CC29B531D17EB4C87AF5E391286022CEE0B84AC88B900811DVEN" TargetMode="External"/><Relationship Id="rId11" Type="http://schemas.openxmlformats.org/officeDocument/2006/relationships/hyperlink" Target="consultantplus://offline/ref=7D9D56FD293139A8BD4750505B82E32CEF00CD8DB94CCECC0C4811BC13D7A90B6B52D85B7DA94089AE95A50081C2CC974710VAN" TargetMode="External"/><Relationship Id="rId24" Type="http://schemas.openxmlformats.org/officeDocument/2006/relationships/hyperlink" Target="consultantplus://offline/ref=7D9D56FD293139A8BD4750505B82E32CEF00CD8DB94AC0C50C4D11BC13D7A90B6B52D85B7DA94089AE95A50081C2CC974710VA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D9D56FD293139A8BD474E5D4DEEBE27E40C9480BA48C29B531D17EB4C87AF5E391286022CEE0B84AC88B900811DVEN" TargetMode="External"/><Relationship Id="rId15" Type="http://schemas.openxmlformats.org/officeDocument/2006/relationships/hyperlink" Target="consultantplus://offline/ref=7D9D56FD293139A8BD4750505B82E32CEF00CD8DB94DCAC8094911BC13D7A90B6B52D85B7DA94089AE95A50081C2CC974710VAN" TargetMode="External"/><Relationship Id="rId23" Type="http://schemas.openxmlformats.org/officeDocument/2006/relationships/hyperlink" Target="consultantplus://offline/ref=7D9D56FD293139A8BD4750505B82E32CEF00CD8DB94AC1CE0F4C11BC13D7A90B6B52D85B7DA94089AE95A50081C2CC974710VAN" TargetMode="External"/><Relationship Id="rId28" Type="http://schemas.openxmlformats.org/officeDocument/2006/relationships/hyperlink" Target="consultantplus://offline/ref=7D9D56FD293139A8BD4750505B82E32CEF00CD8DB94BCDC80B4811BC13D7A90B6B52D85B7DA94089AE95A50081C2CC974710VAN" TargetMode="External"/><Relationship Id="rId10" Type="http://schemas.openxmlformats.org/officeDocument/2006/relationships/hyperlink" Target="consultantplus://offline/ref=7D9D56FD293139A8BD4750505B82E32CEF00CD8DB94CCCCF0F4E11BC13D7A90B6B52D85B7DA94089AE95A50081C2CC974710VAN" TargetMode="External"/><Relationship Id="rId19" Type="http://schemas.openxmlformats.org/officeDocument/2006/relationships/hyperlink" Target="consultantplus://offline/ref=7D9D56FD293139A8BD4750505B82E32CEF00CD8DB94AC9C50B4B11BC13D7A90B6B52D85B7DA94089AE95A50081C2CC974710VAN" TargetMode="External"/><Relationship Id="rId31" Type="http://schemas.openxmlformats.org/officeDocument/2006/relationships/hyperlink" Target="consultantplus://offline/ref=1712FDB50A04D9099961D40C19E025911ECF91EDF13275BFD25C6A99F7E1CA6F2231C6E8DEB7E033EF6C8F6552EE5366252FV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9D56FD293139A8BD4750505B82E32CEF00CD8DB94CCDCE0C4811BC13D7A90B6B52D85B7DA94089AE95A50081C2CC974710VAN" TargetMode="External"/><Relationship Id="rId14" Type="http://schemas.openxmlformats.org/officeDocument/2006/relationships/hyperlink" Target="consultantplus://offline/ref=7D9D56FD293139A8BD4750505B82E32CEF00CD8DB94DC8C90C4B11BC13D7A90B6B52D85B7DA94089AE95A50081C2CC974710VAN" TargetMode="External"/><Relationship Id="rId22" Type="http://schemas.openxmlformats.org/officeDocument/2006/relationships/hyperlink" Target="consultantplus://offline/ref=7D9D56FD293139A8BD4750505B82E32CEF00CD8DB94ACFCE074D11BC13D7A90B6B52D85B7DA94089AE95A50081C2CC974710VAN" TargetMode="External"/><Relationship Id="rId27" Type="http://schemas.openxmlformats.org/officeDocument/2006/relationships/hyperlink" Target="consultantplus://offline/ref=7D9D56FD293139A8BD4750505B82E32CEF00CD8DB94BCBC5064A11BC13D7A90B6B52D85B7DA94089AE95A50081C2CC974710VAN" TargetMode="External"/><Relationship Id="rId30" Type="http://schemas.openxmlformats.org/officeDocument/2006/relationships/hyperlink" Target="consultantplus://offline/ref=1712FDB50A04D9099961D40C19E025911ECF91EDF63677BDDD5E3793FFB8C66D253E99FFCBFEB43EEF6C95645BA4002272F9CD647D1A02B2D686F52CV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11056</Words>
  <Characters>63021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2022-02-03T13:21:00Z</dcterms:created>
  <dcterms:modified xsi:type="dcterms:W3CDTF">2022-02-03T13:28:00Z</dcterms:modified>
</cp:coreProperties>
</file>