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00" w:rsidRPr="00092581" w:rsidRDefault="009D6300" w:rsidP="009D6300">
      <w:pPr>
        <w:widowControl w:val="0"/>
        <w:jc w:val="center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ИНФОРМАЦИЯ</w:t>
      </w:r>
    </w:p>
    <w:p w:rsidR="009D6300" w:rsidRPr="00092581" w:rsidRDefault="009D6300" w:rsidP="009D6300">
      <w:pPr>
        <w:widowControl w:val="0"/>
        <w:jc w:val="center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о премиях города Перми в сфере культуры и искусства</w:t>
      </w:r>
    </w:p>
    <w:p w:rsidR="009D6300" w:rsidRPr="00092581" w:rsidRDefault="009D6300" w:rsidP="009D6300">
      <w:pPr>
        <w:widowControl w:val="0"/>
        <w:rPr>
          <w:bCs/>
          <w:snapToGrid w:val="0"/>
          <w:color w:val="000000"/>
          <w:sz w:val="28"/>
        </w:rPr>
      </w:pP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Департамент культуры и молодежной политики администрации города Перми объявляет прием документов на соискание премий города Перми в сфере культуры и искусства с 15 февраля по 15 марта 20</w:t>
      </w:r>
      <w:r w:rsidRPr="00092581">
        <w:rPr>
          <w:sz w:val="28"/>
          <w:szCs w:val="24"/>
        </w:rPr>
        <w:t>2</w:t>
      </w:r>
      <w:r>
        <w:rPr>
          <w:sz w:val="28"/>
          <w:szCs w:val="24"/>
        </w:rPr>
        <w:t>3</w:t>
      </w:r>
      <w:r w:rsidRPr="00092581">
        <w:rPr>
          <w:bCs/>
          <w:snapToGrid w:val="0"/>
          <w:color w:val="000000"/>
          <w:sz w:val="28"/>
        </w:rPr>
        <w:t xml:space="preserve"> года по 7 номинациям:</w:t>
      </w:r>
    </w:p>
    <w:p w:rsidR="009D6300" w:rsidRPr="00092581" w:rsidRDefault="009D6300" w:rsidP="009D6300">
      <w:pPr>
        <w:widowControl w:val="0"/>
        <w:suppressAutoHyphens/>
        <w:ind w:firstLine="36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 премия имени русского антрепренера Сергея Павловича Дягилева - за лучшую актерскую работу в жанре хореографии;</w:t>
      </w:r>
    </w:p>
    <w:p w:rsidR="009D6300" w:rsidRPr="00092581" w:rsidRDefault="009D6300" w:rsidP="009D6300">
      <w:pPr>
        <w:widowControl w:val="0"/>
        <w:suppressAutoHyphens/>
        <w:ind w:firstLine="36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 премия имени Народной артистки СССР Лидии Владимировны Мосоловой - за лучшую актерскую работу в жанре драматического искусства;</w:t>
      </w:r>
    </w:p>
    <w:p w:rsidR="009D6300" w:rsidRPr="00092581" w:rsidRDefault="009D6300" w:rsidP="009D6300">
      <w:pPr>
        <w:widowControl w:val="0"/>
        <w:suppressAutoHyphens/>
        <w:ind w:firstLine="36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 премия имени русского композитора и музыканта Александра Павловича </w:t>
      </w:r>
      <w:proofErr w:type="spellStart"/>
      <w:r w:rsidRPr="00092581">
        <w:rPr>
          <w:bCs/>
          <w:snapToGrid w:val="0"/>
          <w:color w:val="000000"/>
          <w:sz w:val="28"/>
        </w:rPr>
        <w:t>Немтина</w:t>
      </w:r>
      <w:proofErr w:type="spellEnd"/>
      <w:r w:rsidRPr="00092581">
        <w:rPr>
          <w:bCs/>
          <w:snapToGrid w:val="0"/>
          <w:color w:val="000000"/>
          <w:sz w:val="28"/>
        </w:rPr>
        <w:t xml:space="preserve"> - за исполнительское мастерство или создание лучшего произведения в жанре музыкального искусства;</w:t>
      </w:r>
    </w:p>
    <w:p w:rsidR="009D6300" w:rsidRPr="00092581" w:rsidRDefault="009D6300" w:rsidP="009D6300">
      <w:pPr>
        <w:widowControl w:val="0"/>
        <w:suppressAutoHyphens/>
        <w:ind w:firstLine="36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 премия имени русского поэта и критика Алексея Федоровича Мерзлякова - за лучшее произведение художественной литературы;</w:t>
      </w:r>
    </w:p>
    <w:p w:rsidR="009D6300" w:rsidRPr="00092581" w:rsidRDefault="009D6300" w:rsidP="009D6300">
      <w:pPr>
        <w:widowControl w:val="0"/>
        <w:suppressAutoHyphens/>
        <w:ind w:firstLine="36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 премия имени Заслуженного художника России Ивана Степановича Борисова - за лучшую творческую работу в сфере изобразительного искусства;</w:t>
      </w:r>
    </w:p>
    <w:p w:rsidR="009D6300" w:rsidRPr="00092581" w:rsidRDefault="009D6300" w:rsidP="009D6300">
      <w:pPr>
        <w:widowControl w:val="0"/>
        <w:suppressAutoHyphens/>
        <w:ind w:firstLine="36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 премия имени Заслуженного артиста России, режиссера Георгия Ивановича Буркова - за лучшую режиссерскую работу в театре, кинематографии и на телевидении;</w:t>
      </w:r>
    </w:p>
    <w:p w:rsidR="009D6300" w:rsidRPr="00092581" w:rsidRDefault="009D6300" w:rsidP="009D6300">
      <w:pPr>
        <w:widowControl w:val="0"/>
        <w:suppressAutoHyphens/>
        <w:ind w:firstLine="36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 премия имени исследователя и просветителя культуры Пермского края Николая Николаевича Серебренникова - за вклад в культурно-просветительскую деятельность.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На соискание городской премии может быть выдвинут гражданин РФ, проживающий на территории города Перми, деятель сферы культуры и искусства за личные достижения, после опубликования его творческой работы в сфере культуры и искусства в средствах массовой информации, широкого общественного ознакомления с его творчеством на выставках, концертах, спектаклях, иных выступлениях.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При подготовке предложений по кандидатурам лауреатов городских премий учитывается мастерство претендента, профессионализм, уровень творческих способностей,</w:t>
      </w:r>
      <w:r w:rsidRPr="00092581">
        <w:rPr>
          <w:bCs/>
          <w:snapToGrid w:val="0"/>
          <w:color w:val="000000"/>
          <w:sz w:val="28"/>
          <w:vertAlign w:val="superscript"/>
        </w:rPr>
        <w:t xml:space="preserve"> </w:t>
      </w:r>
      <w:r w:rsidRPr="00092581">
        <w:rPr>
          <w:bCs/>
          <w:snapToGrid w:val="0"/>
          <w:color w:val="000000"/>
          <w:sz w:val="28"/>
        </w:rPr>
        <w:t>художественный уровень произведений, оригинальность творческой работы и ее значимость для развития культуры и искусства города Перми.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Лауреатам городской премии однократно выплачивается денежное вознаграждение в размере 100 тысяч рублей, определенном решением Пермской городской Думы «О премиях города Перми в сфере культуры и искусства».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Выдвижение работ на соискание городских премий производится творческими союзами учреждениями, организациями, учебными заведениями и творческими коллективами сферы культуры, редакциями средств массовой информации, публикующие материалы о культуре города.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Творческие работы рассматриваются комиссией по премиям при условии, что они были опубликованы или публично представлены в течение двух </w:t>
      </w:r>
      <w:r w:rsidRPr="00092581">
        <w:rPr>
          <w:bCs/>
          <w:snapToGrid w:val="0"/>
          <w:color w:val="000000"/>
          <w:sz w:val="28"/>
        </w:rPr>
        <w:lastRenderedPageBreak/>
        <w:t>предшествующих лет до истечения срока их приема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Один и тот же автор может одновременно выдвигаться на соискание премии за одну или несколько творческих работ.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Организация, выдвигающая претендента, представляет в департамент культуры и молодежной политики (по адресу ул. Ленина, 27, тел. 212 41 08) до 15 марта 20</w:t>
      </w:r>
      <w:r w:rsidRPr="00092581">
        <w:rPr>
          <w:sz w:val="28"/>
          <w:szCs w:val="24"/>
        </w:rPr>
        <w:t>2</w:t>
      </w:r>
      <w:r>
        <w:rPr>
          <w:sz w:val="28"/>
          <w:szCs w:val="24"/>
        </w:rPr>
        <w:t>3</w:t>
      </w:r>
      <w:r w:rsidRPr="00092581">
        <w:rPr>
          <w:bCs/>
          <w:snapToGrid w:val="0"/>
          <w:color w:val="000000"/>
          <w:sz w:val="28"/>
        </w:rPr>
        <w:t xml:space="preserve"> года документы на </w:t>
      </w:r>
      <w:r w:rsidRPr="00092581">
        <w:rPr>
          <w:b/>
          <w:bCs/>
          <w:snapToGrid w:val="0"/>
          <w:color w:val="000000"/>
          <w:sz w:val="28"/>
        </w:rPr>
        <w:t>электронном и бумажном</w:t>
      </w:r>
      <w:r w:rsidRPr="00092581">
        <w:rPr>
          <w:bCs/>
          <w:snapToGrid w:val="0"/>
          <w:color w:val="000000"/>
          <w:sz w:val="28"/>
        </w:rPr>
        <w:t xml:space="preserve"> носителях: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- ходатайство о выдвижении претендента на соискание городской премии с указанием даты ознакомления комиссии по премиям с его творческой работой; 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- анкету, заполненную организацией по форме, утвержденной приказом департамента культуры и молодежной политики; 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- творческую характеристику на претендента, содержащую следующие сведения: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об образовании (с приложением соответствующих документов), об участии в творческих проектах в сфере культуры и искусства, об участии в конкурсах лауреатов в сфере культуры и искусства, в том числе в международных конкурсах, о наличии наград, премий и иных официальных признаний в сфере культуры и искусства (с приложением соответствующих документов);          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- информацию о творческой работе (творческих работах) на бумажном и электронном носителях: </w:t>
      </w:r>
    </w:p>
    <w:p w:rsidR="009D6300" w:rsidRPr="00092581" w:rsidRDefault="009D6300" w:rsidP="009D6300">
      <w:pPr>
        <w:widowControl w:val="0"/>
        <w:suppressAutoHyphens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 - о публикациях в средствах массовой информации (с приложением копий публикаций) или представлением работы (творческих работ),</w:t>
      </w:r>
    </w:p>
    <w:p w:rsidR="009D6300" w:rsidRPr="00092581" w:rsidRDefault="009D6300" w:rsidP="009D6300">
      <w:pPr>
        <w:widowControl w:val="0"/>
        <w:suppressAutoHyphens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-  о публичных выступлениях (с приложением соответствующих материалов),</w:t>
      </w:r>
    </w:p>
    <w:p w:rsidR="009D6300" w:rsidRPr="00092581" w:rsidRDefault="009D6300" w:rsidP="009D6300">
      <w:pPr>
        <w:widowControl w:val="0"/>
        <w:suppressAutoHyphens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 xml:space="preserve">       - о рецензиях профессиональных критиков, профильных специалистов в сфере культуры и искусства на эту (творческие работы) с приложением рецензий.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rFonts w:eastAsia="Times-Roman"/>
          <w:bCs/>
          <w:snapToGrid w:val="0"/>
          <w:color w:val="000000"/>
          <w:sz w:val="28"/>
        </w:rPr>
      </w:pPr>
      <w:r w:rsidRPr="00092581">
        <w:rPr>
          <w:rFonts w:eastAsia="Times-Roman"/>
          <w:bCs/>
          <w:snapToGrid w:val="0"/>
          <w:color w:val="000000"/>
          <w:sz w:val="28"/>
        </w:rPr>
        <w:t>- адреса регистрации места жительства и контактного телефона,</w:t>
      </w:r>
    </w:p>
    <w:p w:rsidR="009D6300" w:rsidRPr="00092581" w:rsidRDefault="009D6300" w:rsidP="009D6300">
      <w:pPr>
        <w:widowControl w:val="0"/>
        <w:suppressAutoHyphens/>
        <w:ind w:firstLine="540"/>
        <w:jc w:val="both"/>
        <w:rPr>
          <w:bCs/>
          <w:snapToGrid w:val="0"/>
          <w:color w:val="000000"/>
          <w:sz w:val="28"/>
        </w:rPr>
      </w:pPr>
      <w:r w:rsidRPr="00092581">
        <w:rPr>
          <w:rFonts w:eastAsia="Times-Roman"/>
          <w:bCs/>
          <w:snapToGrid w:val="0"/>
          <w:color w:val="000000"/>
          <w:sz w:val="28"/>
        </w:rPr>
        <w:t>- согласие претендента на обработку персональных данных.</w:t>
      </w:r>
    </w:p>
    <w:p w:rsidR="009D6300" w:rsidRPr="00092581" w:rsidRDefault="009D6300" w:rsidP="009D6300">
      <w:pPr>
        <w:spacing w:line="360" w:lineRule="exact"/>
        <w:ind w:firstLine="720"/>
        <w:jc w:val="both"/>
        <w:rPr>
          <w:sz w:val="28"/>
          <w:szCs w:val="24"/>
        </w:rPr>
      </w:pPr>
      <w:bookmarkStart w:id="0" w:name="_GoBack"/>
      <w:bookmarkEnd w:id="0"/>
    </w:p>
    <w:p w:rsidR="009D6300" w:rsidRPr="00092581" w:rsidRDefault="009D6300" w:rsidP="009D6300">
      <w:pPr>
        <w:widowControl w:val="0"/>
        <w:jc w:val="both"/>
        <w:rPr>
          <w:bCs/>
          <w:snapToGrid w:val="0"/>
          <w:color w:val="000000"/>
          <w:sz w:val="28"/>
        </w:rPr>
      </w:pPr>
      <w:r w:rsidRPr="00092581">
        <w:rPr>
          <w:bCs/>
          <w:snapToGrid w:val="0"/>
          <w:color w:val="000000"/>
          <w:sz w:val="28"/>
        </w:rPr>
        <w:t>Дополнительная информация:</w:t>
      </w:r>
    </w:p>
    <w:p w:rsidR="009D6300" w:rsidRPr="00092581" w:rsidRDefault="009D6300" w:rsidP="009D6300">
      <w:pPr>
        <w:widowControl w:val="0"/>
        <w:jc w:val="both"/>
        <w:rPr>
          <w:bCs/>
          <w:snapToGrid w:val="0"/>
          <w:color w:val="000000"/>
          <w:sz w:val="28"/>
        </w:rPr>
      </w:pPr>
      <w:r w:rsidRPr="00092581">
        <w:rPr>
          <w:sz w:val="28"/>
          <w:szCs w:val="24"/>
        </w:rPr>
        <w:t xml:space="preserve">Ксения Павловна Бычина </w:t>
      </w:r>
      <w:r w:rsidRPr="00092581">
        <w:rPr>
          <w:bCs/>
          <w:snapToGrid w:val="0"/>
          <w:color w:val="000000"/>
          <w:sz w:val="28"/>
        </w:rPr>
        <w:t>212-41-08</w:t>
      </w:r>
    </w:p>
    <w:p w:rsidR="00AD7A3E" w:rsidRDefault="00AD7A3E"/>
    <w:sectPr w:rsidR="00AD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00"/>
    <w:rsid w:val="009D6300"/>
    <w:rsid w:val="00A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2AB9-1E8E-4D36-9570-910FF1EE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2023-01-20T09:48:00Z</dcterms:created>
  <dcterms:modified xsi:type="dcterms:W3CDTF">2023-01-20T09:48:00Z</dcterms:modified>
</cp:coreProperties>
</file>