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Перечень нормативных правовых актов,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касающихся деятельности</w:t>
      </w:r>
    </w:p>
    <w:p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департамента культуры и молодежной политики администрации города Перми</w:t>
      </w:r>
    </w:p>
    <w:p>
      <w:pPr>
        <w:ind w:firstLine="709"/>
        <w:jc w:val="both"/>
        <w:rPr>
          <w:szCs w:val="28"/>
        </w:rPr>
      </w:pPr>
    </w:p>
    <w:p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Международные акты:</w:t>
      </w:r>
    </w:p>
    <w:p>
      <w:pPr>
        <w:pStyle w:val="afd"/>
        <w:numPr>
          <w:numId w:val="5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Евразийской экономической комиссии от 18.10.2016 № 114 "О техническом регламенте Евразийского экономического союза "О безопасности аттракционов" (вместе с "ТР ЕАЭС 038/2016. Технический регламент Евразийского экономического союза. О безопасности аттракционов") </w:t>
      </w:r>
    </w:p>
    <w:p>
      <w:pPr>
        <w:ind w:firstLine="709"/>
        <w:rPr>
          <w:rFonts w:ascii="Times New Roman" w:hAnsi="Times New Roman"/>
          <w:sz w:val="28"/>
          <w:szCs w:val="28"/>
        </w:rPr>
      </w:pPr>
    </w:p>
    <w:p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Нормативные акты Российской Федерации: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Конституция Российской Федерации. 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Федеральный закон от 20.03.2025 № 33-ФЗ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кодекс Российской Федерации, ч. 1, 2, 4.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Бюджетный кодекс Российской Федерации.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25.06.2002 № 73-ФЗ «Об объектах культурного наследия (памятниках истории и культуры) народов Российской Федерации».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29.12.1994 № 78-ФЗ «О библиотечном деле».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12.01.1996 № 7-ФЗ «О некоммерческих организациях».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29.12.2012 № 273-ФЗ «Об образовании в Российской Федерации».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03.11.2006 № 174-ФЗ «Об автономных учреждениях». 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30.12.2020 № 489-ФЗ «О молодежной политике в Российской Федерации».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06.03.2006 № 35-ФЗ «О противодействии терроризму».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21.12.1994 № 69-ФЗ «О пожарной безопасности».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11.02. 2017 г.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  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законодательства Российской Федерации о культуре (утв. ВС РФ 09.10.1992 № 3612-1).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Распоряжение Правительства РФ от 17.08.2024 № 2233-р «Об утверждении Стратегии реализации молодежной политики в Российской Федерации на период до 2030 года»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15.02.2006 № 116 «О мерах по противодействию терроризму».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РФ от 30.11.1992 № 1487 «Об особо ценных объектах культурного наследия народов Российской Федерации».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07.05.2012 № 597 «О мероприятиях по реализации государственной социальной политики».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01.06.2012 №761 «О национальной стратегии действий в интересах детей на 2012 – 2017 годы</w:t>
      </w:r>
      <w:r>
        <w:rPr>
          <w:rFonts w:ascii="Times New Roman" w:hAnsi="Times New Roman"/>
          <w:sz w:val="28"/>
          <w:szCs w:val="28"/>
        </w:rPr>
        <w:t xml:space="preserve">» 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РФ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РФ от 24.12.2021 № 2464 «О порядке обучения по охране труда и проверки знания требований охраны труда» (вместе с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Правилами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). 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равительства Российской Федерации от 16 сентября 2020 года № 1479 «Об утверждении Правил противопожарного режима в Российской Федерации»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РФ от 30.12.2019 № 1939 «Об утверждении Правил государственной регистрации аттракционов».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РФ от 08.09.2021 № 1521 «О социальной поддержке молодежи в возрасте от 14 до 22 лет для повышения доступности организаций культуры» (вместе с «Правилами реализации мер по социальной поддержке молодежи в возрасте от 14 до 22 лет для повышения доступности организаций культуры»).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Минтруда РФ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>
      <w:pPr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Минкультуры России от 02.07.2015 № 1905 «Об утверждении порядка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наследия».</w:t>
      </w:r>
    </w:p>
    <w:p>
      <w:pPr>
        <w:pStyle w:val="afd"/>
        <w:numPr>
          <w:numId w:val="2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 Росстандарта от 28.06.2016 № 721-ст «Об утверждении национального стандарта»</w:t>
      </w:r>
    </w:p>
    <w:p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Правовые акты Пермского края:</w:t>
      </w:r>
    </w:p>
    <w:p>
      <w:pPr>
        <w:numPr>
          <w:numId w:val="3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Пермского края от 05.03.2008 № 205-ПК «О библиотечном деле в Пермском крае».</w:t>
      </w:r>
    </w:p>
    <w:p>
      <w:pPr>
        <w:numPr>
          <w:numId w:val="3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Пермского края от 05.07.2021 № 669-ПК «О молодежной политике в Пермском крае».</w:t>
      </w:r>
    </w:p>
    <w:p>
      <w:pPr>
        <w:numPr>
          <w:numId w:val="3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Пермского края от 20.06.2017 № 546-п «О мерах при проведении на территории Пермского края мероприятий с массовым пребыванием людей».</w:t>
      </w:r>
    </w:p>
    <w:p>
      <w:pPr>
        <w:numPr>
          <w:numId w:val="3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Пермского края от 31.03.2017 № 187-п «Об утверждении Порядка предоставления, распределения и расходования субсидий из бюджета Пермского края, в том числе с участием средств федерального бюджета, бюджетам муниципальных образований Пермского края на поддержку отрасли культуры и признании утратившими силу отдельных постановлений Правительства Пермского края»</w:t>
      </w:r>
    </w:p>
    <w:p>
      <w:pPr>
        <w:numPr>
          <w:numId w:val="3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Инспекции государственного технического надзора Пермского края от 18.05.2020 № СЭД-28-02-06-56 «Об утверждении Административного регламента Инспекции государственного технического надзора Пермского края по предоставлению государственной услуги по проведению государственной регистрации аттракционов»</w:t>
      </w:r>
    </w:p>
    <w:p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Правовые акты города Перми: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города Перми.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Пермской городской Думы от 26.06.2012 № 139 «О департаменте культуры и молодежной политики администрации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Пермской городской Думы от 26.02.2013 № 45 «Об утверждении Порядка присвоения наименований городским объектам и установки объектов монументального искусства на территории города Перми, Положения об Общественном совете по топонимике при Главе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Пермской городской Думы от 27.01.2015 № 18 «О премиях города Перми в сфере культуры и искусств».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Пермской городской Думы от 22.09.2009 № 217 «О принятии расходных обязательств по выплате стипендий одаренным детям, обучающимся в образовательных учреждениях дополнительного образования детей в сфере культуры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23.04.2008 № 308 «Об утверждении Регламента взаимодействия департамента культуры и молодежной политики администрации города Перми с территориальными органами администрации города Перми в сфере молодежной политики».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06.12.2017 № 1098 «О мерах при проведении на территории города Перми мероприятий с массовым пребыванием людей».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12.07.2016 № 492 «О ранжировании объектов муниципальной собственности, подлежащих ремонту и приведению в нормативное состояние в сфере образования, физической культуры и спорта, культуры, дополнительного образования в сфере культуры, молодежной политики».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09.12.2022 № 1269 «Об утверждении Порядка выплаты стипендий одаренным детям, обучающимся в образовательных учреждениях дополнительного образования детей в сфере </w:t>
      </w:r>
      <w:r>
        <w:rPr>
          <w:rFonts w:ascii="Times New Roman" w:hAnsi="Times New Roman"/>
          <w:sz w:val="28"/>
          <w:szCs w:val="28"/>
        </w:rPr>
        <w:t xml:space="preserve">культуры города Перми, и о признании утратившими силу отдельных правовых актов администрации города Перми в сфере культуры»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07.11.2017 № 988 «Об утверждении Порядка предоставления субсидий некоммерческим организациям, не являющимся государственными (муниципальными) учреждениями, на финансовое обеспечение затрат, связанных с организацией занятости молодежи».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16.12.2008 № 1214 «Об утверждении Порядка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проектов».</w:t>
      </w:r>
    </w:p>
    <w:p>
      <w:pPr>
        <w:numPr>
          <w:numId w:val="4"/>
          <w:ilvl w:val="0"/>
        </w:numPr>
        <w:tabs>
          <w:tab w:val="left" w:pos="1276"/>
        </w:tabs>
        <w:spacing w:after="0" w:line="288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администрации г. Перми от 07.08.2007 № 324 «Об утверждении Регламента взаимодействия функциональных подразделений,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зрелищного мероприятия».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20.10.2009 № 698 «Об утверждении Положения об отраслевой системе оплаты труда работников муниципальных автономных и 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30.11.2007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28.05.2025 № 367 «Об организации оздоровления, отдыха и занятости детей города Перми»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23.03.2020 №261 «Об учреждении ежегодной премии «Лучший преподаватель учреждения дополнительного образования в сфере культуры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17.10.2024 №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955  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Об утверждении муниципальной программы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Культура и молодежная политика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18.03.2019 № 164 «Об утверждении Положения о системе оплаты труда работников муниципального казенного учреждения «Центр бухгалтерского учета и отчетности в сфере культуры и молодежной политики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города Перми».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Постановление администрации г. Перми от 31.10.2018 № 849 «Об утверждении Порядка предоставления субсидий 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политики, на финансовое обеспечение затрат».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03.03.2020 № 199 «Об установлении расходного обязательства Пермского городского округа по вопросам местного значения на создание условий для организации досуга и обеспечения населения Пермского городского округа услугами в сфере культуры».</w:t>
      </w:r>
    </w:p>
    <w:p>
      <w:pPr>
        <w:pStyle w:val="afd"/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06.09.2017 № 691 «Об установлении расходного обязательства Пермского городского округа, направленного на поддержку инициативной и талантливой молодежи».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06.09.2016 № 657 «Об утверждении Методики расчета нормативных затрат на оказание муниципальной услуги «Библиотечное, библиографическое и информационное обслуживание пользователей библиотеки» и нормативных затрат на содержание муниципального имущества, уплату налогов»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15.09.2016 № 695 «Об утверждении методик расчета нормативных затрат на выполнение муниципальных работ в сфере молодежной политики и нормативных затрат на содержание муниципального имущества, уплату налогов».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24.08.2016 № 623 «Об утверждении Методики расчета нормативных затрат на выполнение муниципальной работы «Организация и проведение культурно-массовых мероприятий" (публичные лекции) и нормативных затрат на содержание муниципального имущества, уплату налогов».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19.10.2016 № 904 «Об утверждении Методики расчета нормативных затрат на оказание муниципальной услуги «Организация и проведение мероприятий» (осуществляемых на платной основе) и нормативных затрат на содержание муниципального имущества, уплату налогов».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07.10.2016 № 803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Об утверждении Методики расчета нормативных затрат на оказание муниципальной услуги «Показ (организация показа) концертных программ» (с учетом всех форм) и нормативных затрат на содержание муниципального имущества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20.09.2016 № 716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Об утверждении Методики расчета нормативных затрат на выполнение муниципальной работы «Обеспечение сохранения и использования объектов культурного наследия» и нормативных затрат на содержание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» и нормативных затрат на содержание муниципального имущества, уплату налогов».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19.10.2016 № 886 «Об утверждении Методики расчета нормативных затрат на выполнение муниципальной работы «Организация деятельности клубных формирований и формирований самодеятельного народного творчества» и нормативных затрат на содержание муниципального имущества».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19.10.2016 № 885 «Об утверждении Методики расчета нормативных затрат на выполнение муниципальной работы «Организация и проведение культурно-массовых мероприятий" (иные зрелищные мероприятия) и нормативных затрат на содержание муниципального имущества, уплату налогов».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09.08.2024 № 636 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Об утверждении Методики расчета нормативных затрат на оказание муниципальной услуги «Показ (организация показа) спектаклей (театральных постановок)» (с учетом всех форм) и нормативных затрат на содержание муниципального имущества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05.10.2016 № 789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Методики расчета нормативных затрат на оказание муниципальной </w:t>
      </w:r>
      <w:r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Реализация дополнительных общеразвивающих программ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 нормативных затрат на содержание муниципального имущества, уплату налогов и Методики расчета нормативных затрат на оказание муниципальной услуги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Реализация дополнительных предпрофессиональных программ в области искусств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 нормативных затрат на содержание муниципального имущества, уплату налогов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16.10.2020 № 1028 Об утверждении Порядка определения объема и условий предоставления субсидий на иные цели бюджетным и автономным учреждениям на городские культурно-зрелищные мероприятия».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16.10.2020 </w:t>
      </w:r>
      <w:r>
        <w:rPr>
          <w:rFonts w:ascii="Times New Roman" w:hAnsi="Times New Roman"/>
          <w:sz w:val="28"/>
          <w:szCs w:val="28"/>
        </w:rPr>
        <w:t xml:space="preserve">№  1006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создание концертных и театральных постановок, организацию и обеспечение участия в творческих проектах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08.10.2020 № 940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trike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16.10.2020 № 1002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выполнение предписаний надзорных органов, приведение в нормативное состояние и улучшение материально-технического обеспечения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16.10.2020 № 1018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популяризацию художественного образования среди жителей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19.10.2020 № 1044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предоставление мер социальной поддержки руководителям и педагогическим работникам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16.10.2020 № 1017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проведение мероприятий в сфере социальной политики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16.10.2020 № 1022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по сохранению историко-культурного наследия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16.10.2020 № 1027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Об утверждении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мероприятия в сфере укрепления межнационального и межконфессионального согласия в городе Перми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19.10.2020 № 1038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обеспечение работников учреждений бюджетной сферы Пермского края путевками на санаторно-курортное лечение и оздоровление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12.10.2020 № 953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оборудование зданий муниципальных учреждений средствами беспрепятственного доступа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19.10.2016 № 903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Методики расчета нормативных затрат на выполнение муниципальной работы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Организация показа концертов и концертных программ" и нормативных затрат на содержание муниципального имущества, уплату налогов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16.09.2021 № 720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организацию и проведение мероприятий в сфере культуры на территории Пермского края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20.07.2021 № 531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подготовку и проведение празднования на федеральном уровне памятных дат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07.05.2021 № 333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модернизацию театров юного зрителя и театров кукол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16.10.2020 № 1014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условия предоставления субсидии на иные цели бюджетным и автономным учреждениям на поддержку инициативной и талантливой молодежи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20.10.2020 № 1056 «Об утверждении Порядка определения объема и условий предоставления субсидий на иные цели бюджетным и автономным учреждениям на организацию занятости молодежи».</w:t>
      </w:r>
    </w:p>
    <w:p>
      <w:pPr>
        <w:numPr>
          <w:numId w:val="4"/>
          <w:ilvl w:val="0"/>
        </w:numPr>
        <w:tabs>
          <w:tab w:val="left" w:pos="1276"/>
        </w:tabs>
        <w:spacing w:after="0" w:line="288" w:lineRule="atLeast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16.10.2020 № 1026 «Об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реализацию мероприятий, направленных на первичную профилактику потребления психоактивных веществ». </w:t>
      </w:r>
    </w:p>
    <w:p>
      <w:pPr>
        <w:numPr>
          <w:numId w:val="4"/>
          <w:ilvl w:val="0"/>
        </w:numPr>
        <w:tabs>
          <w:tab w:val="left" w:pos="1276"/>
        </w:tabs>
        <w:spacing w:after="0" w:line="288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29.09.2021 № 773 «Об утверждении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повышение фонда оплаты труда».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24.03.2022 № 210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государственную поддержку отрасли культуры (оснащение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материалами)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28.03.2022 № 226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создание модельных муниципальных библиотек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19.04.2021 № 272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поддержку творческой деятельности и техническое оснащение детских и кукольных театров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Перми от 08.04.2022 №260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выполнение работ по сохранению объектов культурного наследия, находящихся в собственности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11.04.2022 № 262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софинансирование проектов инициативного бюджетирования».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15.12.2022 № 1293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согласования размещения (нанесения) объектов уличного искусства (стрит-арт, граффити, мурали) на фасадах зданий, строений, сооружений (в том числе на сплошных ограждениях, заборах) города Перми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 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30.03.2012 № 34-П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назначения на должность и освобождения от должности руководителей муниципальных учреждений города Перми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г. Перми от 18.07.2011 № 354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муниципального учреждения города Перми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numPr>
          <w:numId w:val="4"/>
          <w:ilvl w:val="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Правительства Пермского края от 23.01.2024 № 40-п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предоставления, распределения субсидий из бюджета Пермского края, в том числе с участием средств федерального бюджета, бюджетам муниципальных образований Пермского края на создание школ креативных индустрий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21.06.2021 № 454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автономным </w:t>
      </w:r>
      <w:r>
        <w:rPr>
          <w:sz w:val="28"/>
          <w:szCs w:val="28"/>
        </w:rPr>
        <w:t xml:space="preserve">учреждениям субсидий на иные цели на организацию и обеспечение творческого процесса концертной деятельности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06.12.2021 № 1114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обустройство мест массового отдыха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02.03.2021 № 127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обеспечение музыкальными инструментами, оборудованием и материалами образовательных учреждений в сфере культуры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08.12.2021 № 1127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поддержку творческой деятельности и техническое оснащение детских и кукольных театров за счет средств резервного фонда Правительства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09.06.2023 № 474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субсидии на иные цели на содержание и эксплуатацию имущественного комплекса, переданного на безвозмездной основе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18.12.2024 № 1245 </w:t>
      </w:r>
      <w:r>
        <w:rPr>
          <w:color w:val="000000"/>
          <w:spacing w:val="-4"/>
          <w:sz w:val="28"/>
          <w:szCs w:val="28"/>
          <w:highlight w:val="white"/>
        </w:rPr>
        <w:t xml:space="preserve">«</w:t>
      </w:r>
      <w:r>
        <w:rPr>
          <w:color w:val="000000"/>
          <w:spacing w:val="-4"/>
          <w:sz w:val="28"/>
          <w:szCs w:val="28"/>
          <w:highlight w:val="white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оснащение оборудованием муниципальных дворцов культуры, центров досуга, клубов и признании утратившими силу отдельных правовых актов администрации города Перми</w:t>
      </w:r>
      <w:r>
        <w:rPr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20.02.2021 № 101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мероприятия, направленные на решение отдельных вопросов местного значения в микрорайонах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09.06.2023 № 475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 субсидий на иные цели на оснащение региональных и муниципальных театров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22.11.2022 № 1177 «Об утверждении Порядка определения объема и условий предоставления бюджетным и автономным учреждениям субсидий на иные цели на реализацию мероприятий в сфере общественных отношений»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23.06.2021 № 463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аренду имущественных комплексов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10.10.2022 № 921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приобретение, установку и </w:t>
      </w:r>
      <w:r>
        <w:rPr>
          <w:sz w:val="28"/>
          <w:szCs w:val="28"/>
        </w:rPr>
        <w:t xml:space="preserve">оснащение оборудованием, мебелью и инвентарем учреждений в сфере молодежной политики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27.02.2023 № 141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устройство спортивных площадок и оснащение объектов спортивным оборудованием и инвентарем для занятий физической культурой и спортом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16.07.2025 № 468 </w:t>
      </w:r>
      <w:r>
        <w:rPr>
          <w:color w:val="000000"/>
          <w:spacing w:val="-4"/>
          <w:sz w:val="28"/>
          <w:szCs w:val="28"/>
          <w:highlight w:val="white"/>
        </w:rPr>
        <w:t xml:space="preserve">«</w:t>
      </w:r>
      <w:r>
        <w:rPr>
          <w:color w:val="000000"/>
          <w:spacing w:val="-4"/>
          <w:sz w:val="28"/>
          <w:szCs w:val="28"/>
          <w:highlight w:val="white"/>
        </w:rPr>
        <w:t xml:space="preserve">О внесении изменений в Порядок определения объема и условий предоставления бюджетным и автономным учреждениям субсидий на иные цели на реализацию природоохранных мероприятий, утвержденный постановлением администрации города Перми от 22.05.2022 № 395, и о признании утратившими силу отдельных постановлений администрации города Перми</w:t>
      </w:r>
      <w:r>
        <w:rPr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 </w:t>
      </w:r>
    </w:p>
    <w:p>
      <w:pPr>
        <w:pStyle w:val="af9"/>
        <w:numPr>
          <w:numId w:val="4"/>
          <w:ilvl w:val="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г. Перми от 22.03.2024 № 214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бюджетным и автономным учреждениям на создание школ креативных индустрий в 2024 году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 </w:t>
      </w:r>
    </w:p>
    <w:p>
      <w:pPr>
        <w:pStyle w:val="afd"/>
        <w:numPr>
          <w:numId w:val="4"/>
          <w:ilvl w:val="0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Постановление администрации г.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Перми от 05.03.2024 № 167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Об утверждении Методики определения расчетных показателей по обеспечению устройства и содержания ледовых городков в районах города Перми, расчетных показателей на обеспечение устройства и содержания ледовых городков в районах города Перми и внесении изменений в пункт 4  постановления администрации города Перми от 03 марта 2020 г. № 199 «Об установлении расходного обязательства Пермского городского округа по вопросам местного значения на создание условий для организации досуга и обеспечения населения Пермского городского округа услугами в сфере культуры».</w:t>
      </w:r>
    </w:p>
    <w:p>
      <w:pPr>
        <w:pStyle w:val="afd"/>
        <w:numPr>
          <w:numId w:val="4"/>
          <w:ilvl w:val="0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Постановление администрации г. Перми от 30.08.2021 № 629 «Об утверждении Порядка установления льгот муниципальными учреждениями культуры города Перми для детей дошкольного возраста, обучающихся, инвалидов, военнослужащих, проходящих военную службу по призыву, при организации платных мероприятий». </w:t>
      </w:r>
    </w:p>
    <w:p>
      <w:pPr>
        <w:pStyle w:val="afd"/>
        <w:numPr>
          <w:numId w:val="4"/>
          <w:ilvl w:val="0"/>
        </w:numPr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г. Перми от 26.03.2012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31-П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осуществления контроля за деятельностью муниципальных учреждений города Перми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».</w:t>
      </w:r>
    </w:p>
    <w:p>
      <w:pPr>
        <w:pStyle w:val="afd"/>
        <w:numPr>
          <w:numId w:val="4"/>
          <w:ilvl w:val="0"/>
        </w:numPr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г. Перми от 25.12.2020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1327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осуществления ведомственного контроля в сфере трудового законодательства в отношении муниципальных учреждений города Перми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».</w:t>
      </w:r>
    </w:p>
    <w:p>
      <w:pPr>
        <w:pStyle w:val="afd"/>
        <w:numPr>
          <w:numId w:val="4"/>
          <w:ilvl w:val="0"/>
        </w:numPr>
        <w:tabs>
          <w:tab w:val="left" w:pos="127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города Перми от 28 января 2011 г. </w:t>
      </w:r>
      <w:r>
        <w:rPr>
          <w:rFonts w:ascii="Times New Roman" w:hAnsi="Times New Roman"/>
          <w:sz w:val="28"/>
          <w:szCs w:val="28"/>
        </w:rPr>
        <w:br/>
        <w:t xml:space="preserve">№ 24 «О Порядке создания, реорганизации, изменения типа и ликвидации муниципальных учреждений города Перми, утверждения уставов муниципальных учреждений города Перми и внесения в них изменений»</w:t>
      </w:r>
      <w:r>
        <w:rPr>
          <w:rFonts w:ascii="Times New Roman" w:hAnsi="Times New Roman"/>
          <w:sz w:val="28"/>
          <w:szCs w:val="28"/>
        </w:rPr>
        <w:t xml:space="preserve">.</w:t>
      </w:r>
    </w:p>
    <w:sectPr>
      <w:pgSz w:w="11905" w:h="16838"/>
      <w:pgMar w:top="709" w:right="850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D5CF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A6F6B5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21890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A0ED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C3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172A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A2B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0E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3B0B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F3CA2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ED564">
      <w:start w:val="1"/>
      <w:numFmt w:val="lowerLetter"/>
      <w:lvlText w:val="%2."/>
      <w:lvlJc w:val="left"/>
      <w:pPr>
        <w:ind w:left="1440" w:hanging="360"/>
      </w:pPr>
    </w:lvl>
    <w:lvl w:ilvl="2" w:tplc="E410F5B6">
      <w:start w:val="1"/>
      <w:numFmt w:val="lowerRoman"/>
      <w:lvlText w:val="%3."/>
      <w:lvlJc w:val="right"/>
      <w:pPr>
        <w:ind w:left="2160" w:hanging="180"/>
      </w:pPr>
    </w:lvl>
    <w:lvl w:ilvl="3" w:tplc="F85EB682">
      <w:start w:val="1"/>
      <w:numFmt w:val="decimal"/>
      <w:lvlText w:val="%4."/>
      <w:lvlJc w:val="left"/>
      <w:pPr>
        <w:ind w:left="2880" w:hanging="360"/>
      </w:pPr>
    </w:lvl>
    <w:lvl w:ilvl="4" w:tplc="3A9C0474">
      <w:start w:val="1"/>
      <w:numFmt w:val="lowerLetter"/>
      <w:lvlText w:val="%5."/>
      <w:lvlJc w:val="left"/>
      <w:pPr>
        <w:ind w:left="3600" w:hanging="360"/>
      </w:pPr>
    </w:lvl>
    <w:lvl w:ilvl="5" w:tplc="409E7090">
      <w:start w:val="1"/>
      <w:numFmt w:val="lowerRoman"/>
      <w:lvlText w:val="%6."/>
      <w:lvlJc w:val="right"/>
      <w:pPr>
        <w:ind w:left="4320" w:hanging="180"/>
      </w:pPr>
    </w:lvl>
    <w:lvl w:ilvl="6" w:tplc="CB786690">
      <w:start w:val="1"/>
      <w:numFmt w:val="decimal"/>
      <w:lvlText w:val="%7."/>
      <w:lvlJc w:val="left"/>
      <w:pPr>
        <w:ind w:left="5040" w:hanging="360"/>
      </w:pPr>
    </w:lvl>
    <w:lvl w:ilvl="7" w:tplc="42A8A0C2">
      <w:start w:val="1"/>
      <w:numFmt w:val="lowerLetter"/>
      <w:lvlText w:val="%8."/>
      <w:lvlJc w:val="left"/>
      <w:pPr>
        <w:ind w:left="5760" w:hanging="360"/>
      </w:pPr>
    </w:lvl>
    <w:lvl w:ilvl="8" w:tplc="9AECC0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B3FAF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94484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D12D3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770C0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4DAF9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300D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4B80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54908B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2369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 w:tplc="E1E22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63A42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1C09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C44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B69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B12F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86E1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4C1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040D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AF2CC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FAA176">
      <w:start w:val="1"/>
      <w:numFmt w:val="lowerLetter"/>
      <w:lvlText w:val="%2."/>
      <w:lvlJc w:val="left"/>
      <w:pPr>
        <w:ind w:left="1789" w:hanging="360"/>
      </w:pPr>
    </w:lvl>
    <w:lvl w:ilvl="2" w:tplc="CA522B40">
      <w:start w:val="1"/>
      <w:numFmt w:val="lowerRoman"/>
      <w:lvlText w:val="%3."/>
      <w:lvlJc w:val="right"/>
      <w:pPr>
        <w:ind w:left="2509" w:hanging="180"/>
      </w:pPr>
    </w:lvl>
    <w:lvl w:ilvl="3" w:tplc="9042DA00">
      <w:start w:val="1"/>
      <w:numFmt w:val="decimal"/>
      <w:lvlText w:val="%4."/>
      <w:lvlJc w:val="left"/>
      <w:pPr>
        <w:ind w:left="3229" w:hanging="360"/>
      </w:pPr>
    </w:lvl>
    <w:lvl w:ilvl="4" w:tplc="F1D88D60">
      <w:start w:val="1"/>
      <w:numFmt w:val="lowerLetter"/>
      <w:lvlText w:val="%5."/>
      <w:lvlJc w:val="left"/>
      <w:pPr>
        <w:ind w:left="3949" w:hanging="360"/>
      </w:pPr>
    </w:lvl>
    <w:lvl w:ilvl="5" w:tplc="34EEE18A">
      <w:start w:val="1"/>
      <w:numFmt w:val="lowerRoman"/>
      <w:lvlText w:val="%6."/>
      <w:lvlJc w:val="right"/>
      <w:pPr>
        <w:ind w:left="4669" w:hanging="180"/>
      </w:pPr>
    </w:lvl>
    <w:lvl w:ilvl="6" w:tplc="EE468C5A">
      <w:start w:val="1"/>
      <w:numFmt w:val="decimal"/>
      <w:lvlText w:val="%7."/>
      <w:lvlJc w:val="left"/>
      <w:pPr>
        <w:ind w:left="5389" w:hanging="360"/>
      </w:pPr>
    </w:lvl>
    <w:lvl w:ilvl="7" w:tplc="BCD83D96">
      <w:start w:val="1"/>
      <w:numFmt w:val="lowerLetter"/>
      <w:lvlText w:val="%8."/>
      <w:lvlJc w:val="left"/>
      <w:pPr>
        <w:ind w:left="6109" w:hanging="360"/>
      </w:pPr>
    </w:lvl>
    <w:lvl w:ilvl="8" w:tplc="13700B1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EDF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4521E06">
      <w:start w:val="1"/>
      <w:numFmt w:val="lowerLetter"/>
      <w:lvlText w:val="%2."/>
      <w:lvlJc w:val="left"/>
      <w:pPr>
        <w:ind w:left="1789" w:hanging="360"/>
      </w:pPr>
    </w:lvl>
    <w:lvl w:ilvl="2" w:tplc="4A286EF6">
      <w:start w:val="1"/>
      <w:numFmt w:val="lowerRoman"/>
      <w:lvlText w:val="%3."/>
      <w:lvlJc w:val="right"/>
      <w:pPr>
        <w:ind w:left="2509" w:hanging="180"/>
      </w:pPr>
    </w:lvl>
    <w:lvl w:ilvl="3" w:tplc="409E7B46">
      <w:start w:val="1"/>
      <w:numFmt w:val="decimal"/>
      <w:lvlText w:val="%4."/>
      <w:lvlJc w:val="left"/>
      <w:pPr>
        <w:ind w:left="3229" w:hanging="360"/>
      </w:pPr>
    </w:lvl>
    <w:lvl w:ilvl="4" w:tplc="A2C4CE14">
      <w:start w:val="1"/>
      <w:numFmt w:val="lowerLetter"/>
      <w:lvlText w:val="%5."/>
      <w:lvlJc w:val="left"/>
      <w:pPr>
        <w:ind w:left="3949" w:hanging="360"/>
      </w:pPr>
    </w:lvl>
    <w:lvl w:ilvl="5" w:tplc="5F8C0420">
      <w:start w:val="1"/>
      <w:numFmt w:val="lowerRoman"/>
      <w:lvlText w:val="%6."/>
      <w:lvlJc w:val="right"/>
      <w:pPr>
        <w:ind w:left="4669" w:hanging="180"/>
      </w:pPr>
    </w:lvl>
    <w:lvl w:ilvl="6" w:tplc="AC3035FC">
      <w:start w:val="1"/>
      <w:numFmt w:val="decimal"/>
      <w:lvlText w:val="%7."/>
      <w:lvlJc w:val="left"/>
      <w:pPr>
        <w:ind w:left="5389" w:hanging="360"/>
      </w:pPr>
    </w:lvl>
    <w:lvl w:ilvl="7" w:tplc="8EA2739A">
      <w:start w:val="1"/>
      <w:numFmt w:val="lowerLetter"/>
      <w:lvlText w:val="%8."/>
      <w:lvlJc w:val="left"/>
      <w:pPr>
        <w:ind w:left="6109" w:hanging="360"/>
      </w:pPr>
    </w:lvl>
    <w:lvl w:ilvl="8" w:tplc="402675C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400EBC6E">
      <w:start w:val="1"/>
      <w:numFmt w:val="decimal"/>
      <w:lvlText w:val="%1."/>
      <w:lvlJc w:val="left"/>
      <w:pPr>
        <w:ind w:left="709" w:hanging="360"/>
      </w:pPr>
    </w:lvl>
    <w:lvl w:ilvl="1" w:tplc="6EA899A8">
      <w:start w:val="1"/>
      <w:numFmt w:val="lowerLetter"/>
      <w:lvlText w:val="%2."/>
      <w:lvlJc w:val="left"/>
      <w:pPr>
        <w:ind w:left="1429" w:hanging="360"/>
      </w:pPr>
    </w:lvl>
    <w:lvl w:ilvl="2" w:tplc="310AD626">
      <w:start w:val="1"/>
      <w:numFmt w:val="lowerRoman"/>
      <w:lvlText w:val="%3."/>
      <w:lvlJc w:val="right"/>
      <w:pPr>
        <w:ind w:left="2149" w:hanging="180"/>
      </w:pPr>
    </w:lvl>
    <w:lvl w:ilvl="3" w:tplc="EFAACFB2">
      <w:start w:val="1"/>
      <w:numFmt w:val="decimal"/>
      <w:lvlText w:val="%4."/>
      <w:lvlJc w:val="left"/>
      <w:pPr>
        <w:ind w:left="2869" w:hanging="360"/>
      </w:pPr>
    </w:lvl>
    <w:lvl w:ilvl="4" w:tplc="59E648F6">
      <w:start w:val="1"/>
      <w:numFmt w:val="lowerLetter"/>
      <w:lvlText w:val="%5."/>
      <w:lvlJc w:val="left"/>
      <w:pPr>
        <w:ind w:left="3589" w:hanging="360"/>
      </w:pPr>
    </w:lvl>
    <w:lvl w:ilvl="5" w:tplc="91DA062E">
      <w:start w:val="1"/>
      <w:numFmt w:val="lowerRoman"/>
      <w:lvlText w:val="%6."/>
      <w:lvlJc w:val="right"/>
      <w:pPr>
        <w:ind w:left="4309" w:hanging="180"/>
      </w:pPr>
    </w:lvl>
    <w:lvl w:ilvl="6" w:tplc="88EE7A38">
      <w:start w:val="1"/>
      <w:numFmt w:val="decimal"/>
      <w:lvlText w:val="%7."/>
      <w:lvlJc w:val="left"/>
      <w:pPr>
        <w:ind w:left="5029" w:hanging="360"/>
      </w:pPr>
    </w:lvl>
    <w:lvl w:ilvl="7" w:tplc="4C828622">
      <w:start w:val="1"/>
      <w:numFmt w:val="lowerLetter"/>
      <w:lvlText w:val="%8."/>
      <w:lvlJc w:val="left"/>
      <w:pPr>
        <w:ind w:left="5749" w:hanging="360"/>
      </w:pPr>
    </w:lvl>
    <w:lvl w:ilvl="8" w:tplc="3F505AF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uiPriority w:val="99"/>
    <w:semiHidden/>
    <w:unhideWhenUsed/>
    <w:rPr>
      <w:color w:val="0000ff"/>
      <w:u w:val="single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" w:customStyle="1">
    <w:name w:val="Заголовок 1 Знак"/>
    <w:link w:val="1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HTML">
    <w:name w:val="HTML Cite"/>
    <w:uiPriority w:val="99"/>
    <w:semiHidden/>
    <w:unhideWhenUsed/>
    <w:rPr>
      <w:b w:val="0"/>
      <w:bCs w:val="0"/>
      <w:i w:val="0"/>
      <w:iCs w:val="0"/>
    </w:rPr>
  </w:style>
  <w:style w:type="character" w:styleId="afa">
    <w:name w:val="Strong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afc" w:customStyle="1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styleId="ConsPlusNormal" w:customStyle="1">
    <w:name w:val="ConsPlusNormal"/>
    <w:rPr>
      <w:rFonts w:ascii="Times New Roman" w:hAnsi="Times New Roman"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23039</Characters>
  <CharactersWithSpaces>27026</CharactersWithSpaces>
  <Company>HP Inc.</Company>
  <DocSecurity>0</DocSecurity>
  <HyperlinksChanged>false</HyperlinksChanged>
  <Lines>191</Lines>
  <LinksUpToDate>false</LinksUpToDate>
  <Pages>10</Pages>
  <Paragraphs>54</Paragraphs>
  <ScaleCrop>false</ScaleCrop>
  <SharedDoc>false</SharedDoc>
  <Template>Normal</Template>
  <TotalTime>0</TotalTime>
  <Words>4041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sabaida-nyu</dc:creator>
  <cp:lastModifiedBy>Сабайда Наталья Юрьевна</cp:lastModifiedBy>
  <cp:revision>2</cp:revision>
  <dcterms:created xsi:type="dcterms:W3CDTF">2026-07-01T07:31:00Z</dcterms:created>
  <dcterms:modified xsi:type="dcterms:W3CDTF">2026-07-01T07:31:00Z</dcterms:modified>
</cp:coreProperties>
</file>