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692" w:rsidRDefault="00243692" w:rsidP="00243692">
      <w:pPr>
        <w:jc w:val="right"/>
        <w:rPr>
          <w:rFonts w:ascii="Times New Roman" w:hAnsi="Times New Roman" w:cs="Times New Roman"/>
        </w:rPr>
      </w:pPr>
      <w:r w:rsidRPr="00243692">
        <w:rPr>
          <w:rFonts w:ascii="Times New Roman" w:hAnsi="Times New Roman" w:cs="Times New Roman"/>
        </w:rPr>
        <w:t>Приложение №1</w:t>
      </w:r>
    </w:p>
    <w:p w:rsidR="00243692" w:rsidRPr="00F44F11" w:rsidRDefault="00243692" w:rsidP="002436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F11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tbl>
      <w:tblPr>
        <w:tblpPr w:leftFromText="180" w:rightFromText="180" w:vertAnchor="page" w:horzAnchor="margin" w:tblpY="251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450"/>
        <w:gridCol w:w="1450"/>
        <w:gridCol w:w="2411"/>
      </w:tblGrid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632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6325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4632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b/>
                <w:sz w:val="20"/>
                <w:szCs w:val="20"/>
              </w:rPr>
              <w:t>Требуемые параметры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b/>
                <w:sz w:val="20"/>
                <w:szCs w:val="20"/>
              </w:rPr>
              <w:t>Предлагаемые параметры</w:t>
            </w: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32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Аппарат для размораживания и подогрева биоматериалов (компонентов крови, кровезаменителей, </w:t>
            </w:r>
            <w:proofErr w:type="spellStart"/>
            <w:r w:rsidRPr="00463253">
              <w:rPr>
                <w:rFonts w:ascii="Times New Roman" w:hAnsi="Times New Roman" w:cs="Times New Roman"/>
                <w:b/>
                <w:sz w:val="20"/>
                <w:szCs w:val="20"/>
              </w:rPr>
              <w:t>инфузионных</w:t>
            </w:r>
            <w:proofErr w:type="spellEnd"/>
            <w:r w:rsidRPr="004632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растворов).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Указать модель/производителя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Модуль для подогрева </w:t>
            </w:r>
            <w:proofErr w:type="spellStart"/>
            <w:r w:rsidRPr="00463253">
              <w:rPr>
                <w:rFonts w:ascii="Times New Roman" w:hAnsi="Times New Roman" w:cs="Times New Roman"/>
                <w:b/>
                <w:sz w:val="20"/>
                <w:szCs w:val="20"/>
              </w:rPr>
              <w:t>инфузионных</w:t>
            </w:r>
            <w:proofErr w:type="spellEnd"/>
            <w:r w:rsidRPr="004632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растворов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Указать модель/производителя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быстрого и безопасного размораживания и подогрева компонентов крови, кровезаменителей и </w:t>
            </w:r>
            <w:proofErr w:type="spellStart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инфузионных</w:t>
            </w:r>
            <w:proofErr w:type="spellEnd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 растворов аппаратным способом при </w:t>
            </w:r>
            <w:proofErr w:type="spellStart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инфузионной</w:t>
            </w:r>
            <w:proofErr w:type="spellEnd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трансфузионной</w:t>
            </w:r>
            <w:proofErr w:type="spellEnd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 терапии. Возможность универсального применения прибора в любом отделении, где необходимо проведение </w:t>
            </w:r>
            <w:proofErr w:type="spellStart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трансфузионной</w:t>
            </w:r>
            <w:proofErr w:type="spellEnd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инфузионной</w:t>
            </w:r>
            <w:proofErr w:type="spellEnd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 терапии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20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Процесс размораживания и подогрева компонентов </w:t>
            </w:r>
            <w:r w:rsidRPr="00463253">
              <w:rPr>
                <w:rFonts w:ascii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 крови осуществляется от высоко турбулентного, нагретого окружающего воздуха и от подогревающей плитки в соответствии с принципом принудительной конвекции и </w:t>
            </w:r>
            <w:proofErr w:type="spellStart"/>
            <w:r w:rsidRPr="00463253">
              <w:rPr>
                <w:rFonts w:ascii="Times New Roman" w:hAnsi="Times New Roman" w:cs="Times New Roman"/>
                <w:color w:val="000000"/>
                <w:spacing w:val="20"/>
                <w:sz w:val="20"/>
                <w:szCs w:val="20"/>
              </w:rPr>
              <w:t>кондукции</w:t>
            </w:r>
            <w:proofErr w:type="spellEnd"/>
            <w:r w:rsidRPr="00463253">
              <w:rPr>
                <w:rFonts w:ascii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, без использования воды в качестве </w:t>
            </w:r>
            <w:proofErr w:type="spellStart"/>
            <w:r w:rsidRPr="00463253">
              <w:rPr>
                <w:rFonts w:ascii="Times New Roman" w:hAnsi="Times New Roman" w:cs="Times New Roman"/>
                <w:color w:val="000000"/>
                <w:spacing w:val="20"/>
                <w:sz w:val="20"/>
                <w:szCs w:val="20"/>
              </w:rPr>
              <w:t>теплопроводника</w:t>
            </w:r>
            <w:proofErr w:type="spellEnd"/>
            <w:r w:rsidRPr="00463253">
              <w:rPr>
                <w:rFonts w:ascii="Times New Roman" w:hAnsi="Times New Roman" w:cs="Times New Roman"/>
                <w:color w:val="000000"/>
                <w:spacing w:val="20"/>
                <w:sz w:val="20"/>
                <w:szCs w:val="20"/>
              </w:rPr>
              <w:t>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В процессе подогрева, компоненты крови помешиваются, для достижения однородного равномерного температурного профиля компонентов в </w:t>
            </w:r>
            <w:proofErr w:type="spellStart"/>
            <w:r w:rsidRPr="00463253">
              <w:rPr>
                <w:rFonts w:ascii="Times New Roman" w:hAnsi="Times New Roman" w:cs="Times New Roman"/>
                <w:color w:val="000000"/>
                <w:spacing w:val="20"/>
                <w:sz w:val="20"/>
                <w:szCs w:val="20"/>
              </w:rPr>
              <w:t>гемоконтейнере</w:t>
            </w:r>
            <w:proofErr w:type="spellEnd"/>
            <w:r w:rsidRPr="00463253">
              <w:rPr>
                <w:rFonts w:ascii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, предотвращаются механические повреждения, сохраняется </w:t>
            </w:r>
            <w:proofErr w:type="spellStart"/>
            <w:r w:rsidRPr="00463253">
              <w:rPr>
                <w:rFonts w:ascii="Times New Roman" w:hAnsi="Times New Roman" w:cs="Times New Roman"/>
                <w:color w:val="000000"/>
                <w:spacing w:val="20"/>
                <w:sz w:val="20"/>
                <w:szCs w:val="20"/>
              </w:rPr>
              <w:t>гемостатический</w:t>
            </w:r>
            <w:proofErr w:type="spellEnd"/>
            <w:r w:rsidRPr="00463253">
              <w:rPr>
                <w:rFonts w:ascii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 потенциал.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1E5920">
        <w:trPr>
          <w:trHeight w:val="1386"/>
        </w:trPr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20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Для бесконтактного измерения температуры компонентов крови внутри </w:t>
            </w:r>
            <w:proofErr w:type="spellStart"/>
            <w:r w:rsidRPr="00463253">
              <w:rPr>
                <w:rFonts w:ascii="Times New Roman" w:hAnsi="Times New Roman" w:cs="Times New Roman"/>
                <w:color w:val="000000"/>
                <w:spacing w:val="20"/>
                <w:sz w:val="20"/>
                <w:szCs w:val="20"/>
              </w:rPr>
              <w:t>гемоконтейнера</w:t>
            </w:r>
            <w:proofErr w:type="spellEnd"/>
            <w:r w:rsidRPr="00463253">
              <w:rPr>
                <w:rFonts w:ascii="Times New Roman" w:hAnsi="Times New Roman" w:cs="Times New Roman"/>
                <w:color w:val="000000"/>
                <w:spacing w:val="20"/>
                <w:sz w:val="20"/>
                <w:szCs w:val="20"/>
              </w:rPr>
              <w:t>, используется встроенный инфракрасный датчик, что предотвращает риск перегрева компонентов крови.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1E5920">
        <w:trPr>
          <w:trHeight w:val="506"/>
        </w:trPr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20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Компоненты крови и </w:t>
            </w:r>
            <w:proofErr w:type="spellStart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инфузионные</w:t>
            </w:r>
            <w:proofErr w:type="spellEnd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 растворы автоматически подогреваются до 37 гр. (С)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В процессе подогрева удаляется конденсат с поверхности </w:t>
            </w:r>
            <w:proofErr w:type="spellStart"/>
            <w:r w:rsidRPr="00463253">
              <w:rPr>
                <w:rFonts w:ascii="Times New Roman" w:hAnsi="Times New Roman" w:cs="Times New Roman"/>
                <w:color w:val="000000"/>
                <w:spacing w:val="20"/>
                <w:sz w:val="20"/>
                <w:szCs w:val="20"/>
              </w:rPr>
              <w:t>гемоконтейнеров</w:t>
            </w:r>
            <w:proofErr w:type="spellEnd"/>
            <w:r w:rsidRPr="00463253">
              <w:rPr>
                <w:rFonts w:ascii="Times New Roman" w:hAnsi="Times New Roman" w:cs="Times New Roman"/>
                <w:color w:val="000000"/>
                <w:spacing w:val="20"/>
                <w:sz w:val="20"/>
                <w:szCs w:val="20"/>
              </w:rPr>
              <w:t>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20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Стандартный или быстрый режим размораживания и подогрева 3 </w:t>
            </w:r>
            <w:proofErr w:type="spellStart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гемоконтейнеров</w:t>
            </w:r>
            <w:proofErr w:type="spellEnd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 одновременно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Подогрев одновременно до 9 флаконов по 500 мл.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Режим помешивания до 6 доз тромбоцитов.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Возможность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Стандартный или быстрый режим размораживания и подогрева 6-ти </w:t>
            </w:r>
            <w:proofErr w:type="spellStart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гемоконтейнеров</w:t>
            </w:r>
            <w:proofErr w:type="spellEnd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 одновременно.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Возможность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Порт для подключения принтера протокола.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 светящейся шкалы индикации текущей температуры от 29 гр. С до 37 гр. С</w:t>
            </w:r>
            <w:proofErr w:type="gramStart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 с шагом 1 гр.С.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Индикатор состояния компонентов крови «свободного ото льда».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Индикатор включения обогрева.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20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Кнопка включения режима быстрого размораживания.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Кнопка включения стандартного режима размораживания и подогрева.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Кнопка автоматического тестирования прибора.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Два аварийных индикатора о наличие ошибки или неисправностей прибора.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При завершении процесса обогрева начиная с температуры компонентов крови 34 </w:t>
            </w:r>
            <w:r w:rsidRPr="0046325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proofErr w:type="gramStart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 наличие звукового сигнала.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1E5920">
        <w:trPr>
          <w:trHeight w:val="794"/>
        </w:trPr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 специального индикатора и звукового сигнала при достижении полного освобождения компонентов крови ото льда.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Напряжение и частота питания 230</w:t>
            </w:r>
            <w:proofErr w:type="gramStart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/50 Гц </w:t>
            </w:r>
            <w:r w:rsidRPr="0046325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+</w:t>
            </w: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 10%.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Потребляемая мощность 530W;2,3A.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Масса аппарата не более </w:t>
            </w:r>
            <w:smartTag w:uri="urn:schemas-microsoft-com:office:smarttags" w:element="metricconverter">
              <w:smartTagPr>
                <w:attr w:name="ProductID" w:val="13,7 кг"/>
              </w:smartTagPr>
              <w:r w:rsidRPr="00463253">
                <w:rPr>
                  <w:rFonts w:ascii="Times New Roman" w:hAnsi="Times New Roman" w:cs="Times New Roman"/>
                  <w:sz w:val="20"/>
                  <w:szCs w:val="20"/>
                </w:rPr>
                <w:t>13,7 кг</w:t>
              </w:r>
            </w:smartTag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Класс защиты</w:t>
            </w:r>
            <w:r w:rsidRPr="004632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I (по EN 61010-1:1993, </w:t>
            </w:r>
            <w:proofErr w:type="spellStart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Appendix</w:t>
            </w:r>
            <w:proofErr w:type="spellEnd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 H).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Габариты Ш </w:t>
            </w:r>
            <w:proofErr w:type="spellStart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Start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 Д: 320х325х493 мм.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удостоверение Минздрава РФ.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43692" w:rsidRPr="00463253" w:rsidTr="00243692">
        <w:tc>
          <w:tcPr>
            <w:tcW w:w="578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50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 xml:space="preserve">Гарантия не менее 12 месяцев </w:t>
            </w:r>
            <w:proofErr w:type="gramStart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с даты поставки</w:t>
            </w:r>
            <w:proofErr w:type="gramEnd"/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0" w:type="dxa"/>
          </w:tcPr>
          <w:p w:rsidR="00243692" w:rsidRPr="00463253" w:rsidRDefault="00243692" w:rsidP="004632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5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2411" w:type="dxa"/>
          </w:tcPr>
          <w:p w:rsidR="00243692" w:rsidRPr="00463253" w:rsidRDefault="00243692" w:rsidP="004632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43692" w:rsidRDefault="00243692" w:rsidP="00243692">
      <w:pPr>
        <w:rPr>
          <w:rFonts w:ascii="Times New Roman" w:hAnsi="Times New Roman" w:cs="Times New Roman"/>
          <w:b/>
        </w:rPr>
      </w:pPr>
    </w:p>
    <w:p w:rsidR="006F4884" w:rsidRPr="006F4884" w:rsidRDefault="006F4884" w:rsidP="00B36575">
      <w:pPr>
        <w:shd w:val="clear" w:color="auto" w:fill="FFFFFF"/>
        <w:tabs>
          <w:tab w:val="left" w:pos="1810"/>
        </w:tabs>
        <w:spacing w:line="240" w:lineRule="auto"/>
        <w:ind w:right="29"/>
        <w:rPr>
          <w:rFonts w:ascii="Times New Roman" w:hAnsi="Times New Roman" w:cs="Times New Roman"/>
          <w:b/>
          <w:spacing w:val="-10"/>
        </w:rPr>
      </w:pPr>
      <w:r w:rsidRPr="006F4884">
        <w:rPr>
          <w:rFonts w:ascii="Times New Roman" w:hAnsi="Times New Roman" w:cs="Times New Roman"/>
          <w:b/>
          <w:spacing w:val="-10"/>
        </w:rPr>
        <w:t>___________________                                         _____________________                           _</w:t>
      </w:r>
      <w:r>
        <w:rPr>
          <w:rFonts w:ascii="Times New Roman" w:hAnsi="Times New Roman" w:cs="Times New Roman"/>
          <w:b/>
          <w:spacing w:val="-10"/>
        </w:rPr>
        <w:t>____________________</w:t>
      </w:r>
    </w:p>
    <w:p w:rsidR="006F4884" w:rsidRPr="006F4884" w:rsidRDefault="006F4884" w:rsidP="00B36575">
      <w:pPr>
        <w:shd w:val="clear" w:color="auto" w:fill="FFFFFF"/>
        <w:tabs>
          <w:tab w:val="left" w:pos="4193"/>
          <w:tab w:val="left" w:pos="7646"/>
        </w:tabs>
        <w:spacing w:line="240" w:lineRule="auto"/>
        <w:ind w:right="29"/>
        <w:rPr>
          <w:rFonts w:ascii="Times New Roman" w:hAnsi="Times New Roman" w:cs="Times New Roman"/>
          <w:spacing w:val="-10"/>
        </w:rPr>
      </w:pPr>
      <w:r w:rsidRPr="006F4884">
        <w:rPr>
          <w:rFonts w:ascii="Times New Roman" w:hAnsi="Times New Roman" w:cs="Times New Roman"/>
          <w:spacing w:val="-10"/>
        </w:rPr>
        <w:t xml:space="preserve">(должность) </w:t>
      </w:r>
      <w:proofErr w:type="gramStart"/>
      <w:r w:rsidRPr="006F4884">
        <w:rPr>
          <w:rFonts w:ascii="Times New Roman" w:hAnsi="Times New Roman" w:cs="Times New Roman"/>
          <w:spacing w:val="-10"/>
        </w:rPr>
        <w:t>м</w:t>
      </w:r>
      <w:proofErr w:type="gramEnd"/>
      <w:r w:rsidRPr="006F4884">
        <w:rPr>
          <w:rFonts w:ascii="Times New Roman" w:hAnsi="Times New Roman" w:cs="Times New Roman"/>
          <w:spacing w:val="-10"/>
        </w:rPr>
        <w:t>.п.</w:t>
      </w:r>
      <w:r w:rsidRPr="006F4884">
        <w:rPr>
          <w:rFonts w:ascii="Times New Roman" w:hAnsi="Times New Roman" w:cs="Times New Roman"/>
          <w:spacing w:val="-10"/>
        </w:rPr>
        <w:tab/>
        <w:t>(подпись)</w:t>
      </w:r>
      <w:r w:rsidRPr="006F4884">
        <w:rPr>
          <w:rFonts w:ascii="Times New Roman" w:hAnsi="Times New Roman" w:cs="Times New Roman"/>
          <w:spacing w:val="-10"/>
        </w:rPr>
        <w:tab/>
        <w:t>(расшифровка)</w:t>
      </w:r>
    </w:p>
    <w:p w:rsidR="006F4884" w:rsidRPr="00243692" w:rsidRDefault="006F4884" w:rsidP="00B36575">
      <w:pPr>
        <w:spacing w:line="240" w:lineRule="auto"/>
        <w:rPr>
          <w:rFonts w:ascii="Times New Roman" w:hAnsi="Times New Roman" w:cs="Times New Roman"/>
          <w:b/>
        </w:rPr>
      </w:pPr>
    </w:p>
    <w:sectPr w:rsidR="006F4884" w:rsidRPr="00243692" w:rsidSect="00397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3692"/>
    <w:rsid w:val="000A79C6"/>
    <w:rsid w:val="001E5920"/>
    <w:rsid w:val="00243692"/>
    <w:rsid w:val="003972F8"/>
    <w:rsid w:val="003A45DC"/>
    <w:rsid w:val="00463253"/>
    <w:rsid w:val="006F4884"/>
    <w:rsid w:val="008F3026"/>
    <w:rsid w:val="00B36575"/>
    <w:rsid w:val="00F4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490</Words>
  <Characters>2796</Characters>
  <Application>Microsoft Office Word</Application>
  <DocSecurity>0</DocSecurity>
  <Lines>23</Lines>
  <Paragraphs>6</Paragraphs>
  <ScaleCrop>false</ScaleCrop>
  <Company>Гкб7</Company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2010-05-20T10:59:00Z</dcterms:created>
  <dcterms:modified xsi:type="dcterms:W3CDTF">2010-05-20T11:13:00Z</dcterms:modified>
</cp:coreProperties>
</file>