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roofErr w:type="gramStart"/>
      <w:r w:rsidRPr="00442A8F">
        <w:rPr>
          <w:rFonts w:ascii="Times New Roman" w:hAnsi="Times New Roman" w:cs="Times New Roman"/>
          <w:b/>
          <w:bCs/>
          <w:color w:val="000000"/>
          <w:spacing w:val="-1"/>
          <w:sz w:val="24"/>
          <w:szCs w:val="24"/>
        </w:rPr>
        <w:t>расположенного</w:t>
      </w:r>
      <w:proofErr w:type="gramEnd"/>
      <w:r w:rsidRPr="00442A8F">
        <w:rPr>
          <w:rFonts w:ascii="Times New Roman" w:hAnsi="Times New Roman" w:cs="Times New Roman"/>
          <w:b/>
          <w:bCs/>
          <w:color w:val="000000"/>
          <w:spacing w:val="-1"/>
          <w:sz w:val="24"/>
          <w:szCs w:val="24"/>
        </w:rPr>
        <w:t xml:space="preserve"> по адресу: </w:t>
      </w:r>
      <w:r w:rsidR="00A7421B">
        <w:rPr>
          <w:rFonts w:ascii="Times New Roman" w:hAnsi="Times New Roman" w:cs="Times New Roman"/>
          <w:b/>
          <w:bCs/>
          <w:color w:val="000000"/>
          <w:spacing w:val="-1"/>
          <w:sz w:val="24"/>
          <w:szCs w:val="24"/>
        </w:rPr>
        <w:t>ул. Холмогорская, 6</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proofErr w:type="gramStart"/>
      <w:r w:rsidR="00B95E86" w:rsidRPr="008D317F">
        <w:rPr>
          <w:rFonts w:ascii="Times New Roman" w:hAnsi="Times New Roman"/>
          <w:b/>
          <w:sz w:val="24"/>
          <w:szCs w:val="24"/>
        </w:rPr>
        <w:t>.</w:t>
      </w:r>
      <w:r w:rsidR="00A7421B">
        <w:rPr>
          <w:rFonts w:ascii="Times New Roman" w:hAnsi="Times New Roman"/>
          <w:b/>
          <w:sz w:val="24"/>
          <w:szCs w:val="24"/>
        </w:rPr>
        <w:t>Х</w:t>
      </w:r>
      <w:proofErr w:type="gramEnd"/>
      <w:r w:rsidR="00A7421B">
        <w:rPr>
          <w:rFonts w:ascii="Times New Roman" w:hAnsi="Times New Roman"/>
          <w:b/>
          <w:sz w:val="24"/>
          <w:szCs w:val="24"/>
        </w:rPr>
        <w:t>олмогорская, 6</w:t>
      </w:r>
      <w:r w:rsidR="00B95E86">
        <w:rPr>
          <w:rFonts w:ascii="Times New Roman" w:hAnsi="Times New Roman"/>
          <w:b/>
          <w:sz w:val="24"/>
          <w:szCs w:val="24"/>
        </w:rPr>
        <w:t xml:space="preserve"> (далее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A7421B">
        <w:rPr>
          <w:rFonts w:ascii="Times New Roman" w:hAnsi="Times New Roman"/>
          <w:b/>
          <w:sz w:val="24"/>
          <w:szCs w:val="24"/>
        </w:rPr>
        <w:t xml:space="preserve"> Холмогорская, 6</w:t>
      </w:r>
      <w:r w:rsidR="00B95E86">
        <w:rPr>
          <w:rFonts w:ascii="Times New Roman" w:hAnsi="Times New Roman"/>
          <w:b/>
          <w:sz w:val="24"/>
          <w:szCs w:val="24"/>
        </w:rPr>
        <w:t xml:space="preserve"> (приложение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
    <w:p w:rsidR="00B95E86" w:rsidRPr="00276ADF"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A7421B">
        <w:rPr>
          <w:rFonts w:ascii="Times New Roman" w:hAnsi="Times New Roman"/>
          <w:sz w:val="24"/>
          <w:szCs w:val="24"/>
          <w:u w:val="single"/>
        </w:rPr>
        <w:t>ул.</w:t>
      </w:r>
      <w:r w:rsidR="00A7421B" w:rsidRPr="00A7421B">
        <w:rPr>
          <w:rFonts w:ascii="Times New Roman" w:hAnsi="Times New Roman"/>
          <w:sz w:val="24"/>
          <w:szCs w:val="24"/>
          <w:u w:val="single"/>
        </w:rPr>
        <w:t xml:space="preserve"> </w:t>
      </w:r>
      <w:proofErr w:type="gramStart"/>
      <w:r w:rsidR="00A7421B" w:rsidRPr="00A7421B">
        <w:rPr>
          <w:rFonts w:ascii="Times New Roman" w:hAnsi="Times New Roman"/>
          <w:sz w:val="24"/>
          <w:szCs w:val="24"/>
          <w:u w:val="single"/>
        </w:rPr>
        <w:t>Холмогорская</w:t>
      </w:r>
      <w:proofErr w:type="gramEnd"/>
      <w:r w:rsidR="00A7421B" w:rsidRPr="00A7421B">
        <w:rPr>
          <w:rFonts w:ascii="Times New Roman" w:hAnsi="Times New Roman"/>
          <w:sz w:val="24"/>
          <w:szCs w:val="24"/>
          <w:u w:val="single"/>
        </w:rPr>
        <w:t>, 6</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A7421B">
        <w:rPr>
          <w:rFonts w:ascii="Times New Roman" w:hAnsi="Times New Roman"/>
          <w:b/>
          <w:sz w:val="24"/>
          <w:szCs w:val="24"/>
        </w:rPr>
        <w:t xml:space="preserve"> </w:t>
      </w:r>
      <w:proofErr w:type="gramStart"/>
      <w:r w:rsidR="00A7421B">
        <w:rPr>
          <w:rFonts w:ascii="Times New Roman" w:hAnsi="Times New Roman"/>
          <w:b/>
          <w:sz w:val="24"/>
          <w:szCs w:val="24"/>
        </w:rPr>
        <w:t>Холмогорская</w:t>
      </w:r>
      <w:proofErr w:type="gramEnd"/>
      <w:r w:rsidR="00A7421B">
        <w:rPr>
          <w:rFonts w:ascii="Times New Roman" w:hAnsi="Times New Roman"/>
          <w:b/>
          <w:sz w:val="24"/>
          <w:szCs w:val="24"/>
        </w:rPr>
        <w:t>, 6</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A7421B">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г.Пермь, ул.</w:t>
      </w:r>
      <w:r w:rsidR="00A7421B">
        <w:rPr>
          <w:rFonts w:ascii="Times New Roman" w:hAnsi="Times New Roman" w:cs="Times New Roman"/>
          <w:b/>
          <w:sz w:val="24"/>
          <w:szCs w:val="24"/>
        </w:rPr>
        <w:t xml:space="preserve"> Холмогорская, 6</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115032"/>
    <w:rsid w:val="001F594C"/>
    <w:rsid w:val="00286A1D"/>
    <w:rsid w:val="00496851"/>
    <w:rsid w:val="005A171F"/>
    <w:rsid w:val="00761D18"/>
    <w:rsid w:val="0086460F"/>
    <w:rsid w:val="00903EC2"/>
    <w:rsid w:val="00A7421B"/>
    <w:rsid w:val="00B95E86"/>
    <w:rsid w:val="00E27A8A"/>
    <w:rsid w:val="00EE0C09"/>
    <w:rsid w:val="00FB7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1821</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2011-07-04T09:55:00Z</cp:lastPrinted>
  <dcterms:created xsi:type="dcterms:W3CDTF">2011-07-11T05:00:00Z</dcterms:created>
  <dcterms:modified xsi:type="dcterms:W3CDTF">2011-07-11T05:10:00Z</dcterms:modified>
</cp:coreProperties>
</file>