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88162B" w:rsidRDefault="00D50C2C" w:rsidP="0057178D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57178D">
        <w:rPr>
          <w:sz w:val="28"/>
          <w:szCs w:val="28"/>
        </w:rPr>
        <w:t xml:space="preserve">                                                    </w:t>
      </w:r>
      <w:r w:rsidR="0057178D">
        <w:rPr>
          <w:b w:val="0"/>
          <w:sz w:val="24"/>
          <w:szCs w:val="24"/>
        </w:rPr>
        <w:t>Приложение №1</w:t>
      </w:r>
    </w:p>
    <w:p w:rsidR="0057178D" w:rsidRPr="0088162B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>к документации об открытом</w:t>
      </w:r>
    </w:p>
    <w:p w:rsidR="00FE1D3E" w:rsidRPr="00D50C2C" w:rsidRDefault="0057178D" w:rsidP="0057178D">
      <w:pPr>
        <w:jc w:val="right"/>
        <w:rPr>
          <w:sz w:val="20"/>
          <w:szCs w:val="20"/>
        </w:rPr>
      </w:pPr>
      <w:r w:rsidRPr="0088162B">
        <w:rPr>
          <w:sz w:val="24"/>
          <w:szCs w:val="24"/>
        </w:rPr>
        <w:t>аукционе в электронной форме</w:t>
      </w:r>
      <w:r>
        <w:rPr>
          <w:b/>
          <w:sz w:val="28"/>
          <w:szCs w:val="28"/>
        </w:rPr>
        <w:t xml:space="preserve">                                                                  </w:t>
      </w:r>
    </w:p>
    <w:p w:rsidR="00FE1D3E" w:rsidRDefault="00FE1D3E" w:rsidP="00624243">
      <w:pPr>
        <w:jc w:val="center"/>
        <w:rPr>
          <w:b/>
          <w:sz w:val="28"/>
          <w:szCs w:val="28"/>
        </w:rPr>
      </w:pP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Default="00624243" w:rsidP="000F7CDC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 </w:t>
      </w:r>
      <w:r w:rsidR="00BB60D6">
        <w:rPr>
          <w:sz w:val="24"/>
          <w:szCs w:val="24"/>
        </w:rPr>
        <w:t xml:space="preserve">помещений в </w:t>
      </w:r>
      <w:r w:rsidRPr="00624243">
        <w:rPr>
          <w:sz w:val="24"/>
          <w:szCs w:val="24"/>
        </w:rPr>
        <w:t xml:space="preserve"> </w:t>
      </w:r>
      <w:r w:rsidR="00BB60D6">
        <w:rPr>
          <w:sz w:val="24"/>
          <w:szCs w:val="24"/>
        </w:rPr>
        <w:t>Поликлинике</w:t>
      </w:r>
      <w:r w:rsidR="001426CA">
        <w:rPr>
          <w:sz w:val="24"/>
          <w:szCs w:val="24"/>
        </w:rPr>
        <w:t xml:space="preserve"> №</w:t>
      </w:r>
      <w:r w:rsidR="00BB60D6">
        <w:rPr>
          <w:sz w:val="24"/>
          <w:szCs w:val="24"/>
        </w:rPr>
        <w:t>2</w:t>
      </w:r>
      <w:r w:rsidRPr="00624243">
        <w:rPr>
          <w:sz w:val="24"/>
          <w:szCs w:val="24"/>
        </w:rPr>
        <w:t xml:space="preserve"> МУЗ «ГКП №4»</w:t>
      </w:r>
      <w:r w:rsidR="000F7CDC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по адресу г.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 xml:space="preserve">Пермь, ул. </w:t>
      </w:r>
      <w:r w:rsidR="00BB60D6">
        <w:rPr>
          <w:sz w:val="24"/>
          <w:szCs w:val="24"/>
        </w:rPr>
        <w:t>ТРАНСПОРТНАЯ, 27.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 Дефектной ведомости (Приложение 2)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BB60D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 ,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</w:t>
            </w:r>
            <w:r w:rsidRPr="00143E77">
              <w:rPr>
                <w:sz w:val="24"/>
                <w:szCs w:val="24"/>
              </w:rPr>
              <w:t xml:space="preserve">ул. </w:t>
            </w:r>
            <w:r w:rsidR="00BB60D6" w:rsidRPr="00143E77">
              <w:rPr>
                <w:sz w:val="24"/>
                <w:szCs w:val="24"/>
              </w:rPr>
              <w:t>Транспортная, 27</w:t>
            </w:r>
            <w:r>
              <w:rPr>
                <w:sz w:val="24"/>
                <w:szCs w:val="24"/>
              </w:rPr>
              <w:t>. Объект должен быть передан в эксплуатацию в состоянии. пригодном для эксплуатации.</w:t>
            </w:r>
          </w:p>
        </w:tc>
      </w:tr>
      <w:tr w:rsidR="00624243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624243" w:rsidP="0049345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(ГОСТам,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r w:rsidRPr="009E0705">
              <w:rPr>
                <w:rFonts w:asciiTheme="minorHAnsi" w:hAnsiTheme="minorHAnsi" w:cs="Times New Roman"/>
              </w:rPr>
              <w:t>СаНПиН</w:t>
            </w:r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r w:rsidRPr="009E0705">
              <w:rPr>
                <w:rFonts w:asciiTheme="minorHAnsi" w:hAnsiTheme="minorHAnsi" w:cs="Times New Roman"/>
              </w:rPr>
              <w:t xml:space="preserve"> ), а так же иным документам регламентирующих качество строительных материалов.</w:t>
            </w:r>
          </w:p>
          <w:p w:rsidR="000C3E71" w:rsidRDefault="000C3E71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3E71">
              <w:rPr>
                <w:rFonts w:asciiTheme="minorHAnsi" w:hAnsiTheme="minorHAnsi"/>
              </w:rPr>
              <w:t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</w:t>
            </w:r>
            <w:r w:rsidRPr="009E0705">
              <w:t>.</w:t>
            </w:r>
            <w:r w:rsidR="000F7CDC">
              <w:t xml:space="preserve"> </w:t>
            </w:r>
            <w:r w:rsidR="00A47D5F">
              <w:t xml:space="preserve">                       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lastRenderedPageBreak/>
              <w:t>Особое внимание обратить на СанПиН 2.1.3.2630-10 «</w:t>
            </w:r>
            <w:r w:rsidR="00A47D5F">
              <w:rPr>
                <w:rFonts w:asciiTheme="minorHAnsi" w:hAnsiTheme="minorHAnsi"/>
                <w:sz w:val="22"/>
                <w:szCs w:val="22"/>
              </w:rPr>
              <w:t>Санитарно-эпидемио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логические требования к организациям осуществляющих медицинскую </w:t>
            </w:r>
            <w:r w:rsidR="00A47D5F" w:rsidRPr="000F7CDC">
              <w:rPr>
                <w:rFonts w:asciiTheme="minorHAnsi" w:hAnsiTheme="minorHAnsi"/>
                <w:sz w:val="22"/>
                <w:szCs w:val="22"/>
              </w:rPr>
              <w:t>деятельность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>»</w:t>
            </w:r>
          </w:p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0F7CDC" w:rsidTr="000F7CDC">
        <w:trPr>
          <w:trHeight w:val="11730"/>
        </w:trPr>
        <w:tc>
          <w:tcPr>
            <w:tcW w:w="526" w:type="dxa"/>
            <w:tcBorders>
              <w:top w:val="single" w:sz="4" w:space="0" w:color="auto"/>
            </w:tcBorders>
          </w:tcPr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Pr="009E0705" w:rsidRDefault="000F7CDC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0F7CDC" w:rsidRPr="009E0705" w:rsidRDefault="000F7CDC" w:rsidP="00493452">
            <w:pPr>
              <w:pStyle w:val="Default"/>
              <w:rPr>
                <w:rFonts w:asciiTheme="minorHAnsi" w:hAnsiTheme="minorHAnsi"/>
              </w:rPr>
            </w:pP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0F7CDC" w:rsidRPr="009E0705" w:rsidTr="00A47D5F">
              <w:trPr>
                <w:trHeight w:val="4089"/>
              </w:trPr>
              <w:tc>
                <w:tcPr>
                  <w:tcW w:w="6131" w:type="dxa"/>
                </w:tcPr>
                <w:p w:rsidR="000F7CDC" w:rsidRPr="009E0705" w:rsidRDefault="000F7CDC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0F7CDC" w:rsidRPr="009E0705" w:rsidRDefault="000F7CDC" w:rsidP="00A47D5F">
                  <w:pPr>
                    <w:jc w:val="left"/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</w:t>
                  </w:r>
                  <w:r w:rsidR="00A47D5F">
                    <w:rPr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9E0705">
                    <w:rPr>
                      <w:sz w:val="24"/>
                      <w:szCs w:val="24"/>
                    </w:rPr>
                    <w:t>монтаж сетей электроснабжения - по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0F7CDC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0F7CDC" w:rsidRPr="009E0705" w:rsidRDefault="000F7CDC" w:rsidP="00D017B6">
                        <w:pPr>
                          <w:rPr>
                            <w:sz w:val="24"/>
                            <w:szCs w:val="24"/>
                          </w:rPr>
                        </w:pPr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(Несущие и ограждающие конструкции).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0F7CDC" w:rsidRPr="009E0705" w:rsidRDefault="000F7CDC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F7CDC" w:rsidRPr="009E0705" w:rsidRDefault="000F7CDC" w:rsidP="00624243">
            <w:pPr>
              <w:jc w:val="center"/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D017B6" w:rsidRDefault="00D017B6" w:rsidP="00A47D5F">
      <w:pPr>
        <w:tabs>
          <w:tab w:val="left" w:pos="2580"/>
        </w:tabs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  <w:r w:rsidR="00A47D5F">
        <w:rPr>
          <w:b/>
          <w:sz w:val="24"/>
          <w:szCs w:val="24"/>
        </w:rPr>
        <w:tab/>
        <w:t xml:space="preserve"> </w:t>
      </w:r>
    </w:p>
    <w:p w:rsidR="00D017B6" w:rsidRDefault="00D017B6" w:rsidP="00A315BA">
      <w:pPr>
        <w:pStyle w:val="a3"/>
      </w:pP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7A1E81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Срок выполнения работ </w:t>
      </w:r>
      <w:r w:rsidR="00FF4167">
        <w:rPr>
          <w:sz w:val="24"/>
          <w:szCs w:val="24"/>
        </w:rPr>
        <w:t>30</w:t>
      </w:r>
      <w:r>
        <w:rPr>
          <w:sz w:val="24"/>
          <w:szCs w:val="24"/>
        </w:rPr>
        <w:t xml:space="preserve"> календарных дней</w:t>
      </w:r>
    </w:p>
    <w:p w:rsidR="00E00979" w:rsidRDefault="00521E96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>17. При выполнении работ по замене оконных ПВХ блоков применить</w:t>
      </w:r>
      <w:r w:rsidR="00D017B6" w:rsidRPr="007A1E81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</w:p>
    <w:p w:rsidR="00521E96" w:rsidRDefault="00521E96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-  блоки оконные из ПВХ профилей «Экспроф» Гост 30673-99</w:t>
      </w:r>
    </w:p>
    <w:p w:rsidR="00521E96" w:rsidRDefault="00521E96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-  фурнитура  поворотно-откидная «МАСО» Гост 30777-2001, гост 538-2001.</w:t>
      </w:r>
    </w:p>
    <w:p w:rsidR="00521E96" w:rsidRDefault="00521E96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- стеклопакет двухкамерный 32мм Гост 24866-99</w:t>
      </w:r>
    </w:p>
    <w:p w:rsidR="00521E96" w:rsidRDefault="00521E96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- цвет конструкции белый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A315BA" w:rsidRDefault="00A315BA" w:rsidP="00D017B6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Приложение 2</w:t>
      </w:r>
    </w:p>
    <w:p w:rsidR="00BB60D6" w:rsidRDefault="00F861D7" w:rsidP="00BB60D6">
      <w:pPr>
        <w:jc w:val="center"/>
        <w:rPr>
          <w:sz w:val="32"/>
          <w:szCs w:val="32"/>
        </w:rPr>
      </w:pPr>
      <w:r>
        <w:rPr>
          <w:sz w:val="24"/>
          <w:szCs w:val="24"/>
        </w:rPr>
        <w:tab/>
      </w:r>
      <w:r w:rsidR="00BB60D6">
        <w:rPr>
          <w:sz w:val="32"/>
          <w:szCs w:val="32"/>
        </w:rPr>
        <w:t>Дефектная ведомость объемов работ</w:t>
      </w:r>
    </w:p>
    <w:p w:rsidR="00BB60D6" w:rsidRDefault="00BB60D6" w:rsidP="00BB60D6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Капитальный ремонт помещений МУЗ «ГКП №4» Поликлиника №2</w:t>
      </w:r>
    </w:p>
    <w:p w:rsidR="00BB60D6" w:rsidRDefault="00BB60D6" w:rsidP="00BB60D6">
      <w:pPr>
        <w:jc w:val="center"/>
        <w:rPr>
          <w:sz w:val="24"/>
          <w:szCs w:val="24"/>
        </w:rPr>
      </w:pPr>
      <w:r>
        <w:rPr>
          <w:sz w:val="24"/>
          <w:szCs w:val="24"/>
        </w:rPr>
        <w:t>ул. Транспортная, 27</w:t>
      </w:r>
    </w:p>
    <w:p w:rsidR="00BB60D6" w:rsidRPr="00DC7B23" w:rsidRDefault="00BB60D6" w:rsidP="00BB60D6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65"/>
        <w:gridCol w:w="3896"/>
        <w:gridCol w:w="1276"/>
        <w:gridCol w:w="1417"/>
        <w:gridCol w:w="2517"/>
      </w:tblGrid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BB60D6" w:rsidTr="00F47BC4">
        <w:tc>
          <w:tcPr>
            <w:tcW w:w="9571" w:type="dxa"/>
            <w:gridSpan w:val="5"/>
          </w:tcPr>
          <w:p w:rsidR="00BB60D6" w:rsidRPr="00AB679C" w:rsidRDefault="00BB60D6" w:rsidP="00F47BC4">
            <w:pPr>
              <w:tabs>
                <w:tab w:val="left" w:pos="735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AB679C">
              <w:rPr>
                <w:b/>
                <w:sz w:val="24"/>
                <w:szCs w:val="24"/>
              </w:rPr>
              <w:t>1.Пол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Разборка плинтусов цементных и из керамической плитки</w:t>
            </w:r>
          </w:p>
          <w:p w:rsidR="00BB60D6" w:rsidRPr="00DD51E3" w:rsidRDefault="00BB60D6" w:rsidP="00F47B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Разборка покрытий полов из керамических плиток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Устройство цементной стяжки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Устройство покрытий пола из керамической плитки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Устройство плинтусов из керамических плиток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69,16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Разборка плинтусов деревянных и из пластмассовых материалов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50,34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Разборка покрытий полов из  линолеума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 xml:space="preserve">Устройство стяжек из плит древесноволокнистых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Устройство покрытий из линолеума на клее «бустилат»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 xml:space="preserve">Устройство плинтусов поливинилхлоридных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142,78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Монтаж     порогов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9571" w:type="dxa"/>
            <w:gridSpan w:val="5"/>
          </w:tcPr>
          <w:p w:rsidR="00BB60D6" w:rsidRPr="00EC2AD9" w:rsidRDefault="00BB60D6" w:rsidP="00F47BC4">
            <w:pPr>
              <w:tabs>
                <w:tab w:val="left" w:pos="8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EC2AD9">
              <w:rPr>
                <w:b/>
                <w:sz w:val="24"/>
                <w:szCs w:val="24"/>
              </w:rPr>
              <w:t>2. Потолок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 xml:space="preserve">Ремонт штукатурки потолков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Перетирка штукатурки внутренних помещений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Pr="00166692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274,08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Грунтование поверхности потолков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301,98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Окрашивание водоэмульсионными составами поверхностей потолков с расчисткой старой краски до 35%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Pr="0018201C" w:rsidRDefault="00BB60D6" w:rsidP="00F47BC4">
            <w:pPr>
              <w:tabs>
                <w:tab w:val="left" w:pos="9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263,3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Улучшенная масляная окраска ранее окрашенных потолков за два раза с расчисткой до 35 %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9571" w:type="dxa"/>
            <w:gridSpan w:val="5"/>
          </w:tcPr>
          <w:p w:rsidR="00BB60D6" w:rsidRPr="00E626AF" w:rsidRDefault="00BB60D6" w:rsidP="00F47BC4">
            <w:pPr>
              <w:tabs>
                <w:tab w:val="left" w:pos="7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E626AF">
              <w:rPr>
                <w:b/>
                <w:sz w:val="24"/>
                <w:szCs w:val="24"/>
              </w:rPr>
              <w:t>3. Стены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Устройство перегородок из ГКЛ (глухих)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Ремонт штукатурки внутренних стен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129,6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Перетирка штукатурки внутренних помещений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9,02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 xml:space="preserve">Покрытие поверхностей грунтовкой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100м2</w:t>
            </w:r>
          </w:p>
        </w:tc>
        <w:tc>
          <w:tcPr>
            <w:tcW w:w="1417" w:type="dxa"/>
          </w:tcPr>
          <w:p w:rsidR="00BB60D6" w:rsidRPr="00B0079F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10,07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96" w:type="dxa"/>
          </w:tcPr>
          <w:p w:rsidR="00BB60D6" w:rsidRPr="009C45AB" w:rsidRDefault="00BB60D6" w:rsidP="00F47BC4">
            <w:pPr>
              <w:jc w:val="left"/>
              <w:rPr>
                <w:rFonts w:cs="Arial"/>
                <w:i/>
                <w:iCs/>
              </w:rPr>
            </w:pPr>
            <w:r w:rsidRPr="009C45AB">
              <w:rPr>
                <w:rFonts w:cs="Arial"/>
              </w:rPr>
              <w:t>Окрашивание водоэмульсионными составами поверхностей стен, ранее окрашенных масляной краской с расчисткой старой краски до 35%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4,42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96" w:type="dxa"/>
          </w:tcPr>
          <w:p w:rsidR="00BB60D6" w:rsidRPr="009C45AB" w:rsidRDefault="00BB60D6" w:rsidP="00F47BC4">
            <w:pPr>
              <w:jc w:val="left"/>
              <w:rPr>
                <w:rFonts w:cs="Arial"/>
              </w:rPr>
            </w:pPr>
            <w:r w:rsidRPr="009C45AB">
              <w:rPr>
                <w:rFonts w:cs="Arial"/>
              </w:rPr>
              <w:t xml:space="preserve">Окраска поливинилацетатными водоэмульсионными составами </w:t>
            </w:r>
            <w:r w:rsidRPr="009C45AB">
              <w:rPr>
                <w:rFonts w:cs="Arial"/>
              </w:rPr>
              <w:lastRenderedPageBreak/>
              <w:t>улучшенная по сборным конструкциям стен, подготовленным под окраску</w:t>
            </w:r>
            <w:r w:rsidRPr="009C45AB">
              <w:rPr>
                <w:rFonts w:cs="Arial"/>
                <w:i/>
                <w:iCs/>
              </w:rPr>
              <w:t xml:space="preserve">;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BB60D6" w:rsidRPr="003947CF" w:rsidRDefault="00BB60D6" w:rsidP="00F47BC4">
            <w:pPr>
              <w:rPr>
                <w:sz w:val="24"/>
                <w:szCs w:val="24"/>
              </w:rPr>
            </w:pPr>
          </w:p>
          <w:p w:rsidR="00BB60D6" w:rsidRPr="003947CF" w:rsidRDefault="00BB60D6" w:rsidP="00F47BC4">
            <w:pPr>
              <w:rPr>
                <w:sz w:val="24"/>
                <w:szCs w:val="24"/>
              </w:rPr>
            </w:pPr>
          </w:p>
          <w:p w:rsidR="00BB60D6" w:rsidRPr="003947CF" w:rsidRDefault="00BB60D6" w:rsidP="00F47BC4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896" w:type="dxa"/>
          </w:tcPr>
          <w:p w:rsidR="00BB60D6" w:rsidRPr="009C45AB" w:rsidRDefault="00BB60D6" w:rsidP="00F47BC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Разборка облицовки стен из керамических глазурованных плиток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11,36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Улучшенная масляная окраска ранее окрашенных стен за два раза с расчисткой до 35 %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5,25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 xml:space="preserve">Снятие обоев </w:t>
            </w:r>
          </w:p>
          <w:p w:rsidR="00BB60D6" w:rsidRDefault="00BB60D6" w:rsidP="00F47BC4">
            <w:pPr>
              <w:jc w:val="left"/>
            </w:pP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163,47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>Обивка стен не оцинкованной кровельной сталью по дереву с двух сторон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2,57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 xml:space="preserve">Огрунтовка металлических поверхностей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896" w:type="dxa"/>
          </w:tcPr>
          <w:p w:rsidR="00BB60D6" w:rsidRPr="00DD51E3" w:rsidRDefault="00BB60D6" w:rsidP="00F47BC4">
            <w:pPr>
              <w:jc w:val="left"/>
            </w:pPr>
            <w:r>
              <w:t xml:space="preserve">Масляная окраска  металлических поверхностей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Демонтаж конструкций дверей, люков. лазов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1т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Монтаж  конструкций дверей, люков. лазов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1т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Облицовка  стен керамической плиткой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26,77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9571" w:type="dxa"/>
            <w:gridSpan w:val="5"/>
          </w:tcPr>
          <w:p w:rsidR="00BB60D6" w:rsidRPr="00FE1DBE" w:rsidRDefault="00BB60D6" w:rsidP="00F47BC4">
            <w:pPr>
              <w:tabs>
                <w:tab w:val="left" w:pos="87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FE1DBE">
              <w:rPr>
                <w:b/>
                <w:sz w:val="24"/>
                <w:szCs w:val="24"/>
              </w:rPr>
              <w:t>5. Проемы</w:t>
            </w:r>
            <w:r>
              <w:rPr>
                <w:b/>
                <w:sz w:val="24"/>
                <w:szCs w:val="24"/>
              </w:rPr>
              <w:t>, приборы отопления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Демонтаж  деревянных  дверей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3,15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 xml:space="preserve">Установка блоков из ПВХ в дверных проемах 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3,15</w:t>
            </w:r>
          </w:p>
        </w:tc>
        <w:tc>
          <w:tcPr>
            <w:tcW w:w="2517" w:type="dxa"/>
          </w:tcPr>
          <w:p w:rsidR="00BB60D6" w:rsidRPr="00633B0B" w:rsidRDefault="00244575" w:rsidP="00F47BC4">
            <w:pPr>
              <w:jc w:val="center"/>
              <w:rPr>
                <w:sz w:val="24"/>
                <w:szCs w:val="24"/>
              </w:rPr>
            </w:pPr>
            <w:r w:rsidRPr="00F47BC4">
              <w:rPr>
                <w:b/>
                <w:sz w:val="24"/>
                <w:szCs w:val="24"/>
                <w:u w:val="single"/>
              </w:rPr>
              <w:t>Профиль</w:t>
            </w:r>
            <w:r>
              <w:rPr>
                <w:sz w:val="24"/>
                <w:szCs w:val="24"/>
              </w:rPr>
              <w:t>:            «</w:t>
            </w:r>
            <w:r>
              <w:rPr>
                <w:sz w:val="24"/>
                <w:szCs w:val="24"/>
                <w:lang w:val="en-US"/>
              </w:rPr>
              <w:t>Exprov</w:t>
            </w:r>
            <w:r w:rsidRPr="00F47B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Practica</w:t>
            </w:r>
            <w:r w:rsidR="00633B0B">
              <w:rPr>
                <w:sz w:val="24"/>
                <w:szCs w:val="24"/>
              </w:rPr>
              <w:t>» или эквивалент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896" w:type="dxa"/>
          </w:tcPr>
          <w:p w:rsidR="00BB60D6" w:rsidRPr="00D105EA" w:rsidRDefault="00BB60D6" w:rsidP="00F47BC4">
            <w:pPr>
              <w:jc w:val="left"/>
              <w:rPr>
                <w:rFonts w:cs="Arial"/>
                <w:i/>
                <w:iCs/>
              </w:rPr>
            </w:pPr>
            <w:r w:rsidRPr="00D105EA">
              <w:rPr>
                <w:rFonts w:cs="Arial"/>
              </w:rPr>
              <w:t>Улучшенная масляная окраска ранее окрашенных дверей за два раза с расчисткой старой краски до 35%</w:t>
            </w:r>
          </w:p>
          <w:p w:rsidR="00BB60D6" w:rsidRPr="00F41B1C" w:rsidRDefault="00BB60D6" w:rsidP="00F47BC4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46,83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896" w:type="dxa"/>
          </w:tcPr>
          <w:p w:rsidR="00BB60D6" w:rsidRPr="00D105EA" w:rsidRDefault="00BB60D6" w:rsidP="00F47BC4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Улучшенная масляная окраска окон с расчисткой старой краски до 35%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Pr="00FF1CE0" w:rsidRDefault="00BB60D6" w:rsidP="00F47B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63,57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896" w:type="dxa"/>
          </w:tcPr>
          <w:p w:rsidR="00BB60D6" w:rsidRPr="00BF5983" w:rsidRDefault="00BB60D6" w:rsidP="00F47BC4">
            <w:pPr>
              <w:jc w:val="left"/>
              <w:rPr>
                <w:rFonts w:cs="Arial"/>
              </w:rPr>
            </w:pPr>
            <w:r w:rsidRPr="00BF5983">
              <w:rPr>
                <w:rFonts w:cs="Arial"/>
              </w:rPr>
              <w:t>Демонтаж деревянных окон без подоконных досок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20,59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896" w:type="dxa"/>
          </w:tcPr>
          <w:p w:rsidR="00BB60D6" w:rsidRPr="00BF5983" w:rsidRDefault="00BB60D6" w:rsidP="00F47BC4">
            <w:pPr>
              <w:jc w:val="left"/>
              <w:rPr>
                <w:rFonts w:cs="Arial"/>
              </w:rPr>
            </w:pPr>
            <w:r w:rsidRPr="00BF5983">
              <w:rPr>
                <w:rFonts w:cs="Arial"/>
              </w:rPr>
              <w:t>Снятие подоконных досок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96" w:type="dxa"/>
          </w:tcPr>
          <w:p w:rsidR="00BB60D6" w:rsidRPr="009C45AB" w:rsidRDefault="00BB60D6" w:rsidP="00F47BC4">
            <w:pPr>
              <w:jc w:val="left"/>
              <w:rPr>
                <w:rFonts w:cs="Arial"/>
              </w:rPr>
            </w:pPr>
            <w:r w:rsidRPr="009C45AB">
              <w:rPr>
                <w:rFonts w:cs="Arial"/>
              </w:rPr>
              <w:t>Установка в жилых и общественных зданиях оконных блоков из ПВХ профилей поворотных (откидных, поворотно-откидных) с площадью проема до 2 м2 трехстворчатых, в том числе при наличии створок глухого остекления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19,96</w:t>
            </w:r>
          </w:p>
        </w:tc>
        <w:tc>
          <w:tcPr>
            <w:tcW w:w="2517" w:type="dxa"/>
          </w:tcPr>
          <w:p w:rsidR="00BB60D6" w:rsidRDefault="00F47BC4" w:rsidP="00F47BC4">
            <w:pPr>
              <w:jc w:val="center"/>
              <w:rPr>
                <w:sz w:val="24"/>
                <w:szCs w:val="24"/>
              </w:rPr>
            </w:pPr>
            <w:r w:rsidRPr="00F47BC4">
              <w:rPr>
                <w:b/>
                <w:sz w:val="24"/>
                <w:szCs w:val="24"/>
                <w:u w:val="single"/>
              </w:rPr>
              <w:t>Профиль</w:t>
            </w:r>
            <w:r>
              <w:rPr>
                <w:sz w:val="24"/>
                <w:szCs w:val="24"/>
              </w:rPr>
              <w:t>:   3 кам         «</w:t>
            </w:r>
            <w:r>
              <w:rPr>
                <w:sz w:val="24"/>
                <w:szCs w:val="24"/>
                <w:lang w:val="en-US"/>
              </w:rPr>
              <w:t>Exprov</w:t>
            </w:r>
            <w:r w:rsidRPr="00F47B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Practica</w:t>
            </w:r>
            <w:r>
              <w:rPr>
                <w:sz w:val="24"/>
                <w:szCs w:val="24"/>
              </w:rPr>
              <w:t>»</w:t>
            </w:r>
            <w:r w:rsidR="00633B0B">
              <w:rPr>
                <w:sz w:val="24"/>
                <w:szCs w:val="24"/>
              </w:rPr>
              <w:t xml:space="preserve"> или эквивалент</w:t>
            </w:r>
          </w:p>
          <w:p w:rsidR="00F47BC4" w:rsidRDefault="00F47BC4" w:rsidP="00F47BC4">
            <w:pPr>
              <w:jc w:val="center"/>
              <w:rPr>
                <w:sz w:val="24"/>
                <w:szCs w:val="24"/>
              </w:rPr>
            </w:pPr>
            <w:r w:rsidRPr="00F47BC4">
              <w:rPr>
                <w:b/>
                <w:sz w:val="24"/>
                <w:szCs w:val="24"/>
                <w:u w:val="single"/>
              </w:rPr>
              <w:t>Цвет конструкции:</w:t>
            </w:r>
            <w:r>
              <w:rPr>
                <w:sz w:val="24"/>
                <w:szCs w:val="24"/>
              </w:rPr>
              <w:t xml:space="preserve"> внешний - белый</w:t>
            </w:r>
          </w:p>
          <w:p w:rsidR="00F47BC4" w:rsidRDefault="00F47BC4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внутренний – белый</w:t>
            </w:r>
          </w:p>
          <w:p w:rsidR="00F47BC4" w:rsidRDefault="00F47BC4" w:rsidP="00F47BC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47BC4">
              <w:rPr>
                <w:b/>
                <w:sz w:val="24"/>
                <w:szCs w:val="24"/>
                <w:u w:val="single"/>
              </w:rPr>
              <w:t>Система фурнитуры</w:t>
            </w:r>
            <w:r>
              <w:rPr>
                <w:b/>
                <w:sz w:val="24"/>
                <w:szCs w:val="24"/>
                <w:u w:val="single"/>
              </w:rPr>
              <w:t>:</w:t>
            </w:r>
          </w:p>
          <w:p w:rsidR="00F47BC4" w:rsidRPr="00F47BC4" w:rsidRDefault="00F47BC4" w:rsidP="00633B0B">
            <w:pPr>
              <w:jc w:val="center"/>
              <w:rPr>
                <w:sz w:val="24"/>
                <w:szCs w:val="24"/>
              </w:rPr>
            </w:pPr>
            <w:r w:rsidRPr="00F47BC4">
              <w:rPr>
                <w:sz w:val="24"/>
                <w:szCs w:val="24"/>
              </w:rPr>
              <w:t>«МАСО»</w:t>
            </w:r>
            <w:r>
              <w:rPr>
                <w:sz w:val="24"/>
                <w:szCs w:val="24"/>
              </w:rPr>
              <w:t xml:space="preserve"> </w:t>
            </w:r>
            <w:r w:rsidR="00633B0B">
              <w:rPr>
                <w:sz w:val="24"/>
                <w:szCs w:val="24"/>
              </w:rPr>
              <w:t>или эквивалент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Устройство откосов из ПВХ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2517" w:type="dxa"/>
          </w:tcPr>
          <w:p w:rsidR="00BB60D6" w:rsidRDefault="00F47BC4" w:rsidP="00633B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«Адепласт» </w:t>
            </w:r>
            <w:r w:rsidR="00633B0B">
              <w:rPr>
                <w:sz w:val="24"/>
                <w:szCs w:val="24"/>
              </w:rPr>
              <w:t>или эквивалент</w:t>
            </w:r>
          </w:p>
        </w:tc>
      </w:tr>
      <w:tr w:rsidR="00633B0B" w:rsidTr="00F47BC4">
        <w:tc>
          <w:tcPr>
            <w:tcW w:w="465" w:type="dxa"/>
          </w:tcPr>
          <w:p w:rsidR="00633B0B" w:rsidRDefault="00633B0B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96" w:type="dxa"/>
          </w:tcPr>
          <w:p w:rsidR="00633B0B" w:rsidRDefault="00633B0B" w:rsidP="00F47BC4">
            <w:pPr>
              <w:jc w:val="left"/>
            </w:pPr>
            <w:r>
              <w:t>Установка подоконных досок из ПВХ</w:t>
            </w:r>
          </w:p>
        </w:tc>
        <w:tc>
          <w:tcPr>
            <w:tcW w:w="1276" w:type="dxa"/>
          </w:tcPr>
          <w:p w:rsidR="00633B0B" w:rsidRDefault="00633B0B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633B0B" w:rsidRDefault="00633B0B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10,88</w:t>
            </w:r>
          </w:p>
        </w:tc>
        <w:tc>
          <w:tcPr>
            <w:tcW w:w="2517" w:type="dxa"/>
          </w:tcPr>
          <w:p w:rsidR="00633B0B" w:rsidRDefault="00633B0B" w:rsidP="00DC7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«Адепласт» или эквивалент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Устройство наружных откосов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Устройство отлива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10,88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Облицовка  стен уголком из ПВХ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Окраска масляными составами поверхность труб за 2раза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Pr="00B0079F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Окраска масляными составами поверхность радиаторов  2раза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9571" w:type="dxa"/>
            <w:gridSpan w:val="5"/>
          </w:tcPr>
          <w:p w:rsidR="00BB60D6" w:rsidRPr="003947CF" w:rsidRDefault="00BB60D6" w:rsidP="00F47BC4">
            <w:pPr>
              <w:tabs>
                <w:tab w:val="left" w:pos="66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3947CF">
              <w:rPr>
                <w:b/>
                <w:sz w:val="24"/>
                <w:szCs w:val="24"/>
              </w:rPr>
              <w:t>Вывоз мусора</w:t>
            </w: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Мусор строительный с погрузкой вручную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  <w:tr w:rsidR="00BB60D6" w:rsidTr="00F47BC4">
        <w:tc>
          <w:tcPr>
            <w:tcW w:w="465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896" w:type="dxa"/>
          </w:tcPr>
          <w:p w:rsidR="00BB60D6" w:rsidRDefault="00BB60D6" w:rsidP="00F47BC4">
            <w:pPr>
              <w:jc w:val="left"/>
            </w:pPr>
            <w:r>
              <w:t>Перевозка  мусора</w:t>
            </w:r>
          </w:p>
        </w:tc>
        <w:tc>
          <w:tcPr>
            <w:tcW w:w="1276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14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10,91</w:t>
            </w:r>
          </w:p>
        </w:tc>
        <w:tc>
          <w:tcPr>
            <w:tcW w:w="2517" w:type="dxa"/>
          </w:tcPr>
          <w:p w:rsidR="00BB60D6" w:rsidRDefault="00BB60D6" w:rsidP="00F47B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60D6" w:rsidRDefault="00BB60D6" w:rsidP="00BB60D6">
      <w:pPr>
        <w:jc w:val="left"/>
        <w:rPr>
          <w:sz w:val="24"/>
          <w:szCs w:val="24"/>
        </w:rPr>
      </w:pPr>
    </w:p>
    <w:p w:rsidR="00BB60D6" w:rsidRDefault="00BB60D6" w:rsidP="00BB60D6">
      <w:pPr>
        <w:jc w:val="left"/>
        <w:rPr>
          <w:sz w:val="24"/>
          <w:szCs w:val="24"/>
        </w:rPr>
      </w:pPr>
    </w:p>
    <w:p w:rsidR="00D33EF1" w:rsidRPr="00F861D7" w:rsidRDefault="00BB60D6" w:rsidP="00BB60D6">
      <w:pPr>
        <w:jc w:val="center"/>
        <w:rPr>
          <w:sz w:val="24"/>
          <w:szCs w:val="24"/>
        </w:rPr>
      </w:pPr>
      <w:r>
        <w:rPr>
          <w:sz w:val="24"/>
          <w:szCs w:val="24"/>
        </w:rPr>
        <w:t>Инженер по ремонту                                                                                                       Еливанов М. П</w:t>
      </w:r>
    </w:p>
    <w:sectPr w:rsidR="00D33EF1" w:rsidRPr="00F861D7" w:rsidSect="00FE1D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263" w:rsidRDefault="00FA2263" w:rsidP="00FE1D3E">
      <w:r>
        <w:separator/>
      </w:r>
    </w:p>
  </w:endnote>
  <w:endnote w:type="continuationSeparator" w:id="1">
    <w:p w:rsidR="00FA2263" w:rsidRDefault="00FA2263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263" w:rsidRDefault="00FA2263" w:rsidP="00FE1D3E">
      <w:r>
        <w:separator/>
      </w:r>
    </w:p>
  </w:footnote>
  <w:footnote w:type="continuationSeparator" w:id="1">
    <w:p w:rsidR="00FA2263" w:rsidRDefault="00FA2263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27BAB"/>
    <w:rsid w:val="000678FA"/>
    <w:rsid w:val="000A091F"/>
    <w:rsid w:val="000A1B61"/>
    <w:rsid w:val="000C3E71"/>
    <w:rsid w:val="000F1AAB"/>
    <w:rsid w:val="000F7CDC"/>
    <w:rsid w:val="00133BFC"/>
    <w:rsid w:val="001426CA"/>
    <w:rsid w:val="00143E77"/>
    <w:rsid w:val="00165EBE"/>
    <w:rsid w:val="001B3110"/>
    <w:rsid w:val="001C6EF6"/>
    <w:rsid w:val="00230913"/>
    <w:rsid w:val="00237D8B"/>
    <w:rsid w:val="00244575"/>
    <w:rsid w:val="002B11BC"/>
    <w:rsid w:val="002C484B"/>
    <w:rsid w:val="002D5790"/>
    <w:rsid w:val="002D58E4"/>
    <w:rsid w:val="00392233"/>
    <w:rsid w:val="003B1E0E"/>
    <w:rsid w:val="003F0D66"/>
    <w:rsid w:val="00460FAA"/>
    <w:rsid w:val="00487447"/>
    <w:rsid w:val="00493452"/>
    <w:rsid w:val="004B541B"/>
    <w:rsid w:val="004D5F8D"/>
    <w:rsid w:val="004F1DA4"/>
    <w:rsid w:val="004F38B9"/>
    <w:rsid w:val="0051372C"/>
    <w:rsid w:val="005151C1"/>
    <w:rsid w:val="00521E96"/>
    <w:rsid w:val="00532EC8"/>
    <w:rsid w:val="00534418"/>
    <w:rsid w:val="00553D02"/>
    <w:rsid w:val="0055522C"/>
    <w:rsid w:val="0057178D"/>
    <w:rsid w:val="00595F40"/>
    <w:rsid w:val="005F1A3E"/>
    <w:rsid w:val="005F6B68"/>
    <w:rsid w:val="00600D54"/>
    <w:rsid w:val="00624243"/>
    <w:rsid w:val="0063202B"/>
    <w:rsid w:val="00633B0B"/>
    <w:rsid w:val="006458F1"/>
    <w:rsid w:val="00665639"/>
    <w:rsid w:val="00667A5B"/>
    <w:rsid w:val="006C3E1E"/>
    <w:rsid w:val="006C5B3E"/>
    <w:rsid w:val="007137DE"/>
    <w:rsid w:val="00740DC3"/>
    <w:rsid w:val="00794525"/>
    <w:rsid w:val="007A1E81"/>
    <w:rsid w:val="007B1219"/>
    <w:rsid w:val="008343D5"/>
    <w:rsid w:val="008C7762"/>
    <w:rsid w:val="00904C23"/>
    <w:rsid w:val="009204E7"/>
    <w:rsid w:val="0093113E"/>
    <w:rsid w:val="009A5378"/>
    <w:rsid w:val="009B4B50"/>
    <w:rsid w:val="009E0705"/>
    <w:rsid w:val="00A1076F"/>
    <w:rsid w:val="00A315BA"/>
    <w:rsid w:val="00A46FF4"/>
    <w:rsid w:val="00A47D5F"/>
    <w:rsid w:val="00AB20B5"/>
    <w:rsid w:val="00B77614"/>
    <w:rsid w:val="00B86FF2"/>
    <w:rsid w:val="00BB60D6"/>
    <w:rsid w:val="00BF60BF"/>
    <w:rsid w:val="00C266E7"/>
    <w:rsid w:val="00C60523"/>
    <w:rsid w:val="00C61AA1"/>
    <w:rsid w:val="00C66478"/>
    <w:rsid w:val="00CB0ECC"/>
    <w:rsid w:val="00CC5B63"/>
    <w:rsid w:val="00CE4D13"/>
    <w:rsid w:val="00D017B6"/>
    <w:rsid w:val="00D33EF1"/>
    <w:rsid w:val="00D3595A"/>
    <w:rsid w:val="00D379D7"/>
    <w:rsid w:val="00D50C2C"/>
    <w:rsid w:val="00D734C9"/>
    <w:rsid w:val="00D73968"/>
    <w:rsid w:val="00E00979"/>
    <w:rsid w:val="00E15154"/>
    <w:rsid w:val="00E668CB"/>
    <w:rsid w:val="00E8164B"/>
    <w:rsid w:val="00EA7B11"/>
    <w:rsid w:val="00ED0300"/>
    <w:rsid w:val="00F12548"/>
    <w:rsid w:val="00F4790E"/>
    <w:rsid w:val="00F47BC4"/>
    <w:rsid w:val="00F74CF3"/>
    <w:rsid w:val="00F861D7"/>
    <w:rsid w:val="00F8705A"/>
    <w:rsid w:val="00F96C73"/>
    <w:rsid w:val="00FA2263"/>
    <w:rsid w:val="00FA6D4F"/>
    <w:rsid w:val="00FC4592"/>
    <w:rsid w:val="00FD7D74"/>
    <w:rsid w:val="00FE1D3E"/>
    <w:rsid w:val="00FF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7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36</cp:revision>
  <cp:lastPrinted>2011-07-04T10:21:00Z</cp:lastPrinted>
  <dcterms:created xsi:type="dcterms:W3CDTF">2011-05-03T09:20:00Z</dcterms:created>
  <dcterms:modified xsi:type="dcterms:W3CDTF">2011-07-14T07:41:00Z</dcterms:modified>
</cp:coreProperties>
</file>