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EB" w:rsidRDefault="00734499" w:rsidP="004754EB">
      <w:pPr>
        <w:jc w:val="center"/>
      </w:pPr>
      <w:r>
        <w:t xml:space="preserve">                                                                                                                               Приложение №2</w:t>
      </w:r>
    </w:p>
    <w:p w:rsidR="00734499" w:rsidRDefault="00734499" w:rsidP="004754EB">
      <w:pPr>
        <w:jc w:val="center"/>
      </w:pPr>
      <w:r>
        <w:t xml:space="preserve">                                                                            к извещению о проведении запроса котировок</w:t>
      </w:r>
    </w:p>
    <w:p w:rsidR="00734499" w:rsidRDefault="00734499" w:rsidP="004754EB">
      <w:pPr>
        <w:jc w:val="center"/>
      </w:pPr>
      <w:r>
        <w:t xml:space="preserve">                                                                                                      № 67 от «25» августа 2011 года</w:t>
      </w:r>
    </w:p>
    <w:p w:rsidR="00734499" w:rsidRDefault="00734499" w:rsidP="004754EB">
      <w:pPr>
        <w:jc w:val="center"/>
      </w:pPr>
      <w:r>
        <w:t xml:space="preserve"> </w:t>
      </w:r>
    </w:p>
    <w:p w:rsidR="00734499" w:rsidRDefault="00734499" w:rsidP="004754EB">
      <w:pPr>
        <w:jc w:val="center"/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4754EB">
      <w:pPr>
        <w:jc w:val="center"/>
      </w:pPr>
      <w:r>
        <w:rPr>
          <w:b/>
        </w:rPr>
        <w:t xml:space="preserve">на выполнение работ по капитальному ремонту мягкой кровли поликлиники №3 здания МУЗ «ГКП №4» по адресу: </w:t>
      </w:r>
      <w:proofErr w:type="gramStart"/>
      <w:r>
        <w:rPr>
          <w:b/>
        </w:rPr>
        <w:t>г</w:t>
      </w:r>
      <w:proofErr w:type="gramEnd"/>
      <w:r>
        <w:rPr>
          <w:b/>
        </w:rPr>
        <w:t>. Пермь,  ул. Куфонина, 12,</w:t>
      </w:r>
    </w:p>
    <w:p w:rsidR="004754EB" w:rsidRDefault="004754EB" w:rsidP="004754EB">
      <w:pPr>
        <w:jc w:val="center"/>
      </w:pPr>
    </w:p>
    <w:p w:rsidR="004754EB" w:rsidRDefault="004754EB" w:rsidP="004754EB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 ул. Академика Вавилова, 4.</w:t>
      </w:r>
    </w:p>
    <w:p w:rsidR="004754EB" w:rsidRDefault="004754EB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4754EB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капитальному ремонту кровли Поликлиники №3 здания МУЗ «ГКП №4» должны выполняться в соответствии с действующими стандартами, строительными и санитарными  нормами и правилами: </w:t>
      </w:r>
      <w:proofErr w:type="spellStart"/>
      <w:r w:rsidR="00C45ACD">
        <w:rPr>
          <w:szCs w:val="28"/>
        </w:rPr>
        <w:t>СНиП</w:t>
      </w:r>
      <w:proofErr w:type="spellEnd"/>
      <w:r w:rsidR="00C45ACD">
        <w:rPr>
          <w:szCs w:val="28"/>
        </w:rPr>
        <w:t xml:space="preserve"> </w:t>
      </w:r>
      <w:r w:rsidR="00C45ACD">
        <w:rPr>
          <w:szCs w:val="28"/>
          <w:lang w:val="en-US"/>
        </w:rPr>
        <w:t>II</w:t>
      </w:r>
      <w:r w:rsidR="00C45ACD">
        <w:rPr>
          <w:szCs w:val="28"/>
        </w:rPr>
        <w:t xml:space="preserve">-26-76 «Кровли»,  </w:t>
      </w:r>
      <w:proofErr w:type="spellStart"/>
      <w:r w:rsidR="00C45ACD">
        <w:rPr>
          <w:szCs w:val="28"/>
        </w:rPr>
        <w:t>СНиП</w:t>
      </w:r>
      <w:proofErr w:type="spellEnd"/>
      <w:r w:rsidR="00C45ACD">
        <w:rPr>
          <w:szCs w:val="28"/>
        </w:rPr>
        <w:t xml:space="preserve"> 3.04.01-87 </w:t>
      </w:r>
      <w:r>
        <w:rPr>
          <w:bCs/>
        </w:rPr>
        <w:t xml:space="preserve">"Изоляционные и отделочные покрытия" и </w:t>
      </w:r>
      <w:hyperlink r:id="rId5" w:anchor="sub_1000" w:history="1">
        <w:r w:rsidRPr="00BE3CE4">
          <w:rPr>
            <w:rStyle w:val="a5"/>
            <w:color w:val="auto"/>
            <w:u w:val="none"/>
          </w:rPr>
          <w:t>СНиП 12-04-2002</w:t>
        </w:r>
      </w:hyperlink>
      <w:r>
        <w:t xml:space="preserve"> "Безопасность труда в строительстве. Часть 2. Строительное производство", а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осуществление кровельных работ.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>
        <w:rPr>
          <w:color w:val="000000"/>
        </w:rPr>
        <w:t>Поликлиника №3</w:t>
      </w:r>
      <w:r>
        <w:rPr>
          <w:bCs/>
          <w:sz w:val="22"/>
          <w:szCs w:val="22"/>
        </w:rPr>
        <w:t xml:space="preserve">  МУЗ «ГКП №4», </w:t>
      </w:r>
      <w:proofErr w:type="gramStart"/>
      <w:r>
        <w:rPr>
          <w:bCs/>
          <w:sz w:val="22"/>
          <w:szCs w:val="22"/>
        </w:rPr>
        <w:t>расположенное</w:t>
      </w:r>
      <w:proofErr w:type="gramEnd"/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r>
        <w:t>г. Пермь, ул. Куфонина, 12.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4754EB" w:rsidRDefault="004754EB" w:rsidP="004754EB">
      <w:pPr>
        <w:jc w:val="both"/>
      </w:pPr>
    </w:p>
    <w:tbl>
      <w:tblPr>
        <w:tblStyle w:val="a4"/>
        <w:tblW w:w="0" w:type="auto"/>
        <w:tblLook w:val="01E0"/>
      </w:tblPr>
      <w:tblGrid>
        <w:gridCol w:w="808"/>
        <w:gridCol w:w="4857"/>
        <w:gridCol w:w="1977"/>
        <w:gridCol w:w="1929"/>
      </w:tblGrid>
      <w:tr w:rsidR="004754EB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</w:t>
            </w: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4754EB" w:rsidTr="004F2525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Кровля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Протравка цементной штукатурки нейтрализующим раствором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штукатурки гладких фасадов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0,105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Вытягивание падуг при улучшенной штукатурке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4754EB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примыканий кровель из наплавляемых материалов к стенам и парапетам высотой более 600 мм </w:t>
            </w:r>
            <w:r w:rsidR="004F2525">
              <w:rPr>
                <w:sz w:val="22"/>
                <w:szCs w:val="22"/>
              </w:rPr>
              <w:t>без фартуков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 примыканий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4F2525">
              <w:rPr>
                <w:sz w:val="22"/>
                <w:szCs w:val="22"/>
              </w:rPr>
              <w:t>14</w:t>
            </w:r>
          </w:p>
        </w:tc>
      </w:tr>
    </w:tbl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Кровельный материал «Унифлекс» или эквивалент: СБ</w:t>
      </w:r>
      <w:proofErr w:type="gramStart"/>
      <w:r>
        <w:t>С-</w:t>
      </w:r>
      <w:proofErr w:type="gramEnd"/>
      <w:r w:rsidR="00012173">
        <w:t xml:space="preserve"> </w:t>
      </w:r>
      <w:r>
        <w:t>модифицированный полимерно-битумный наплавляемый кровельный и гидроизоляционный материал стандарт-</w:t>
      </w:r>
      <w:r w:rsidR="00012173">
        <w:t xml:space="preserve"> </w:t>
      </w:r>
      <w:r>
        <w:t>класса.</w:t>
      </w:r>
    </w:p>
    <w:p w:rsidR="004754EB" w:rsidRDefault="00012173" w:rsidP="004754EB">
      <w:pPr>
        <w:tabs>
          <w:tab w:val="left" w:pos="1080"/>
        </w:tabs>
        <w:jc w:val="both"/>
      </w:pPr>
      <w:r>
        <w:t>«</w:t>
      </w:r>
      <w:proofErr w:type="spellStart"/>
      <w:r w:rsidR="00F624F4">
        <w:t>Изопласт</w:t>
      </w:r>
      <w:proofErr w:type="spellEnd"/>
      <w:r>
        <w:t>» ТУ 5774-00</w:t>
      </w:r>
      <w:r w:rsidR="00F624F4">
        <w:t>5</w:t>
      </w:r>
      <w:r>
        <w:t>-</w:t>
      </w:r>
      <w:r w:rsidR="00F624F4">
        <w:t>05766480-96</w:t>
      </w:r>
    </w:p>
    <w:tbl>
      <w:tblPr>
        <w:tblStyle w:val="a4"/>
        <w:tblW w:w="0" w:type="auto"/>
        <w:tblLook w:val="04A0"/>
      </w:tblPr>
      <w:tblGrid>
        <w:gridCol w:w="3485"/>
        <w:gridCol w:w="1528"/>
        <w:gridCol w:w="2183"/>
        <w:gridCol w:w="2375"/>
      </w:tblGrid>
      <w:tr w:rsidR="00734499" w:rsidTr="001D4680">
        <w:trPr>
          <w:trHeight w:val="300"/>
        </w:trPr>
        <w:tc>
          <w:tcPr>
            <w:tcW w:w="3485" w:type="dxa"/>
            <w:vMerge w:val="restart"/>
          </w:tcPr>
          <w:p w:rsidR="00734499" w:rsidRPr="00553D32" w:rsidRDefault="00734499" w:rsidP="001D4680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553D3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28" w:type="dxa"/>
            <w:vMerge w:val="restart"/>
          </w:tcPr>
          <w:p w:rsidR="00734499" w:rsidRPr="00553D32" w:rsidRDefault="00734499" w:rsidP="001D4680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553D32">
              <w:rPr>
                <w:sz w:val="28"/>
                <w:szCs w:val="28"/>
              </w:rPr>
              <w:t>Еденица</w:t>
            </w:r>
            <w:proofErr w:type="spellEnd"/>
            <w:r w:rsidRPr="00553D32">
              <w:rPr>
                <w:sz w:val="28"/>
                <w:szCs w:val="28"/>
              </w:rPr>
              <w:t xml:space="preserve"> измерения</w:t>
            </w:r>
          </w:p>
        </w:tc>
        <w:tc>
          <w:tcPr>
            <w:tcW w:w="4558" w:type="dxa"/>
            <w:gridSpan w:val="2"/>
          </w:tcPr>
          <w:p w:rsidR="00734499" w:rsidRPr="00553D32" w:rsidRDefault="00734499" w:rsidP="001D4680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553D32">
              <w:rPr>
                <w:sz w:val="28"/>
                <w:szCs w:val="28"/>
              </w:rPr>
              <w:t>Величина показателя</w:t>
            </w:r>
          </w:p>
        </w:tc>
      </w:tr>
      <w:tr w:rsidR="00734499" w:rsidTr="001D4680">
        <w:trPr>
          <w:trHeight w:val="330"/>
        </w:trPr>
        <w:tc>
          <w:tcPr>
            <w:tcW w:w="3485" w:type="dxa"/>
            <w:vMerge/>
          </w:tcPr>
          <w:p w:rsidR="00734499" w:rsidRPr="00553D32" w:rsidRDefault="00734499" w:rsidP="001D4680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28" w:type="dxa"/>
            <w:vMerge/>
          </w:tcPr>
          <w:p w:rsidR="00734499" w:rsidRPr="00553D32" w:rsidRDefault="00734499" w:rsidP="001D4680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center"/>
            </w:pPr>
            <w:proofErr w:type="spellStart"/>
            <w:r>
              <w:t>Изопласт</w:t>
            </w:r>
            <w:proofErr w:type="spellEnd"/>
            <w:proofErr w:type="gramStart"/>
            <w:r>
              <w:t xml:space="preserve">  К</w:t>
            </w:r>
            <w:proofErr w:type="gramEnd"/>
          </w:p>
          <w:p w:rsidR="00734499" w:rsidRDefault="00734499" w:rsidP="001D4680">
            <w:pPr>
              <w:tabs>
                <w:tab w:val="left" w:pos="1080"/>
              </w:tabs>
              <w:jc w:val="center"/>
            </w:pPr>
            <w:r>
              <w:t>(верхний слой)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center"/>
            </w:pPr>
            <w:proofErr w:type="spellStart"/>
            <w:r>
              <w:t>Изопласт</w:t>
            </w:r>
            <w:proofErr w:type="spellEnd"/>
            <w:r>
              <w:t xml:space="preserve">  </w:t>
            </w:r>
            <w:proofErr w:type="gramStart"/>
            <w:r>
              <w:t>П</w:t>
            </w:r>
            <w:proofErr w:type="gramEnd"/>
          </w:p>
          <w:p w:rsidR="00734499" w:rsidRDefault="00734499" w:rsidP="001D4680">
            <w:pPr>
              <w:tabs>
                <w:tab w:val="left" w:pos="1080"/>
              </w:tabs>
              <w:jc w:val="center"/>
            </w:pPr>
            <w:r>
              <w:t>(нижний слой)</w:t>
            </w:r>
          </w:p>
        </w:tc>
      </w:tr>
      <w:tr w:rsidR="00734499" w:rsidTr="001D4680">
        <w:tc>
          <w:tcPr>
            <w:tcW w:w="348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Толщина,</w:t>
            </w:r>
          </w:p>
        </w:tc>
        <w:tc>
          <w:tcPr>
            <w:tcW w:w="1528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мм</w:t>
            </w: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3,8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3,0</w:t>
            </w:r>
          </w:p>
        </w:tc>
      </w:tr>
      <w:tr w:rsidR="00734499" w:rsidTr="001D4680">
        <w:tc>
          <w:tcPr>
            <w:tcW w:w="348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вес 1 кв.м., не менее</w:t>
            </w:r>
          </w:p>
        </w:tc>
        <w:tc>
          <w:tcPr>
            <w:tcW w:w="1528" w:type="dxa"/>
          </w:tcPr>
          <w:p w:rsidR="00734499" w:rsidRPr="00553D32" w:rsidRDefault="00734499" w:rsidP="001D4680">
            <w:pPr>
              <w:tabs>
                <w:tab w:val="left" w:pos="1080"/>
              </w:tabs>
              <w:jc w:val="both"/>
            </w:pPr>
            <w:r>
              <w:t>кг</w:t>
            </w:r>
          </w:p>
        </w:tc>
        <w:tc>
          <w:tcPr>
            <w:tcW w:w="2183" w:type="dxa"/>
          </w:tcPr>
          <w:p w:rsidR="00734499" w:rsidRPr="00553D32" w:rsidRDefault="00734499" w:rsidP="001D4680">
            <w:pPr>
              <w:tabs>
                <w:tab w:val="left" w:pos="1080"/>
              </w:tabs>
              <w:jc w:val="both"/>
            </w:pPr>
            <w:r>
              <w:t>4,0</w:t>
            </w:r>
          </w:p>
        </w:tc>
        <w:tc>
          <w:tcPr>
            <w:tcW w:w="2375" w:type="dxa"/>
          </w:tcPr>
          <w:p w:rsidR="00734499" w:rsidRPr="00553D32" w:rsidRDefault="00734499" w:rsidP="001D4680">
            <w:pPr>
              <w:tabs>
                <w:tab w:val="left" w:pos="1080"/>
              </w:tabs>
              <w:jc w:val="both"/>
            </w:pPr>
            <w:r>
              <w:t>2,0</w:t>
            </w:r>
          </w:p>
        </w:tc>
      </w:tr>
      <w:tr w:rsidR="00734499" w:rsidTr="001D4680">
        <w:tc>
          <w:tcPr>
            <w:tcW w:w="3485" w:type="dxa"/>
          </w:tcPr>
          <w:p w:rsidR="00734499" w:rsidRPr="001C4C31" w:rsidRDefault="00734499" w:rsidP="001D4680">
            <w:pPr>
              <w:tabs>
                <w:tab w:val="left" w:pos="1080"/>
              </w:tabs>
              <w:jc w:val="both"/>
            </w:pPr>
            <w:r>
              <w:t>основа</w:t>
            </w:r>
          </w:p>
        </w:tc>
        <w:tc>
          <w:tcPr>
            <w:tcW w:w="1528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полиэстер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стеклохолст</w:t>
            </w:r>
          </w:p>
        </w:tc>
      </w:tr>
      <w:tr w:rsidR="00734499" w:rsidTr="001D4680">
        <w:tc>
          <w:tcPr>
            <w:tcW w:w="348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Разрывная сила при растяжении в продольном направлении</w:t>
            </w:r>
          </w:p>
        </w:tc>
        <w:tc>
          <w:tcPr>
            <w:tcW w:w="1528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</w:p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Н/50мм</w:t>
            </w: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</w:p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Н/50мм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</w:p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Не менее 360</w:t>
            </w:r>
          </w:p>
        </w:tc>
      </w:tr>
      <w:tr w:rsidR="00734499" w:rsidTr="001D4680">
        <w:tc>
          <w:tcPr>
            <w:tcW w:w="348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 xml:space="preserve">Гибкость на брусе R=10 мм, </w:t>
            </w:r>
          </w:p>
        </w:tc>
        <w:tc>
          <w:tcPr>
            <w:tcW w:w="1528" w:type="dxa"/>
          </w:tcPr>
          <w:p w:rsidR="00734499" w:rsidRDefault="00734499" w:rsidP="001D4680">
            <w:pPr>
              <w:tabs>
                <w:tab w:val="left" w:pos="1080"/>
              </w:tabs>
              <w:jc w:val="center"/>
            </w:pPr>
            <w:proofErr w:type="spellStart"/>
            <w:r>
              <w:t>оС</w:t>
            </w:r>
            <w:proofErr w:type="spellEnd"/>
            <w:r>
              <w:t>,</w:t>
            </w: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Не выше минус 15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Не выше минус 15</w:t>
            </w:r>
          </w:p>
        </w:tc>
      </w:tr>
      <w:tr w:rsidR="00734499" w:rsidTr="001D4680">
        <w:tc>
          <w:tcPr>
            <w:tcW w:w="348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 xml:space="preserve">Теплостойкость, </w:t>
            </w:r>
          </w:p>
        </w:tc>
        <w:tc>
          <w:tcPr>
            <w:tcW w:w="1528" w:type="dxa"/>
          </w:tcPr>
          <w:p w:rsidR="00734499" w:rsidRDefault="00734499" w:rsidP="001D4680">
            <w:pPr>
              <w:tabs>
                <w:tab w:val="left" w:pos="1080"/>
              </w:tabs>
              <w:jc w:val="center"/>
            </w:pPr>
            <w:proofErr w:type="spellStart"/>
            <w:r>
              <w:t>оС</w:t>
            </w:r>
            <w:proofErr w:type="spellEnd"/>
            <w:r>
              <w:t>,</w:t>
            </w: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Не ниже 120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Не ниже 120</w:t>
            </w:r>
          </w:p>
        </w:tc>
      </w:tr>
      <w:tr w:rsidR="00734499" w:rsidTr="001D4680">
        <w:tc>
          <w:tcPr>
            <w:tcW w:w="348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proofErr w:type="spellStart"/>
            <w:r>
              <w:t>Водопоглашение</w:t>
            </w:r>
            <w:proofErr w:type="spellEnd"/>
            <w:r>
              <w:t xml:space="preserve"> в течени</w:t>
            </w:r>
            <w:proofErr w:type="gramStart"/>
            <w:r>
              <w:t>и</w:t>
            </w:r>
            <w:proofErr w:type="gramEnd"/>
            <w:r>
              <w:t xml:space="preserve"> 24 </w:t>
            </w:r>
            <w:r>
              <w:lastRenderedPageBreak/>
              <w:t>часов</w:t>
            </w:r>
          </w:p>
        </w:tc>
        <w:tc>
          <w:tcPr>
            <w:tcW w:w="1528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lastRenderedPageBreak/>
              <w:t>%, масс</w:t>
            </w: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Не более 1,0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Не более 1,0</w:t>
            </w:r>
          </w:p>
        </w:tc>
      </w:tr>
      <w:tr w:rsidR="00734499" w:rsidTr="001D4680">
        <w:tc>
          <w:tcPr>
            <w:tcW w:w="348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lastRenderedPageBreak/>
              <w:t>Верхняя поверхность</w:t>
            </w:r>
          </w:p>
        </w:tc>
        <w:tc>
          <w:tcPr>
            <w:tcW w:w="1528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пленка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 w:rsidRPr="00C26500">
              <w:t>слане</w:t>
            </w:r>
            <w:proofErr w:type="gramStart"/>
            <w:r w:rsidRPr="00C26500">
              <w:t>ц-</w:t>
            </w:r>
            <w:proofErr w:type="gramEnd"/>
            <w:r>
              <w:t xml:space="preserve"> </w:t>
            </w:r>
            <w:proofErr w:type="spellStart"/>
            <w:r>
              <w:t>гранулянт</w:t>
            </w:r>
            <w:proofErr w:type="spellEnd"/>
          </w:p>
        </w:tc>
      </w:tr>
      <w:tr w:rsidR="00734499" w:rsidTr="001D4680">
        <w:tc>
          <w:tcPr>
            <w:tcW w:w="348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Длина рулона</w:t>
            </w:r>
          </w:p>
        </w:tc>
        <w:tc>
          <w:tcPr>
            <w:tcW w:w="1528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м</w:t>
            </w: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10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10</w:t>
            </w:r>
          </w:p>
        </w:tc>
      </w:tr>
      <w:tr w:rsidR="00734499" w:rsidTr="001D4680">
        <w:tc>
          <w:tcPr>
            <w:tcW w:w="348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Ширина рулона</w:t>
            </w:r>
          </w:p>
        </w:tc>
        <w:tc>
          <w:tcPr>
            <w:tcW w:w="1528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мм</w:t>
            </w:r>
          </w:p>
        </w:tc>
        <w:tc>
          <w:tcPr>
            <w:tcW w:w="2183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1000</w:t>
            </w:r>
          </w:p>
        </w:tc>
        <w:tc>
          <w:tcPr>
            <w:tcW w:w="2375" w:type="dxa"/>
          </w:tcPr>
          <w:p w:rsidR="00734499" w:rsidRDefault="00734499" w:rsidP="001D4680">
            <w:pPr>
              <w:tabs>
                <w:tab w:val="left" w:pos="1080"/>
              </w:tabs>
              <w:jc w:val="both"/>
            </w:pPr>
            <w:r>
              <w:t>1000</w:t>
            </w:r>
          </w:p>
        </w:tc>
      </w:tr>
    </w:tbl>
    <w:p w:rsidR="00FB5470" w:rsidRPr="00FB5470" w:rsidRDefault="00FB5470" w:rsidP="00FB5470">
      <w:pPr>
        <w:tabs>
          <w:tab w:val="left" w:pos="1080"/>
        </w:tabs>
        <w:ind w:left="720"/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>
        <w:rPr>
          <w:b/>
        </w:rPr>
        <w:t>Срок выполнения работ</w:t>
      </w:r>
      <w:r>
        <w:t>:</w:t>
      </w:r>
      <w:r w:rsidR="00B4246E">
        <w:t xml:space="preserve"> </w:t>
      </w:r>
      <w:r w:rsidR="00734499">
        <w:t>10</w:t>
      </w:r>
      <w:r>
        <w:t xml:space="preserve"> календарных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>Гарантийный срок на</w:t>
      </w:r>
      <w:r>
        <w:t xml:space="preserve"> </w:t>
      </w:r>
      <w:r>
        <w:rPr>
          <w:b/>
        </w:rPr>
        <w:t>результат, выполненных работ:</w:t>
      </w:r>
      <w:r>
        <w:t xml:space="preserve"> не менее </w:t>
      </w:r>
      <w:r w:rsidR="00B4246E">
        <w:t>2</w:t>
      </w:r>
      <w:r>
        <w:t xml:space="preserve"> лет с момента подписания Заказчиком акта о приемке выполненных работ.</w:t>
      </w:r>
      <w:r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D1958" w:rsidRDefault="002D1958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>
        <w:t>СНиП</w:t>
      </w:r>
      <w:proofErr w:type="spellEnd"/>
      <w:r>
        <w:t xml:space="preserve">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900088">
        <w:t>договоре</w:t>
      </w:r>
      <w:r>
        <w:t>.</w:t>
      </w:r>
    </w:p>
    <w:p w:rsidR="00195869" w:rsidRDefault="00734499"/>
    <w:sectPr w:rsidR="00195869" w:rsidSect="0073449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4EB"/>
    <w:rsid w:val="00012173"/>
    <w:rsid w:val="00133BFC"/>
    <w:rsid w:val="001357C1"/>
    <w:rsid w:val="001C4C31"/>
    <w:rsid w:val="001C6EF6"/>
    <w:rsid w:val="00230913"/>
    <w:rsid w:val="00270FA8"/>
    <w:rsid w:val="002C484B"/>
    <w:rsid w:val="002D1958"/>
    <w:rsid w:val="002D5790"/>
    <w:rsid w:val="002D58E4"/>
    <w:rsid w:val="00403F28"/>
    <w:rsid w:val="004754EB"/>
    <w:rsid w:val="004D5F8D"/>
    <w:rsid w:val="004F2525"/>
    <w:rsid w:val="00600D54"/>
    <w:rsid w:val="006C3E1E"/>
    <w:rsid w:val="00734499"/>
    <w:rsid w:val="007B1219"/>
    <w:rsid w:val="008343D5"/>
    <w:rsid w:val="00842887"/>
    <w:rsid w:val="008B18BA"/>
    <w:rsid w:val="008C7762"/>
    <w:rsid w:val="00900088"/>
    <w:rsid w:val="0091363B"/>
    <w:rsid w:val="00956B98"/>
    <w:rsid w:val="009C7949"/>
    <w:rsid w:val="00B1783E"/>
    <w:rsid w:val="00B4246E"/>
    <w:rsid w:val="00B86FF2"/>
    <w:rsid w:val="00BE3CE4"/>
    <w:rsid w:val="00BF60BF"/>
    <w:rsid w:val="00C45ACD"/>
    <w:rsid w:val="00C60523"/>
    <w:rsid w:val="00C61AA1"/>
    <w:rsid w:val="00CA5B8F"/>
    <w:rsid w:val="00E8164B"/>
    <w:rsid w:val="00F12548"/>
    <w:rsid w:val="00F624F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D19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2011-08-25T04:21:00Z</cp:lastPrinted>
  <dcterms:created xsi:type="dcterms:W3CDTF">2011-08-25T04:22:00Z</dcterms:created>
  <dcterms:modified xsi:type="dcterms:W3CDTF">2011-08-25T04:22:00Z</dcterms:modified>
</cp:coreProperties>
</file>