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>Приложение №</w:t>
      </w:r>
      <w:r w:rsidR="003A2E0D">
        <w:rPr>
          <w:sz w:val="18"/>
          <w:szCs w:val="18"/>
        </w:rPr>
        <w:t>4</w:t>
      </w:r>
      <w:r w:rsidRPr="00342688">
        <w:rPr>
          <w:sz w:val="18"/>
          <w:szCs w:val="18"/>
        </w:rPr>
        <w:t xml:space="preserve">  </w:t>
      </w:r>
      <w:proofErr w:type="gramStart"/>
      <w:r w:rsidRPr="00342688">
        <w:rPr>
          <w:sz w:val="18"/>
          <w:szCs w:val="18"/>
        </w:rPr>
        <w:t>к</w:t>
      </w:r>
      <w:proofErr w:type="gramEnd"/>
    </w:p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>Извещению</w:t>
      </w:r>
      <w:r w:rsidR="003A2E0D">
        <w:rPr>
          <w:sz w:val="18"/>
          <w:szCs w:val="18"/>
        </w:rPr>
        <w:t>№03563000305110000</w:t>
      </w:r>
      <w:r w:rsidR="004F7B45">
        <w:rPr>
          <w:sz w:val="18"/>
          <w:szCs w:val="18"/>
        </w:rPr>
        <w:t>03</w:t>
      </w:r>
      <w:r w:rsidR="003A2E0D">
        <w:rPr>
          <w:sz w:val="18"/>
          <w:szCs w:val="18"/>
        </w:rPr>
        <w:t xml:space="preserve"> от </w:t>
      </w:r>
      <w:r w:rsidR="004F7B45">
        <w:rPr>
          <w:sz w:val="18"/>
          <w:szCs w:val="18"/>
        </w:rPr>
        <w:t>01</w:t>
      </w:r>
      <w:r w:rsidR="003A2E0D">
        <w:rPr>
          <w:sz w:val="18"/>
          <w:szCs w:val="18"/>
        </w:rPr>
        <w:t>.</w:t>
      </w:r>
      <w:r w:rsidR="004F7B45">
        <w:rPr>
          <w:sz w:val="18"/>
          <w:szCs w:val="18"/>
        </w:rPr>
        <w:t>02</w:t>
      </w:r>
      <w:bookmarkStart w:id="0" w:name="_GoBack"/>
      <w:bookmarkEnd w:id="0"/>
      <w:r w:rsidR="003A2E0D">
        <w:rPr>
          <w:sz w:val="18"/>
          <w:szCs w:val="18"/>
        </w:rPr>
        <w:t>.201</w:t>
      </w:r>
      <w:r w:rsidR="003D606A">
        <w:rPr>
          <w:sz w:val="18"/>
          <w:szCs w:val="18"/>
        </w:rPr>
        <w:t>2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Проект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Муниципальный контракт № </w:t>
      </w:r>
    </w:p>
    <w:p w:rsidR="00905332" w:rsidRPr="00342688" w:rsidRDefault="00905332" w:rsidP="00905332">
      <w:pPr>
        <w:jc w:val="center"/>
        <w:rPr>
          <w:sz w:val="26"/>
          <w:szCs w:val="26"/>
        </w:rPr>
      </w:pPr>
    </w:p>
    <w:p w:rsidR="00905332" w:rsidRPr="00342688" w:rsidRDefault="00905332" w:rsidP="00905332">
      <w:p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г. Пермь                                                                     </w:t>
      </w:r>
      <w:r w:rsidR="00342688">
        <w:rPr>
          <w:b/>
          <w:sz w:val="26"/>
          <w:szCs w:val="26"/>
        </w:rPr>
        <w:t xml:space="preserve">                              </w:t>
      </w:r>
      <w:r w:rsidRPr="00342688">
        <w:rPr>
          <w:b/>
          <w:sz w:val="26"/>
          <w:szCs w:val="26"/>
        </w:rPr>
        <w:t>«___» ______201</w:t>
      </w:r>
      <w:r w:rsidR="003A2E0D">
        <w:rPr>
          <w:b/>
          <w:sz w:val="26"/>
          <w:szCs w:val="26"/>
        </w:rPr>
        <w:t>2</w:t>
      </w:r>
      <w:r w:rsidRPr="00342688">
        <w:rPr>
          <w:b/>
          <w:sz w:val="26"/>
          <w:szCs w:val="26"/>
        </w:rPr>
        <w:t xml:space="preserve"> г.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</w:t>
      </w:r>
      <w:proofErr w:type="gramStart"/>
      <w:r w:rsidRPr="00342688">
        <w:rPr>
          <w:b/>
          <w:bCs/>
          <w:spacing w:val="-1"/>
          <w:sz w:val="26"/>
          <w:szCs w:val="26"/>
        </w:rPr>
        <w:t xml:space="preserve">Муниципальное </w:t>
      </w:r>
      <w:r w:rsidR="003D606A">
        <w:rPr>
          <w:b/>
          <w:bCs/>
          <w:spacing w:val="-1"/>
          <w:sz w:val="26"/>
          <w:szCs w:val="26"/>
        </w:rPr>
        <w:t xml:space="preserve">казенное </w:t>
      </w:r>
      <w:r w:rsidRPr="00342688">
        <w:rPr>
          <w:b/>
          <w:bCs/>
          <w:spacing w:val="-1"/>
          <w:sz w:val="26"/>
          <w:szCs w:val="26"/>
        </w:rPr>
        <w:t>учреждение «Содержание муниципального имущества»</w:t>
      </w:r>
      <w:r w:rsidRPr="00342688">
        <w:rPr>
          <w:bCs/>
          <w:spacing w:val="-1"/>
          <w:sz w:val="26"/>
          <w:szCs w:val="26"/>
        </w:rPr>
        <w:t xml:space="preserve">, </w:t>
      </w:r>
      <w:r w:rsidRPr="00342688">
        <w:rPr>
          <w:spacing w:val="-1"/>
          <w:sz w:val="26"/>
          <w:szCs w:val="26"/>
        </w:rPr>
        <w:t xml:space="preserve">именуемое в дальнейшем «Заказчик», </w:t>
      </w:r>
      <w:r w:rsidRPr="00342688">
        <w:rPr>
          <w:bCs/>
          <w:spacing w:val="-1"/>
          <w:sz w:val="26"/>
          <w:szCs w:val="26"/>
        </w:rPr>
        <w:t>в</w:t>
      </w:r>
      <w:r w:rsidRPr="00342688">
        <w:rPr>
          <w:b/>
          <w:bCs/>
          <w:spacing w:val="-1"/>
          <w:sz w:val="26"/>
          <w:szCs w:val="26"/>
        </w:rPr>
        <w:t xml:space="preserve"> </w:t>
      </w:r>
      <w:r w:rsidRPr="00342688">
        <w:rPr>
          <w:bCs/>
          <w:spacing w:val="-1"/>
          <w:sz w:val="26"/>
          <w:szCs w:val="26"/>
        </w:rPr>
        <w:t xml:space="preserve">лице________________________________, действующего на основании </w:t>
      </w:r>
      <w:r w:rsidR="00342688" w:rsidRPr="00342688">
        <w:rPr>
          <w:bCs/>
          <w:spacing w:val="-1"/>
          <w:sz w:val="26"/>
          <w:szCs w:val="26"/>
        </w:rPr>
        <w:t>__________</w:t>
      </w:r>
      <w:r w:rsidRPr="00342688">
        <w:rPr>
          <w:bCs/>
          <w:spacing w:val="-1"/>
          <w:sz w:val="26"/>
          <w:szCs w:val="26"/>
        </w:rPr>
        <w:t>и _________________________________________________________</w:t>
      </w:r>
      <w:r w:rsidRPr="00342688">
        <w:rPr>
          <w:sz w:val="26"/>
          <w:szCs w:val="26"/>
        </w:rPr>
        <w:t>, именуемое в дальнейшем «Подрядчик», в лице_________________________________________, действующего на основании</w:t>
      </w:r>
      <w:r w:rsidR="00421448">
        <w:rPr>
          <w:sz w:val="26"/>
          <w:szCs w:val="26"/>
        </w:rPr>
        <w:t>____________________</w:t>
      </w:r>
      <w:r w:rsidRPr="00342688">
        <w:rPr>
          <w:sz w:val="26"/>
          <w:szCs w:val="26"/>
        </w:rPr>
        <w:t>, совместно именуемые «Сторо</w:t>
      </w:r>
      <w:r w:rsidRPr="00342688">
        <w:rPr>
          <w:sz w:val="26"/>
          <w:szCs w:val="26"/>
        </w:rPr>
        <w:softHyphen/>
        <w:t>ны», заключили настоящий контракт о нижеследующем:</w:t>
      </w:r>
      <w:proofErr w:type="gramEnd"/>
    </w:p>
    <w:p w:rsidR="00905332" w:rsidRPr="00342688" w:rsidRDefault="00905332" w:rsidP="00905332">
      <w:pPr>
        <w:tabs>
          <w:tab w:val="left" w:pos="18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1. Предмет контракта</w:t>
      </w:r>
    </w:p>
    <w:p w:rsidR="00905332" w:rsidRPr="00342688" w:rsidRDefault="00905332" w:rsidP="00905332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1.1. </w:t>
      </w:r>
      <w:proofErr w:type="gramStart"/>
      <w:r w:rsidRPr="00342688">
        <w:rPr>
          <w:sz w:val="26"/>
          <w:szCs w:val="26"/>
        </w:rPr>
        <w:t xml:space="preserve">На основании решения </w:t>
      </w:r>
      <w:r w:rsidR="00342688" w:rsidRPr="00342688">
        <w:rPr>
          <w:sz w:val="26"/>
          <w:szCs w:val="26"/>
        </w:rPr>
        <w:t>Единой</w:t>
      </w:r>
      <w:r w:rsidR="00421448">
        <w:rPr>
          <w:sz w:val="26"/>
          <w:szCs w:val="26"/>
        </w:rPr>
        <w:t xml:space="preserve"> комиссии (П</w:t>
      </w:r>
      <w:r w:rsidRPr="00342688">
        <w:rPr>
          <w:sz w:val="26"/>
          <w:szCs w:val="26"/>
        </w:rPr>
        <w:t xml:space="preserve">ротокол № ____от _____г.)  Заказчик поручает, а Подрядчик обязуется выполнить работы по текущему ремонту: </w:t>
      </w:r>
      <w:r w:rsidR="00421448">
        <w:rPr>
          <w:sz w:val="26"/>
          <w:szCs w:val="26"/>
        </w:rPr>
        <w:t>смена замков</w:t>
      </w:r>
      <w:r w:rsidR="002E3A34" w:rsidRPr="00342688">
        <w:rPr>
          <w:sz w:val="26"/>
          <w:szCs w:val="26"/>
        </w:rPr>
        <w:t xml:space="preserve"> </w:t>
      </w:r>
      <w:r w:rsidRPr="00342688">
        <w:rPr>
          <w:sz w:val="26"/>
          <w:szCs w:val="26"/>
        </w:rPr>
        <w:t xml:space="preserve">по заявкам Заказчика в городе Перми общим объемом </w:t>
      </w:r>
      <w:r w:rsidR="003D606A">
        <w:rPr>
          <w:sz w:val="26"/>
          <w:szCs w:val="26"/>
        </w:rPr>
        <w:t xml:space="preserve">130 </w:t>
      </w:r>
      <w:r w:rsidRPr="00342688">
        <w:rPr>
          <w:sz w:val="26"/>
          <w:szCs w:val="26"/>
        </w:rPr>
        <w:t xml:space="preserve"> шт.</w:t>
      </w:r>
      <w:r w:rsidR="002E3A34" w:rsidRPr="00342688">
        <w:rPr>
          <w:sz w:val="26"/>
          <w:szCs w:val="26"/>
        </w:rPr>
        <w:t>,</w:t>
      </w:r>
      <w:r w:rsidRPr="00342688">
        <w:rPr>
          <w:sz w:val="26"/>
          <w:szCs w:val="26"/>
        </w:rPr>
        <w:t xml:space="preserve"> согласно технического задания</w:t>
      </w:r>
      <w:r w:rsidR="00421448">
        <w:rPr>
          <w:sz w:val="26"/>
          <w:szCs w:val="26"/>
        </w:rPr>
        <w:t xml:space="preserve"> и локально-сметного расчета</w:t>
      </w:r>
      <w:r w:rsidRPr="00342688">
        <w:rPr>
          <w:sz w:val="26"/>
          <w:szCs w:val="26"/>
        </w:rPr>
        <w:t>, являющ</w:t>
      </w:r>
      <w:r w:rsidR="00421448">
        <w:rPr>
          <w:sz w:val="26"/>
          <w:szCs w:val="26"/>
        </w:rPr>
        <w:t>ими</w:t>
      </w:r>
      <w:r w:rsidRPr="00342688">
        <w:rPr>
          <w:sz w:val="26"/>
          <w:szCs w:val="26"/>
        </w:rPr>
        <w:t>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</w:t>
      </w:r>
      <w:proofErr w:type="gramEnd"/>
      <w:r w:rsidRPr="00342688">
        <w:rPr>
          <w:sz w:val="26"/>
          <w:szCs w:val="26"/>
        </w:rPr>
        <w:t xml:space="preserve"> сроки, предусмотренные настоящим контрактом. </w:t>
      </w:r>
    </w:p>
    <w:p w:rsidR="00246870" w:rsidRDefault="002E3A34" w:rsidP="00246870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1.2. Адреса объектов и </w:t>
      </w:r>
      <w:r w:rsidR="00246870">
        <w:rPr>
          <w:sz w:val="26"/>
          <w:szCs w:val="26"/>
        </w:rPr>
        <w:t>объем, дата и время начала</w:t>
      </w:r>
      <w:r w:rsidRPr="00342688">
        <w:rPr>
          <w:sz w:val="26"/>
          <w:szCs w:val="26"/>
        </w:rPr>
        <w:t xml:space="preserve"> работ на каждом из объектов, определяется в заявках Заказчика, </w:t>
      </w:r>
      <w:r w:rsidR="00246870">
        <w:rPr>
          <w:sz w:val="26"/>
          <w:szCs w:val="26"/>
        </w:rPr>
        <w:t>подаваемых в течение срока действия настоящего контракта.</w:t>
      </w:r>
    </w:p>
    <w:p w:rsidR="00905332" w:rsidRPr="00342688" w:rsidRDefault="00246870" w:rsidP="00246870">
      <w:pPr>
        <w:ind w:left="-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905332" w:rsidRPr="00342688">
        <w:rPr>
          <w:b/>
          <w:sz w:val="26"/>
          <w:szCs w:val="26"/>
        </w:rPr>
        <w:t>Срок действия контракта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342688">
        <w:rPr>
          <w:sz w:val="26"/>
          <w:szCs w:val="26"/>
        </w:rPr>
        <w:t>срока действия контракта обязательства сторон</w:t>
      </w:r>
      <w:proofErr w:type="gramEnd"/>
      <w:r w:rsidRPr="00342688">
        <w:rPr>
          <w:sz w:val="26"/>
          <w:szCs w:val="26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246870">
        <w:rPr>
          <w:b/>
          <w:sz w:val="26"/>
          <w:szCs w:val="26"/>
        </w:rPr>
        <w:t>Цена контракта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sz w:val="26"/>
          <w:szCs w:val="26"/>
        </w:rPr>
        <w:t>3.1. Цена контракта составляет: _________________</w:t>
      </w:r>
      <w:r w:rsidRPr="00342688">
        <w:rPr>
          <w:b/>
          <w:bCs/>
          <w:sz w:val="26"/>
          <w:szCs w:val="26"/>
        </w:rPr>
        <w:t xml:space="preserve">руб. </w:t>
      </w:r>
      <w:r w:rsidRPr="00342688">
        <w:rPr>
          <w:bCs/>
          <w:sz w:val="26"/>
          <w:szCs w:val="26"/>
        </w:rPr>
        <w:t>(_________________</w:t>
      </w:r>
      <w:r w:rsidR="00C53E89" w:rsidRPr="00342688">
        <w:rPr>
          <w:bCs/>
          <w:sz w:val="26"/>
          <w:szCs w:val="26"/>
        </w:rPr>
        <w:t>_____рублей ___ коп.)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3.2. Цена контракта включает в себя </w:t>
      </w:r>
      <w:r w:rsidRPr="00342688">
        <w:rPr>
          <w:color w:val="000000"/>
          <w:sz w:val="26"/>
          <w:szCs w:val="26"/>
        </w:rPr>
        <w:t>все расходы по выполнению работ</w:t>
      </w:r>
      <w:r w:rsidRPr="00342688">
        <w:rPr>
          <w:sz w:val="26"/>
          <w:szCs w:val="26"/>
        </w:rPr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905332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3.3. Оплата производится </w:t>
      </w:r>
      <w:proofErr w:type="gramStart"/>
      <w:r w:rsidRPr="00342688">
        <w:rPr>
          <w:sz w:val="26"/>
          <w:szCs w:val="26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342688">
        <w:rPr>
          <w:sz w:val="26"/>
          <w:szCs w:val="26"/>
        </w:rPr>
        <w:t xml:space="preserve"> выполненных работ формы № КС-2 и получения от Подрядчика счета и справки о стоимости выполненных работ и затрат формы       № КС-3.</w:t>
      </w: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Pr="00342688" w:rsidRDefault="00342688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2E3A34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>.-4.2.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настоящего контракта.</w:t>
      </w:r>
    </w:p>
    <w:p w:rsidR="00905332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sz w:val="26"/>
          <w:szCs w:val="26"/>
        </w:rPr>
      </w:pPr>
      <w:r w:rsidRPr="00246870">
        <w:rPr>
          <w:b/>
          <w:sz w:val="26"/>
          <w:szCs w:val="26"/>
        </w:rPr>
        <w:t>Права  и обязанности сторон</w:t>
      </w:r>
    </w:p>
    <w:p w:rsidR="00905332" w:rsidRPr="00342688" w:rsidRDefault="00905332" w:rsidP="00905332">
      <w:pPr>
        <w:tabs>
          <w:tab w:val="left" w:pos="900"/>
        </w:tabs>
        <w:jc w:val="both"/>
        <w:rPr>
          <w:b/>
          <w:sz w:val="26"/>
          <w:szCs w:val="26"/>
        </w:rPr>
      </w:pPr>
      <w:r w:rsidRPr="00342688">
        <w:rPr>
          <w:sz w:val="26"/>
          <w:szCs w:val="26"/>
        </w:rPr>
        <w:t xml:space="preserve">4.1. </w:t>
      </w:r>
      <w:r w:rsidRPr="00342688">
        <w:rPr>
          <w:b/>
          <w:sz w:val="26"/>
          <w:szCs w:val="26"/>
        </w:rPr>
        <w:t>Заказчик обязан:</w:t>
      </w:r>
    </w:p>
    <w:p w:rsidR="00342688" w:rsidRDefault="00905332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4.1.1.  </w:t>
      </w:r>
      <w:r w:rsidR="00246870">
        <w:rPr>
          <w:sz w:val="26"/>
          <w:szCs w:val="26"/>
        </w:rPr>
        <w:t xml:space="preserve">подавать Подрядчику </w:t>
      </w:r>
      <w:proofErr w:type="spellStart"/>
      <w:r w:rsidR="00246870">
        <w:rPr>
          <w:sz w:val="26"/>
          <w:szCs w:val="26"/>
        </w:rPr>
        <w:t>пообъектные</w:t>
      </w:r>
      <w:proofErr w:type="spellEnd"/>
      <w:r w:rsidR="00246870">
        <w:rPr>
          <w:sz w:val="26"/>
          <w:szCs w:val="26"/>
        </w:rPr>
        <w:t xml:space="preserve"> заявки на выполнение работ с указанием адреса, объемов, даты и времени</w:t>
      </w:r>
      <w:r w:rsidR="001116A1">
        <w:rPr>
          <w:sz w:val="26"/>
          <w:szCs w:val="26"/>
        </w:rPr>
        <w:t xml:space="preserve"> начала работ. Заявки подаются в диспетчерский пункт Подрядчика не </w:t>
      </w:r>
      <w:r w:rsidR="00246870">
        <w:rPr>
          <w:sz w:val="26"/>
          <w:szCs w:val="26"/>
        </w:rPr>
        <w:t>позднее</w:t>
      </w:r>
      <w:r w:rsidR="001116A1">
        <w:rPr>
          <w:sz w:val="26"/>
          <w:szCs w:val="26"/>
        </w:rPr>
        <w:t>,</w:t>
      </w:r>
      <w:r w:rsidR="00246870">
        <w:rPr>
          <w:sz w:val="26"/>
          <w:szCs w:val="26"/>
        </w:rPr>
        <w:t xml:space="preserve"> чем за </w:t>
      </w:r>
      <w:r w:rsidR="001116A1">
        <w:rPr>
          <w:sz w:val="26"/>
          <w:szCs w:val="26"/>
        </w:rPr>
        <w:t>8 часов</w:t>
      </w:r>
      <w:r w:rsidR="00246870">
        <w:rPr>
          <w:sz w:val="26"/>
          <w:szCs w:val="26"/>
        </w:rPr>
        <w:t xml:space="preserve"> до начала работ любым способом, позволяющим определить факт, содержание и дату подачи заявки</w:t>
      </w:r>
      <w:r w:rsidRPr="00342688">
        <w:rPr>
          <w:sz w:val="26"/>
          <w:szCs w:val="26"/>
        </w:rPr>
        <w:t>;</w:t>
      </w:r>
    </w:p>
    <w:p w:rsidR="00905332" w:rsidRPr="00342688" w:rsidRDefault="00905332" w:rsidP="00905332">
      <w:pPr>
        <w:tabs>
          <w:tab w:val="left" w:pos="-720"/>
          <w:tab w:val="num" w:pos="144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2</w:t>
      </w:r>
      <w:r w:rsidRPr="00342688">
        <w:rPr>
          <w:sz w:val="26"/>
          <w:szCs w:val="26"/>
        </w:rPr>
        <w:t>. прин</w:t>
      </w:r>
      <w:r w:rsidR="00246870">
        <w:rPr>
          <w:sz w:val="26"/>
          <w:szCs w:val="26"/>
        </w:rPr>
        <w:t>имать</w:t>
      </w:r>
      <w:r w:rsidRPr="00342688">
        <w:rPr>
          <w:sz w:val="26"/>
          <w:szCs w:val="26"/>
        </w:rPr>
        <w:t xml:space="preserve"> от Подрядчика результат выполненных работ в порядке, предусмотренном настоящим контрактом;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3</w:t>
      </w:r>
      <w:r w:rsidRPr="00342688">
        <w:rPr>
          <w:sz w:val="26"/>
          <w:szCs w:val="26"/>
        </w:rPr>
        <w:t xml:space="preserve">. своевременно </w:t>
      </w:r>
      <w:r w:rsidR="00246870">
        <w:rPr>
          <w:sz w:val="26"/>
          <w:szCs w:val="26"/>
        </w:rPr>
        <w:t>производить</w:t>
      </w:r>
      <w:r w:rsidRPr="00342688">
        <w:rPr>
          <w:sz w:val="26"/>
          <w:szCs w:val="26"/>
        </w:rPr>
        <w:t xml:space="preserve"> оплату</w:t>
      </w:r>
      <w:r w:rsidR="00246870">
        <w:rPr>
          <w:sz w:val="26"/>
          <w:szCs w:val="26"/>
        </w:rPr>
        <w:t xml:space="preserve"> выполненных работ</w:t>
      </w:r>
      <w:r w:rsidRPr="00342688">
        <w:rPr>
          <w:sz w:val="26"/>
          <w:szCs w:val="26"/>
        </w:rPr>
        <w:t xml:space="preserve"> по предъявленным Подрядчиком платежным документам в соответствии с</w:t>
      </w:r>
      <w:r w:rsidR="00246870">
        <w:rPr>
          <w:sz w:val="26"/>
          <w:szCs w:val="26"/>
        </w:rPr>
        <w:t xml:space="preserve"> условиями настоящего контракта.</w:t>
      </w:r>
    </w:p>
    <w:p w:rsidR="00C53E89" w:rsidRPr="00342688" w:rsidRDefault="00C53E89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1"/>
          <w:numId w:val="2"/>
        </w:num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Подрядчик обязан:</w:t>
      </w:r>
    </w:p>
    <w:p w:rsidR="00897C57" w:rsidRDefault="00905332" w:rsidP="00BF0451">
      <w:pPr>
        <w:pStyle w:val="a5"/>
        <w:numPr>
          <w:ilvl w:val="2"/>
          <w:numId w:val="2"/>
        </w:numPr>
        <w:tabs>
          <w:tab w:val="clear" w:pos="720"/>
        </w:tabs>
        <w:ind w:left="-567" w:firstLine="567"/>
        <w:rPr>
          <w:sz w:val="26"/>
          <w:szCs w:val="26"/>
        </w:rPr>
      </w:pPr>
      <w:r w:rsidRPr="00897C57">
        <w:rPr>
          <w:sz w:val="26"/>
          <w:szCs w:val="26"/>
        </w:rPr>
        <w:t xml:space="preserve">предоставить до заключения контракта локально-сметный расчет по цене </w:t>
      </w:r>
      <w:r w:rsidR="00897C57">
        <w:rPr>
          <w:sz w:val="26"/>
          <w:szCs w:val="26"/>
        </w:rPr>
        <w:t xml:space="preserve">            </w:t>
      </w:r>
      <w:r w:rsidRPr="00897C57">
        <w:rPr>
          <w:sz w:val="26"/>
          <w:szCs w:val="26"/>
        </w:rPr>
        <w:t>контракта в соответствии с техническим заданием Заказчика.</w:t>
      </w:r>
      <w:r w:rsidR="00897C57" w:rsidRPr="00897C57">
        <w:rPr>
          <w:sz w:val="26"/>
          <w:szCs w:val="26"/>
        </w:rPr>
        <w:t xml:space="preserve">        </w:t>
      </w:r>
    </w:p>
    <w:p w:rsidR="00905332" w:rsidRPr="00342688" w:rsidRDefault="00897C57" w:rsidP="00BF0451">
      <w:pPr>
        <w:ind w:left="-567" w:firstLine="567"/>
        <w:rPr>
          <w:sz w:val="26"/>
          <w:szCs w:val="26"/>
        </w:rPr>
      </w:pPr>
      <w:r w:rsidRPr="00897C57">
        <w:rPr>
          <w:sz w:val="26"/>
          <w:szCs w:val="26"/>
        </w:rPr>
        <w:t>В случае не предоставления или несоответствия указанн</w:t>
      </w:r>
      <w:r w:rsidR="00BF0451">
        <w:rPr>
          <w:sz w:val="26"/>
          <w:szCs w:val="26"/>
        </w:rPr>
        <w:t>ого</w:t>
      </w:r>
      <w:r w:rsidRPr="00897C57">
        <w:rPr>
          <w:sz w:val="26"/>
          <w:szCs w:val="26"/>
        </w:rPr>
        <w:t xml:space="preserve"> документ</w:t>
      </w:r>
      <w:r w:rsidR="00BF0451">
        <w:rPr>
          <w:sz w:val="26"/>
          <w:szCs w:val="26"/>
        </w:rPr>
        <w:t>а</w:t>
      </w:r>
      <w:r w:rsidRPr="00897C57">
        <w:rPr>
          <w:sz w:val="26"/>
          <w:szCs w:val="26"/>
        </w:rPr>
        <w:t xml:space="preserve"> подписать Акт, фиксирующий данное нарушение, который будет считаться Соглашением о расторжении настоящего Контракта.</w:t>
      </w:r>
      <w:r w:rsidR="00905332" w:rsidRPr="00342688">
        <w:rPr>
          <w:sz w:val="26"/>
          <w:szCs w:val="26"/>
        </w:rPr>
        <w:t xml:space="preserve"> </w:t>
      </w:r>
    </w:p>
    <w:p w:rsidR="00905332" w:rsidRDefault="00905332" w:rsidP="00246870">
      <w:pPr>
        <w:ind w:left="-540"/>
        <w:jc w:val="both"/>
        <w:rPr>
          <w:bCs/>
          <w:sz w:val="26"/>
          <w:szCs w:val="26"/>
        </w:rPr>
      </w:pPr>
      <w:r w:rsidRPr="00342688">
        <w:rPr>
          <w:sz w:val="26"/>
          <w:szCs w:val="26"/>
        </w:rPr>
        <w:t xml:space="preserve">         4.2.2. </w:t>
      </w:r>
      <w:r w:rsidR="00246870">
        <w:rPr>
          <w:bCs/>
          <w:sz w:val="26"/>
          <w:szCs w:val="26"/>
        </w:rPr>
        <w:t>выполня</w:t>
      </w:r>
      <w:r w:rsidRPr="00342688">
        <w:rPr>
          <w:bCs/>
          <w:sz w:val="26"/>
          <w:szCs w:val="26"/>
        </w:rPr>
        <w:t>ть все работы в объеме и в сроки, предусмотренные настоящим контрактом и</w:t>
      </w:r>
      <w:r w:rsidR="00246870">
        <w:rPr>
          <w:bCs/>
          <w:sz w:val="26"/>
          <w:szCs w:val="26"/>
        </w:rPr>
        <w:t xml:space="preserve"> заявкам</w:t>
      </w:r>
      <w:r w:rsidR="001116A1">
        <w:rPr>
          <w:bCs/>
          <w:sz w:val="26"/>
          <w:szCs w:val="26"/>
        </w:rPr>
        <w:t>и</w:t>
      </w:r>
      <w:r w:rsidR="00246870">
        <w:rPr>
          <w:bCs/>
          <w:sz w:val="26"/>
          <w:szCs w:val="26"/>
        </w:rPr>
        <w:t xml:space="preserve"> Заказчика</w:t>
      </w:r>
      <w:r w:rsidRPr="00342688">
        <w:rPr>
          <w:bCs/>
          <w:sz w:val="26"/>
          <w:szCs w:val="26"/>
        </w:rPr>
        <w:t>;</w:t>
      </w:r>
    </w:p>
    <w:p w:rsidR="001116A1" w:rsidRPr="00342688" w:rsidRDefault="001116A1" w:rsidP="00246870">
      <w:pPr>
        <w:ind w:left="-540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        4.2.3. организовать работу диспетчерского пункта в рабочие дни.</w:t>
      </w:r>
    </w:p>
    <w:p w:rsidR="00905332" w:rsidRPr="00246870" w:rsidRDefault="00905332" w:rsidP="00246870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bCs/>
          <w:sz w:val="26"/>
          <w:szCs w:val="26"/>
        </w:rPr>
        <w:t>4.2.</w:t>
      </w:r>
      <w:r w:rsidR="001116A1">
        <w:rPr>
          <w:bCs/>
          <w:sz w:val="26"/>
          <w:szCs w:val="26"/>
        </w:rPr>
        <w:t>4</w:t>
      </w:r>
      <w:r w:rsidRPr="00342688">
        <w:rPr>
          <w:bCs/>
          <w:sz w:val="26"/>
          <w:szCs w:val="26"/>
        </w:rPr>
        <w:t xml:space="preserve">. </w:t>
      </w:r>
      <w:r w:rsidR="001116A1">
        <w:rPr>
          <w:sz w:val="26"/>
          <w:szCs w:val="26"/>
        </w:rPr>
        <w:t>п</w:t>
      </w:r>
      <w:r w:rsidR="00246870" w:rsidRPr="00246870">
        <w:rPr>
          <w:sz w:val="26"/>
          <w:szCs w:val="26"/>
        </w:rPr>
        <w:t xml:space="preserve">ри </w:t>
      </w:r>
      <w:r w:rsidR="005D01E6">
        <w:rPr>
          <w:sz w:val="26"/>
          <w:szCs w:val="26"/>
        </w:rPr>
        <w:t>получении</w:t>
      </w:r>
      <w:r w:rsidR="00246870" w:rsidRPr="00246870">
        <w:rPr>
          <w:sz w:val="26"/>
          <w:szCs w:val="26"/>
        </w:rPr>
        <w:t xml:space="preserve"> заявки по телефону диспетчер </w:t>
      </w:r>
      <w:r w:rsidR="001116A1">
        <w:rPr>
          <w:sz w:val="26"/>
          <w:szCs w:val="26"/>
        </w:rPr>
        <w:t>Подрядчика</w:t>
      </w:r>
      <w:r w:rsidR="00246870" w:rsidRPr="00246870">
        <w:rPr>
          <w:sz w:val="26"/>
          <w:szCs w:val="26"/>
        </w:rPr>
        <w:t xml:space="preserve"> обязан </w:t>
      </w:r>
      <w:r w:rsidR="00246870" w:rsidRPr="00246870">
        <w:rPr>
          <w:rFonts w:cs="Gautami"/>
          <w:sz w:val="26"/>
          <w:szCs w:val="26"/>
        </w:rPr>
        <w:t>сообщить</w:t>
      </w:r>
      <w:r w:rsidR="00246870" w:rsidRPr="00246870">
        <w:rPr>
          <w:sz w:val="26"/>
          <w:szCs w:val="26"/>
        </w:rPr>
        <w:t xml:space="preserve"> дату, время, фамилию и инициалы</w:t>
      </w:r>
      <w:r w:rsidRPr="00246870">
        <w:rPr>
          <w:sz w:val="26"/>
          <w:szCs w:val="26"/>
        </w:rPr>
        <w:t>;</w:t>
      </w:r>
    </w:p>
    <w:p w:rsidR="00905332" w:rsidRPr="00342688" w:rsidRDefault="00905332" w:rsidP="00246870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5</w:t>
      </w:r>
      <w:r w:rsidRPr="00342688">
        <w:rPr>
          <w:sz w:val="26"/>
          <w:szCs w:val="26"/>
        </w:rPr>
        <w:t xml:space="preserve">. извещать Заказчика в письменном виде в течение </w:t>
      </w:r>
      <w:r w:rsidR="005D01E6">
        <w:rPr>
          <w:sz w:val="26"/>
          <w:szCs w:val="26"/>
        </w:rPr>
        <w:t>3-х</w:t>
      </w:r>
      <w:r w:rsidRPr="00342688">
        <w:rPr>
          <w:sz w:val="26"/>
          <w:szCs w:val="26"/>
        </w:rPr>
        <w:t xml:space="preserve"> календарных дней об изменении</w:t>
      </w:r>
      <w:r w:rsidR="005D01E6">
        <w:rPr>
          <w:sz w:val="26"/>
          <w:szCs w:val="26"/>
        </w:rPr>
        <w:t xml:space="preserve"> своего</w:t>
      </w:r>
      <w:r w:rsidRPr="00342688">
        <w:rPr>
          <w:sz w:val="26"/>
          <w:szCs w:val="26"/>
        </w:rPr>
        <w:t xml:space="preserve"> статуса, наименования, места нахождения, почтового адреса</w:t>
      </w:r>
      <w:r w:rsidR="005D01E6">
        <w:rPr>
          <w:sz w:val="26"/>
          <w:szCs w:val="26"/>
        </w:rPr>
        <w:t xml:space="preserve"> и телефонов,</w:t>
      </w:r>
      <w:r w:rsidRPr="00342688">
        <w:rPr>
          <w:sz w:val="26"/>
          <w:szCs w:val="26"/>
        </w:rPr>
        <w:t xml:space="preserve"> и иных реквизитов 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905332" w:rsidRPr="00342688" w:rsidRDefault="00905332" w:rsidP="00905332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 xml:space="preserve">. </w:t>
      </w:r>
      <w:r w:rsidR="00421448" w:rsidRPr="00342688">
        <w:rPr>
          <w:sz w:val="26"/>
          <w:szCs w:val="26"/>
        </w:rPr>
        <w:t>безвозмезд</w:t>
      </w:r>
      <w:r w:rsidR="00421448">
        <w:rPr>
          <w:sz w:val="26"/>
          <w:szCs w:val="26"/>
        </w:rPr>
        <w:t>н</w:t>
      </w:r>
      <w:r w:rsidR="00421448" w:rsidRPr="00342688">
        <w:rPr>
          <w:sz w:val="26"/>
          <w:szCs w:val="26"/>
        </w:rPr>
        <w:t>о</w:t>
      </w:r>
      <w:r w:rsidRPr="00342688">
        <w:rPr>
          <w:sz w:val="26"/>
          <w:szCs w:val="26"/>
        </w:rPr>
        <w:t xml:space="preserve"> по требованию Заказчика исправлять все дефекты и недостатки, выявленные в ходе выполнения или приемки выполненных работ;</w:t>
      </w:r>
    </w:p>
    <w:p w:rsidR="005D01E6" w:rsidRDefault="00905332" w:rsidP="00BD5E08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произвести уборку территории от строительного мусора, образовавшегося в период производства работ;</w:t>
      </w:r>
    </w:p>
    <w:p w:rsidR="005D01E6" w:rsidRPr="00342688" w:rsidRDefault="005D01E6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Сроки выполнения работ</w:t>
      </w:r>
    </w:p>
    <w:p w:rsidR="005D01E6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5.1. Срок выполнения работ по настоящему контракту</w:t>
      </w:r>
      <w:r w:rsidR="005D01E6">
        <w:rPr>
          <w:sz w:val="26"/>
          <w:szCs w:val="26"/>
        </w:rPr>
        <w:t>: в течение рабочего дня, указанного в Заявке Заказчика о начале работ</w:t>
      </w:r>
      <w:r w:rsidRPr="00342688">
        <w:rPr>
          <w:sz w:val="26"/>
          <w:szCs w:val="26"/>
        </w:rPr>
        <w:t xml:space="preserve">. </w:t>
      </w:r>
    </w:p>
    <w:p w:rsidR="005D01E6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5D01E6" w:rsidRPr="00342688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2A078E" w:rsidRDefault="002A078E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905332" w:rsidRPr="00342688" w:rsidRDefault="00342688" w:rsidP="00342688">
      <w:pPr>
        <w:tabs>
          <w:tab w:val="left" w:pos="9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___________________ Заказчик                 </w:t>
      </w:r>
      <w:r>
        <w:rPr>
          <w:sz w:val="26"/>
          <w:szCs w:val="26"/>
        </w:rPr>
        <w:t xml:space="preserve">                   </w:t>
      </w:r>
      <w:r w:rsidRPr="00342688">
        <w:rPr>
          <w:sz w:val="26"/>
          <w:szCs w:val="26"/>
        </w:rPr>
        <w:t>___________________ Подрядчик</w:t>
      </w:r>
      <w:r w:rsidR="00905332" w:rsidRPr="0034268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sz w:val="26"/>
          <w:szCs w:val="26"/>
        </w:rPr>
      </w:pPr>
      <w:r w:rsidRPr="00342688">
        <w:rPr>
          <w:b/>
          <w:sz w:val="26"/>
          <w:szCs w:val="26"/>
        </w:rPr>
        <w:lastRenderedPageBreak/>
        <w:t>6. Порядок сдачи и приемки работ</w:t>
      </w:r>
    </w:p>
    <w:p w:rsidR="00905332" w:rsidRPr="00342688" w:rsidRDefault="00905332" w:rsidP="00905332">
      <w:pPr>
        <w:autoSpaceDE w:val="0"/>
        <w:autoSpaceDN w:val="0"/>
        <w:adjustRightInd w:val="0"/>
        <w:ind w:left="-540" w:hanging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         6.1. При завершении работ Подрядчик предоставляет Заказчику акт </w:t>
      </w:r>
      <w:r w:rsidR="00F4489E">
        <w:rPr>
          <w:sz w:val="26"/>
          <w:szCs w:val="26"/>
        </w:rPr>
        <w:t>сдачи-</w:t>
      </w:r>
      <w:r w:rsidRPr="00342688">
        <w:rPr>
          <w:sz w:val="26"/>
          <w:szCs w:val="26"/>
        </w:rPr>
        <w:t>приемки выполненных работ (КС-2).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7. Гарантии</w:t>
      </w:r>
    </w:p>
    <w:p w:rsidR="00905332" w:rsidRPr="00342688" w:rsidRDefault="00905332" w:rsidP="0090533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 Подрядчик гарантирует:</w:t>
      </w:r>
    </w:p>
    <w:p w:rsidR="00905332" w:rsidRPr="00342688" w:rsidRDefault="00905332" w:rsidP="00905332">
      <w:pPr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342688" w:rsidRPr="00342688" w:rsidRDefault="00905332" w:rsidP="00C53E89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7.1.2. своевременное устранение недостатков и дефектов, выявленных при приемке работ и в период гарантийной эксплуатации результата выполненных работ.  </w:t>
      </w:r>
    </w:p>
    <w:p w:rsidR="00905332" w:rsidRPr="00342688" w:rsidRDefault="00905332" w:rsidP="00C53E89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</w:t>
      </w:r>
      <w:r w:rsidR="006D44A7" w:rsidRPr="00342688">
        <w:rPr>
          <w:sz w:val="26"/>
          <w:szCs w:val="26"/>
        </w:rPr>
        <w:t xml:space="preserve">       </w:t>
      </w:r>
      <w:r w:rsidRPr="00342688">
        <w:rPr>
          <w:sz w:val="26"/>
          <w:szCs w:val="26"/>
        </w:rPr>
        <w:t>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5D01E6">
        <w:rPr>
          <w:sz w:val="26"/>
          <w:szCs w:val="26"/>
        </w:rPr>
        <w:t xml:space="preserve">3-х дней </w:t>
      </w:r>
      <w:r w:rsidRPr="00342688">
        <w:rPr>
          <w:sz w:val="26"/>
          <w:szCs w:val="26"/>
        </w:rPr>
        <w:t>с момента заявления об этом Заказчиком.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53E89" w:rsidRPr="00342688" w:rsidRDefault="00C53E89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</w:p>
    <w:p w:rsidR="00905332" w:rsidRDefault="00342688" w:rsidP="00905332">
      <w:pPr>
        <w:numPr>
          <w:ilvl w:val="0"/>
          <w:numId w:val="3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О</w:t>
      </w:r>
      <w:r w:rsidR="00905332" w:rsidRPr="00342688">
        <w:rPr>
          <w:b/>
          <w:bCs/>
          <w:sz w:val="26"/>
          <w:szCs w:val="26"/>
        </w:rPr>
        <w:t>тветственность сторон</w:t>
      </w:r>
    </w:p>
    <w:p w:rsidR="003A0BA6" w:rsidRPr="003A0BA6" w:rsidRDefault="003A0BA6" w:rsidP="003A0BA6">
      <w:pPr>
        <w:pStyle w:val="a5"/>
        <w:numPr>
          <w:ilvl w:val="1"/>
          <w:numId w:val="5"/>
        </w:numPr>
        <w:ind w:left="-567" w:firstLine="567"/>
        <w:rPr>
          <w:b/>
          <w:bCs/>
          <w:sz w:val="26"/>
          <w:szCs w:val="26"/>
        </w:rPr>
      </w:pPr>
      <w:r w:rsidRPr="003A0BA6">
        <w:rPr>
          <w:sz w:val="26"/>
          <w:szCs w:val="26"/>
        </w:rPr>
        <w:t xml:space="preserve">В случае если Исполнитель в течение 3 (трех) дней отказывается подписать Акт, указанный в п. </w:t>
      </w:r>
      <w:r w:rsidR="00631499">
        <w:rPr>
          <w:sz w:val="26"/>
          <w:szCs w:val="26"/>
        </w:rPr>
        <w:t>4</w:t>
      </w:r>
      <w:r w:rsidRPr="003A0BA6">
        <w:rPr>
          <w:sz w:val="26"/>
          <w:szCs w:val="26"/>
        </w:rPr>
        <w:t>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905332" w:rsidRPr="00342688" w:rsidRDefault="00905332" w:rsidP="00905332">
      <w:pPr>
        <w:tabs>
          <w:tab w:val="left" w:pos="993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8.</w:t>
      </w:r>
      <w:r w:rsidR="00BD5E08">
        <w:rPr>
          <w:sz w:val="26"/>
          <w:szCs w:val="26"/>
        </w:rPr>
        <w:t>2</w:t>
      </w:r>
      <w:r w:rsidRPr="00342688">
        <w:rPr>
          <w:sz w:val="26"/>
          <w:szCs w:val="26"/>
        </w:rPr>
        <w:t>. За неисполнение либо ненадлежащее исполнение принятых на себя обязатель</w:t>
      </w:r>
      <w:proofErr w:type="gramStart"/>
      <w:r w:rsidRPr="00342688">
        <w:rPr>
          <w:sz w:val="26"/>
          <w:szCs w:val="26"/>
        </w:rPr>
        <w:t>ств ст</w:t>
      </w:r>
      <w:proofErr w:type="gramEnd"/>
      <w:r w:rsidRPr="00342688">
        <w:rPr>
          <w:sz w:val="26"/>
          <w:szCs w:val="26"/>
        </w:rPr>
        <w:t>ороны настоящего контракта несут ответственность в соответствии с действующим законодательством РФ.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</w:t>
      </w:r>
      <w:r w:rsidR="00BD5E08">
        <w:rPr>
          <w:sz w:val="26"/>
          <w:szCs w:val="26"/>
        </w:rPr>
        <w:t>3</w:t>
      </w:r>
      <w:r w:rsidRPr="00342688">
        <w:rPr>
          <w:sz w:val="26"/>
          <w:szCs w:val="26"/>
        </w:rPr>
        <w:t>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</w:t>
      </w:r>
      <w:r w:rsidR="00BD5E08">
        <w:rPr>
          <w:sz w:val="26"/>
          <w:szCs w:val="26"/>
        </w:rPr>
        <w:t>4</w:t>
      </w:r>
      <w:r w:rsidRPr="00342688">
        <w:rPr>
          <w:sz w:val="26"/>
          <w:szCs w:val="26"/>
        </w:rPr>
        <w:t xml:space="preserve">. За нарушение сроков выполнения работ и устранения недостатков Подрядчик </w:t>
      </w:r>
      <w:r w:rsidR="00631499">
        <w:rPr>
          <w:sz w:val="26"/>
          <w:szCs w:val="26"/>
        </w:rPr>
        <w:t xml:space="preserve">выплачивает </w:t>
      </w:r>
      <w:proofErr w:type="gramStart"/>
      <w:r w:rsidR="00631499">
        <w:rPr>
          <w:sz w:val="26"/>
          <w:szCs w:val="26"/>
        </w:rPr>
        <w:t>в доход бюджета города Перми</w:t>
      </w:r>
      <w:r w:rsidRPr="00342688">
        <w:rPr>
          <w:sz w:val="26"/>
          <w:szCs w:val="26"/>
        </w:rPr>
        <w:t xml:space="preserve"> неустойку в размере одной трехсотой действующей на день уплаты пени ставки рефинансирования ЦБ Российской Федерации от цены контракта за каждый  день</w:t>
      </w:r>
      <w:proofErr w:type="gramEnd"/>
      <w:r w:rsidRPr="00342688">
        <w:rPr>
          <w:sz w:val="26"/>
          <w:szCs w:val="26"/>
        </w:rPr>
        <w:t xml:space="preserve"> просрочки. </w:t>
      </w:r>
      <w:r w:rsidR="006466C2">
        <w:rPr>
          <w:sz w:val="26"/>
          <w:szCs w:val="26"/>
        </w:rPr>
        <w:t>На основании ст. 313 ГК РФ исполнение обязательства Исполнителя по уплате неустойки в доход бюджета г</w:t>
      </w:r>
      <w:r w:rsidR="00E55262">
        <w:rPr>
          <w:sz w:val="26"/>
          <w:szCs w:val="26"/>
        </w:rPr>
        <w:t>орода П</w:t>
      </w:r>
      <w:r w:rsidR="006466C2">
        <w:rPr>
          <w:sz w:val="26"/>
          <w:szCs w:val="26"/>
        </w:rPr>
        <w:t>ерми</w:t>
      </w:r>
      <w:r w:rsidR="00E55262">
        <w:rPr>
          <w:sz w:val="26"/>
          <w:szCs w:val="26"/>
        </w:rPr>
        <w:t xml:space="preserve"> возлагается на Заказчика</w:t>
      </w:r>
      <w:r w:rsidRPr="00342688">
        <w:rPr>
          <w:sz w:val="26"/>
          <w:szCs w:val="26"/>
        </w:rPr>
        <w:t>.</w:t>
      </w:r>
    </w:p>
    <w:p w:rsidR="00BD5E0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</w:t>
      </w:r>
      <w:r w:rsidR="00BD5E08">
        <w:rPr>
          <w:sz w:val="26"/>
          <w:szCs w:val="26"/>
        </w:rPr>
        <w:t>5</w:t>
      </w:r>
      <w:r w:rsidRPr="00342688">
        <w:rPr>
          <w:sz w:val="26"/>
          <w:szCs w:val="26"/>
        </w:rPr>
        <w:t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BD5E08" w:rsidRPr="00342688" w:rsidRDefault="00BD5E08" w:rsidP="00BD5E0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8.</w:t>
      </w:r>
      <w:r w:rsidR="00BD5E08">
        <w:rPr>
          <w:sz w:val="26"/>
          <w:szCs w:val="26"/>
        </w:rPr>
        <w:t>6</w:t>
      </w:r>
      <w:r w:rsidRPr="00342688">
        <w:rPr>
          <w:sz w:val="26"/>
          <w:szCs w:val="26"/>
        </w:rPr>
        <w:t>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</w:t>
      </w:r>
      <w:r w:rsidR="00BD5E08">
        <w:rPr>
          <w:sz w:val="26"/>
          <w:szCs w:val="26"/>
        </w:rPr>
        <w:t>7</w:t>
      </w:r>
      <w:r w:rsidRPr="00342688">
        <w:rPr>
          <w:sz w:val="26"/>
          <w:szCs w:val="26"/>
        </w:rPr>
        <w:t>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905332" w:rsidRPr="00342688" w:rsidRDefault="00905332" w:rsidP="00905332">
      <w:pPr>
        <w:tabs>
          <w:tab w:val="left" w:pos="-720"/>
        </w:tabs>
        <w:ind w:left="-540" w:hanging="36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</w:t>
      </w:r>
    </w:p>
    <w:p w:rsidR="00905332" w:rsidRPr="00342688" w:rsidRDefault="00905332" w:rsidP="003A0BA6">
      <w:pPr>
        <w:numPr>
          <w:ilvl w:val="0"/>
          <w:numId w:val="5"/>
        </w:numPr>
        <w:tabs>
          <w:tab w:val="left" w:pos="284"/>
          <w:tab w:val="left" w:pos="567"/>
        </w:tabs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Заключительные положения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9.2. Во всем остальном, что не предусмотрено настоящим контрактом, применяются нормы действующего законодательства РФ.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9.3. Все споры </w:t>
      </w:r>
      <w:r w:rsidR="005D01E6">
        <w:rPr>
          <w:sz w:val="26"/>
          <w:szCs w:val="26"/>
        </w:rPr>
        <w:t>между сторонами по настоящему контракту разрешаются в судебном порядке по месту нахождения Заказчика.</w:t>
      </w:r>
      <w:r w:rsidRPr="00342688">
        <w:rPr>
          <w:sz w:val="26"/>
          <w:szCs w:val="26"/>
        </w:rPr>
        <w:t xml:space="preserve"> </w:t>
      </w:r>
    </w:p>
    <w:p w:rsidR="00C53E89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9.4. Настоящий контракт составлен в двух экземплярах, имеющих одинаковую юридическую силу, по одному для каждой из сторон. </w:t>
      </w:r>
    </w:p>
    <w:p w:rsidR="00C53E89" w:rsidRPr="00342688" w:rsidRDefault="00C53E89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</w:p>
    <w:p w:rsidR="00905332" w:rsidRPr="00342688" w:rsidRDefault="00905332" w:rsidP="003A0BA6">
      <w:pPr>
        <w:numPr>
          <w:ilvl w:val="0"/>
          <w:numId w:val="5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Адреса, банковские реквизиты и подписи сторон</w:t>
      </w:r>
    </w:p>
    <w:p w:rsidR="00905332" w:rsidRPr="00342688" w:rsidRDefault="00905332" w:rsidP="00905332">
      <w:pPr>
        <w:ind w:left="720"/>
        <w:jc w:val="both"/>
        <w:rPr>
          <w:b/>
          <w:bCs/>
          <w:sz w:val="26"/>
          <w:szCs w:val="26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905332" w:rsidRPr="00342688" w:rsidTr="00905332">
        <w:tc>
          <w:tcPr>
            <w:tcW w:w="4964" w:type="dxa"/>
          </w:tcPr>
          <w:p w:rsidR="00905332" w:rsidRPr="00342688" w:rsidRDefault="00905332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Заказчик</w:t>
            </w:r>
            <w:r w:rsidRPr="00342688">
              <w:rPr>
                <w:sz w:val="26"/>
                <w:szCs w:val="26"/>
              </w:rPr>
              <w:t xml:space="preserve">:                                       </w:t>
            </w:r>
            <w:r w:rsidRPr="00342688"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21448" w:rsidRPr="00421448" w:rsidRDefault="00421448" w:rsidP="00421448">
            <w:pPr>
              <w:ind w:right="-252"/>
            </w:pPr>
            <w:r w:rsidRPr="00421448">
              <w:t>М</w:t>
            </w:r>
            <w:r w:rsidR="003D606A">
              <w:t>К</w:t>
            </w:r>
            <w:r w:rsidRPr="00421448">
              <w:t xml:space="preserve">У «СМИ» </w:t>
            </w:r>
          </w:p>
          <w:p w:rsidR="00421448" w:rsidRPr="00421448" w:rsidRDefault="00421448" w:rsidP="00421448">
            <w:pPr>
              <w:ind w:right="-252"/>
              <w:rPr>
                <w:bCs/>
              </w:rPr>
            </w:pPr>
            <w:r w:rsidRPr="00421448">
              <w:rPr>
                <w:bCs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421448">
                <w:rPr>
                  <w:bCs/>
                </w:rPr>
                <w:t>614000, г</w:t>
              </w:r>
            </w:smartTag>
            <w:r w:rsidRPr="00421448">
              <w:rPr>
                <w:bCs/>
              </w:rPr>
              <w:t xml:space="preserve">. Пермь, ул. Н. Островского,27                            </w:t>
            </w:r>
          </w:p>
          <w:p w:rsidR="00421448" w:rsidRPr="00421448" w:rsidRDefault="00421448" w:rsidP="00421448">
            <w:pPr>
              <w:ind w:right="-252"/>
            </w:pPr>
            <w:r w:rsidRPr="00421448">
              <w:t xml:space="preserve">Банковские реквизиты: л/счет 02163010062 </w:t>
            </w:r>
            <w:proofErr w:type="gramStart"/>
            <w:r w:rsidRPr="00421448">
              <w:t>в</w:t>
            </w:r>
            <w:proofErr w:type="gramEnd"/>
            <w:r w:rsidRPr="00421448">
              <w:t xml:space="preserve"> </w:t>
            </w:r>
          </w:p>
          <w:p w:rsidR="00421448" w:rsidRDefault="00421448" w:rsidP="00421448">
            <w:pPr>
              <w:ind w:right="-252"/>
              <w:rPr>
                <w:bCs/>
              </w:rPr>
            </w:pPr>
            <w:r w:rsidRPr="00421448">
              <w:t xml:space="preserve">Департаменте финансов администрации г. Перми, </w:t>
            </w:r>
            <w:proofErr w:type="gramStart"/>
            <w:r w:rsidRPr="00421448">
              <w:t>р</w:t>
            </w:r>
            <w:proofErr w:type="gramEnd"/>
            <w:r w:rsidRPr="00421448">
              <w:t xml:space="preserve">/счет 40204810300000000006 в ГРКЦ ГУ  Банка России по Пермскому краю г. Пермь, БИК 045773001, </w:t>
            </w:r>
            <w:r w:rsidRPr="00421448">
              <w:rPr>
                <w:bCs/>
              </w:rPr>
              <w:t xml:space="preserve">ИНН 5904082670, </w:t>
            </w:r>
          </w:p>
          <w:p w:rsidR="00421448" w:rsidRPr="00421448" w:rsidRDefault="00421448" w:rsidP="00421448">
            <w:pPr>
              <w:ind w:right="-252"/>
            </w:pPr>
            <w:r w:rsidRPr="00421448">
              <w:rPr>
                <w:bCs/>
              </w:rPr>
              <w:t>КПП 590201001</w:t>
            </w:r>
          </w:p>
          <w:p w:rsidR="00C53E89" w:rsidRPr="00421448" w:rsidRDefault="00421448" w:rsidP="00421448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  <w:r w:rsidRPr="00421448">
              <w:rPr>
                <w:bCs/>
              </w:rPr>
              <w:t>Тел./факс: 217-11-24</w:t>
            </w: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860" w:type="dxa"/>
          </w:tcPr>
          <w:p w:rsidR="00905332" w:rsidRPr="00342688" w:rsidRDefault="00905332" w:rsidP="00C53E8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               Подрядчик:    </w:t>
            </w:r>
          </w:p>
        </w:tc>
      </w:tr>
    </w:tbl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>Заказчик:                                                                                     Подрядчик:</w:t>
      </w: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Pr="00342688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_____________/_______________                                          </w:t>
      </w:r>
      <w:r w:rsidR="00342688">
        <w:rPr>
          <w:sz w:val="26"/>
          <w:szCs w:val="26"/>
        </w:rPr>
        <w:t>____________/____________</w:t>
      </w:r>
    </w:p>
    <w:p w:rsidR="00342688" w:rsidRDefault="00342688" w:rsidP="00905332">
      <w:pPr>
        <w:tabs>
          <w:tab w:val="left" w:pos="-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МП                                                                                           </w:t>
      </w:r>
      <w:proofErr w:type="spellStart"/>
      <w:proofErr w:type="gramStart"/>
      <w:r>
        <w:rPr>
          <w:sz w:val="26"/>
          <w:szCs w:val="26"/>
        </w:rPr>
        <w:t>МП</w:t>
      </w:r>
      <w:proofErr w:type="spellEnd"/>
      <w:proofErr w:type="gramEnd"/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3B32D5" w:rsidRDefault="003B32D5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2A078E" w:rsidRDefault="002A078E" w:rsidP="003B32D5">
      <w:pPr>
        <w:jc w:val="right"/>
        <w:rPr>
          <w:sz w:val="20"/>
          <w:szCs w:val="20"/>
        </w:rPr>
      </w:pPr>
    </w:p>
    <w:p w:rsidR="003B32D5" w:rsidRPr="00827862" w:rsidRDefault="003B32D5" w:rsidP="003B32D5">
      <w:pPr>
        <w:jc w:val="right"/>
        <w:rPr>
          <w:sz w:val="22"/>
          <w:szCs w:val="22"/>
        </w:rPr>
      </w:pPr>
      <w:r w:rsidRPr="00827862">
        <w:rPr>
          <w:sz w:val="22"/>
          <w:szCs w:val="22"/>
        </w:rPr>
        <w:lastRenderedPageBreak/>
        <w:t>Приложение №1</w:t>
      </w:r>
    </w:p>
    <w:p w:rsidR="003B32D5" w:rsidRPr="00827862" w:rsidRDefault="003B32D5" w:rsidP="003B32D5">
      <w:pPr>
        <w:jc w:val="center"/>
        <w:rPr>
          <w:sz w:val="22"/>
          <w:szCs w:val="22"/>
        </w:rPr>
      </w:pPr>
      <w:r w:rsidRPr="00827862">
        <w:rPr>
          <w:sz w:val="22"/>
          <w:szCs w:val="22"/>
        </w:rPr>
        <w:t xml:space="preserve">                                                                     </w:t>
      </w:r>
      <w:r w:rsidR="002A078E" w:rsidRPr="00827862">
        <w:rPr>
          <w:sz w:val="22"/>
          <w:szCs w:val="22"/>
        </w:rPr>
        <w:t xml:space="preserve">             </w:t>
      </w:r>
      <w:r w:rsidRPr="00827862">
        <w:rPr>
          <w:sz w:val="22"/>
          <w:szCs w:val="22"/>
        </w:rPr>
        <w:t>к муниципальному контракту № ___ от _____2012 г.</w:t>
      </w:r>
    </w:p>
    <w:p w:rsidR="00827862" w:rsidRPr="00827862" w:rsidRDefault="00827862" w:rsidP="00827862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7862">
        <w:rPr>
          <w:rFonts w:eastAsia="Calibri"/>
          <w:b/>
          <w:sz w:val="22"/>
          <w:szCs w:val="22"/>
          <w:lang w:eastAsia="en-US"/>
        </w:rPr>
        <w:t>ТЕХНИЧЕСКОЕ ЗАДАНИЕ</w:t>
      </w:r>
    </w:p>
    <w:p w:rsidR="00827862" w:rsidRPr="00827862" w:rsidRDefault="00827862" w:rsidP="00827862">
      <w:pPr>
        <w:jc w:val="center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на смену замков по заявкам Заказчика</w:t>
      </w:r>
    </w:p>
    <w:p w:rsidR="00827862" w:rsidRPr="00827862" w:rsidRDefault="00827862" w:rsidP="00827862">
      <w:pPr>
        <w:ind w:firstLine="567"/>
        <w:jc w:val="center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b/>
          <w:sz w:val="22"/>
          <w:szCs w:val="22"/>
          <w:lang w:eastAsia="en-US"/>
        </w:rPr>
        <w:t>Объем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751"/>
        <w:gridCol w:w="1418"/>
        <w:gridCol w:w="1701"/>
      </w:tblGrid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827862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75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27862">
              <w:rPr>
                <w:rFonts w:eastAsia="Calibri"/>
                <w:sz w:val="22"/>
                <w:szCs w:val="22"/>
                <w:lang w:eastAsia="en-US"/>
              </w:rPr>
              <w:t>Ед</w:t>
            </w:r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.и</w:t>
            </w:r>
            <w:proofErr w:type="gramEnd"/>
            <w:r w:rsidRPr="00827862">
              <w:rPr>
                <w:rFonts w:eastAsia="Calibri"/>
                <w:sz w:val="22"/>
                <w:szCs w:val="22"/>
                <w:lang w:eastAsia="en-US"/>
              </w:rPr>
              <w:t>зм</w:t>
            </w:r>
            <w:proofErr w:type="spellEnd"/>
            <w:r w:rsidRPr="0082786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Кол-во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замка врезного в деревянной двери (без снятия двери)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замка приварного в металлической двери (без снятия двери)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замка приварного в металлической двери (со снятием полотна)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навесного замка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замка врезного в деревянной двери (со снятием полотна)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827862" w:rsidRPr="00827862" w:rsidTr="00D66CFF">
        <w:tc>
          <w:tcPr>
            <w:tcW w:w="594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51" w:type="dxa"/>
          </w:tcPr>
          <w:p w:rsidR="00827862" w:rsidRPr="00827862" w:rsidRDefault="00827862" w:rsidP="008278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Смена замка в металлопластиковой двери (со снятием полотна)</w:t>
            </w:r>
          </w:p>
        </w:tc>
        <w:tc>
          <w:tcPr>
            <w:tcW w:w="1418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27862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827862" w:rsidRPr="00827862" w:rsidTr="00D66CFF">
        <w:tc>
          <w:tcPr>
            <w:tcW w:w="7763" w:type="dxa"/>
            <w:gridSpan w:val="3"/>
            <w:vAlign w:val="center"/>
          </w:tcPr>
          <w:p w:rsidR="00827862" w:rsidRPr="00827862" w:rsidRDefault="00827862" w:rsidP="0082786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701" w:type="dxa"/>
            <w:vAlign w:val="center"/>
          </w:tcPr>
          <w:p w:rsidR="00827862" w:rsidRPr="00827862" w:rsidRDefault="00827862" w:rsidP="0082786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862">
              <w:rPr>
                <w:rFonts w:eastAsia="Calibri"/>
                <w:sz w:val="22"/>
                <w:szCs w:val="22"/>
                <w:lang w:eastAsia="en-US"/>
              </w:rPr>
              <w:t>130</w:t>
            </w:r>
          </w:p>
        </w:tc>
      </w:tr>
    </w:tbl>
    <w:p w:rsidR="00827862" w:rsidRPr="00827862" w:rsidRDefault="00827862" w:rsidP="00827862">
      <w:pPr>
        <w:ind w:firstLine="56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827862">
        <w:rPr>
          <w:rFonts w:eastAsia="Calibri"/>
          <w:b/>
          <w:sz w:val="22"/>
          <w:szCs w:val="22"/>
          <w:lang w:eastAsia="en-US"/>
        </w:rPr>
        <w:t>Требования к работам:</w:t>
      </w:r>
    </w:p>
    <w:p w:rsidR="00827862" w:rsidRPr="00827862" w:rsidRDefault="00827862" w:rsidP="00827862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Работы выполнить из материалов подрядчика.</w:t>
      </w:r>
    </w:p>
    <w:p w:rsidR="00827862" w:rsidRPr="00827862" w:rsidRDefault="00827862" w:rsidP="00827862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Демонтаж дверей должен быть произведен без нарушения целостности дверного полотна и коробки.</w:t>
      </w:r>
    </w:p>
    <w:p w:rsidR="00827862" w:rsidRPr="00827862" w:rsidRDefault="00827862" w:rsidP="00827862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Вскрытые двери должны быть установлены в соответствии со строительными нормами и правилами, правилами пожарной безопасности (ППБ 01-03), техникой безопасности.</w:t>
      </w:r>
    </w:p>
    <w:p w:rsidR="00827862" w:rsidRPr="00827862" w:rsidRDefault="00827862" w:rsidP="00827862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Замки должны быть новыми с комплектом  не  менее   3-х ключей.  Навесной  замок  должен  быть  марки  ВС 2-10-01С  или  подобного  класса.</w:t>
      </w:r>
    </w:p>
    <w:p w:rsidR="00827862" w:rsidRPr="00827862" w:rsidRDefault="00827862" w:rsidP="00827862">
      <w:pPr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827862">
        <w:rPr>
          <w:rFonts w:eastAsia="Calibri"/>
          <w:b/>
          <w:sz w:val="22"/>
          <w:szCs w:val="22"/>
          <w:lang w:eastAsia="en-US"/>
        </w:rPr>
        <w:t xml:space="preserve">Требования к материалам: </w:t>
      </w:r>
    </w:p>
    <w:p w:rsidR="00827862" w:rsidRPr="00827862" w:rsidRDefault="00827862" w:rsidP="0082786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 xml:space="preserve">На наружной и внутренней </w:t>
      </w:r>
      <w:proofErr w:type="gramStart"/>
      <w:r w:rsidRPr="00827862">
        <w:rPr>
          <w:rFonts w:eastAsia="Calibri"/>
          <w:sz w:val="22"/>
          <w:szCs w:val="22"/>
          <w:lang w:eastAsia="en-US"/>
        </w:rPr>
        <w:t>поверхностях</w:t>
      </w:r>
      <w:proofErr w:type="gramEnd"/>
      <w:r w:rsidRPr="00827862">
        <w:rPr>
          <w:rFonts w:eastAsia="Calibri"/>
          <w:sz w:val="22"/>
          <w:szCs w:val="22"/>
          <w:lang w:eastAsia="en-US"/>
        </w:rPr>
        <w:t xml:space="preserve"> замка не должно быть трещин, волосовин, плен, раковин и расслоений. Вырубка, заварка и заделка дефектных мест не допускаются.</w:t>
      </w:r>
    </w:p>
    <w:p w:rsidR="00827862" w:rsidRPr="00827862" w:rsidRDefault="00827862" w:rsidP="0082786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 xml:space="preserve">Поверхности упорного уступа ниппеля и упорного торца муфты должны быть гладкими, без заусенцев, </w:t>
      </w:r>
      <w:proofErr w:type="gramStart"/>
      <w:r w:rsidRPr="00827862">
        <w:rPr>
          <w:rFonts w:eastAsia="Calibri"/>
          <w:sz w:val="22"/>
          <w:szCs w:val="22"/>
          <w:lang w:eastAsia="en-US"/>
        </w:rPr>
        <w:t>рванин</w:t>
      </w:r>
      <w:proofErr w:type="gramEnd"/>
      <w:r w:rsidRPr="00827862">
        <w:rPr>
          <w:rFonts w:eastAsia="Calibri"/>
          <w:sz w:val="22"/>
          <w:szCs w:val="22"/>
          <w:lang w:eastAsia="en-US"/>
        </w:rPr>
        <w:t>, забоин и других дефектов. Маркировка на этих поверхностях не допускается. Отклонения от перпендикулярности упорных торцов ниппеля и муфты к оси замковой резьбы не должны быть более 0,1мм, а отклонения от плоскостности на ширине этих поверхностей – не более 0,07мм.</w:t>
      </w:r>
    </w:p>
    <w:p w:rsidR="00827862" w:rsidRPr="00827862" w:rsidRDefault="00827862" w:rsidP="0082786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Установку замков выполнить в соответствии с ГОСТ 5089-2003 «Замки и защелки для дверей. Технические условия», ГОСТ 538-2001 «Изделия замочные и скобяные. Общие технические условия».</w:t>
      </w:r>
    </w:p>
    <w:p w:rsidR="00827862" w:rsidRPr="00827862" w:rsidRDefault="00827862" w:rsidP="00827862">
      <w:pPr>
        <w:ind w:firstLine="56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827862">
        <w:rPr>
          <w:rFonts w:eastAsia="Calibri"/>
          <w:b/>
          <w:sz w:val="22"/>
          <w:szCs w:val="22"/>
          <w:lang w:eastAsia="en-US"/>
        </w:rPr>
        <w:t>Характеристики:</w:t>
      </w:r>
    </w:p>
    <w:p w:rsidR="00827862" w:rsidRPr="00827862" w:rsidRDefault="00827862" w:rsidP="00827862">
      <w:pPr>
        <w:ind w:firstLine="567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827862">
        <w:rPr>
          <w:rFonts w:eastAsia="Calibri"/>
          <w:i/>
          <w:sz w:val="22"/>
          <w:szCs w:val="22"/>
          <w:lang w:eastAsia="en-US"/>
        </w:rPr>
        <w:t xml:space="preserve">замок врезной </w:t>
      </w:r>
      <w:proofErr w:type="spellStart"/>
      <w:r w:rsidRPr="00827862">
        <w:rPr>
          <w:rFonts w:eastAsia="Calibri"/>
          <w:i/>
          <w:sz w:val="22"/>
          <w:szCs w:val="22"/>
          <w:lang w:eastAsia="en-US"/>
        </w:rPr>
        <w:t>сувальдный</w:t>
      </w:r>
      <w:proofErr w:type="spellEnd"/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Замок имеет одно направление запирания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 xml:space="preserve">6 </w:t>
      </w:r>
      <w:proofErr w:type="spellStart"/>
      <w:r w:rsidRPr="00827862">
        <w:rPr>
          <w:rFonts w:eastAsia="Calibri"/>
          <w:sz w:val="22"/>
          <w:szCs w:val="22"/>
          <w:lang w:eastAsia="en-US"/>
        </w:rPr>
        <w:t>сувальд</w:t>
      </w:r>
      <w:proofErr w:type="spellEnd"/>
      <w:r w:rsidRPr="00827862">
        <w:rPr>
          <w:rFonts w:eastAsia="Calibri"/>
          <w:sz w:val="22"/>
          <w:szCs w:val="22"/>
          <w:lang w:eastAsia="en-US"/>
        </w:rPr>
        <w:t xml:space="preserve"> расположенных с двух сторон ригельной планки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Класс – 2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Корпус – сталь (покрытие – порошковая краска)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Количество ключей – 3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Лицевая планка – сталь (покрытие – никель)</w:t>
      </w:r>
    </w:p>
    <w:p w:rsidR="00827862" w:rsidRPr="00827862" w:rsidRDefault="00827862" w:rsidP="00827862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Ригели – сталь (покрытие – никель)</w:t>
      </w:r>
    </w:p>
    <w:p w:rsidR="00827862" w:rsidRPr="00827862" w:rsidRDefault="00827862" w:rsidP="00827862">
      <w:pPr>
        <w:ind w:left="567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827862">
        <w:rPr>
          <w:rFonts w:eastAsia="Calibri"/>
          <w:i/>
          <w:sz w:val="22"/>
          <w:szCs w:val="22"/>
          <w:lang w:eastAsia="en-US"/>
        </w:rPr>
        <w:t>замок навесной</w:t>
      </w:r>
    </w:p>
    <w:p w:rsidR="00827862" w:rsidRPr="00827862" w:rsidRDefault="00827862" w:rsidP="00827862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Класс – 2</w:t>
      </w:r>
    </w:p>
    <w:p w:rsidR="00827862" w:rsidRPr="00827862" w:rsidRDefault="00827862" w:rsidP="00827862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Корпус – сталь (покрытие – порошковая краска)</w:t>
      </w:r>
    </w:p>
    <w:p w:rsidR="00827862" w:rsidRPr="00827862" w:rsidRDefault="00827862" w:rsidP="00827862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Количество ключей - 3</w:t>
      </w:r>
    </w:p>
    <w:p w:rsidR="00827862" w:rsidRPr="00827862" w:rsidRDefault="00827862" w:rsidP="00827862">
      <w:pPr>
        <w:ind w:firstLine="567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Заказчик:                                                                  Подрядчик:</w:t>
      </w:r>
    </w:p>
    <w:p w:rsidR="00827862" w:rsidRPr="00827862" w:rsidRDefault="00827862" w:rsidP="00827862">
      <w:pPr>
        <w:ind w:firstLine="567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>___________/________                                             ___________/________</w:t>
      </w:r>
    </w:p>
    <w:p w:rsidR="00827862" w:rsidRPr="00827862" w:rsidRDefault="00827862" w:rsidP="00827862">
      <w:pPr>
        <w:ind w:firstLine="567"/>
        <w:rPr>
          <w:rFonts w:eastAsia="Calibri"/>
          <w:sz w:val="22"/>
          <w:szCs w:val="22"/>
          <w:lang w:eastAsia="en-US"/>
        </w:rPr>
      </w:pPr>
      <w:r w:rsidRPr="00827862">
        <w:rPr>
          <w:rFonts w:eastAsia="Calibri"/>
          <w:sz w:val="22"/>
          <w:szCs w:val="22"/>
          <w:lang w:eastAsia="en-US"/>
        </w:rPr>
        <w:t xml:space="preserve">                    МП                                                                              </w:t>
      </w:r>
      <w:proofErr w:type="spellStart"/>
      <w:proofErr w:type="gramStart"/>
      <w:r w:rsidRPr="00827862">
        <w:rPr>
          <w:rFonts w:eastAsia="Calibri"/>
          <w:sz w:val="22"/>
          <w:szCs w:val="22"/>
          <w:lang w:eastAsia="en-US"/>
        </w:rPr>
        <w:t>МП</w:t>
      </w:r>
      <w:proofErr w:type="spellEnd"/>
      <w:proofErr w:type="gramEnd"/>
    </w:p>
    <w:p w:rsidR="003B32D5" w:rsidRPr="00827862" w:rsidRDefault="003B32D5" w:rsidP="00827862">
      <w:pPr>
        <w:contextualSpacing/>
        <w:jc w:val="center"/>
        <w:rPr>
          <w:sz w:val="22"/>
          <w:szCs w:val="22"/>
        </w:rPr>
      </w:pPr>
    </w:p>
    <w:sectPr w:rsidR="003B32D5" w:rsidRPr="00827862" w:rsidSect="002A078E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69DED7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AC55F7"/>
    <w:multiLevelType w:val="multilevel"/>
    <w:tmpl w:val="6882B6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>
    <w:nsid w:val="283F3B4D"/>
    <w:multiLevelType w:val="hybridMultilevel"/>
    <w:tmpl w:val="645ECEC6"/>
    <w:lvl w:ilvl="0" w:tplc="1BD65F0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7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7D"/>
    <w:rsid w:val="001116A1"/>
    <w:rsid w:val="00187C65"/>
    <w:rsid w:val="00246870"/>
    <w:rsid w:val="002A078E"/>
    <w:rsid w:val="002E3A34"/>
    <w:rsid w:val="00342688"/>
    <w:rsid w:val="003A0BA6"/>
    <w:rsid w:val="003A2E0D"/>
    <w:rsid w:val="003B32D5"/>
    <w:rsid w:val="003D606A"/>
    <w:rsid w:val="00421448"/>
    <w:rsid w:val="004F7B45"/>
    <w:rsid w:val="005D01E6"/>
    <w:rsid w:val="0060409B"/>
    <w:rsid w:val="00631499"/>
    <w:rsid w:val="006466C2"/>
    <w:rsid w:val="006D44A7"/>
    <w:rsid w:val="00754447"/>
    <w:rsid w:val="00827862"/>
    <w:rsid w:val="00897C57"/>
    <w:rsid w:val="00905332"/>
    <w:rsid w:val="00940434"/>
    <w:rsid w:val="009F4FC5"/>
    <w:rsid w:val="00BD5E08"/>
    <w:rsid w:val="00BF0451"/>
    <w:rsid w:val="00C44D7D"/>
    <w:rsid w:val="00C53E89"/>
    <w:rsid w:val="00E55262"/>
    <w:rsid w:val="00F4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96759-23EA-4A4C-B478-85A7E559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</dc:creator>
  <cp:keywords/>
  <dc:description/>
  <cp:lastModifiedBy>Экономист-12</cp:lastModifiedBy>
  <cp:revision>19</cp:revision>
  <cp:lastPrinted>2011-04-22T02:39:00Z</cp:lastPrinted>
  <dcterms:created xsi:type="dcterms:W3CDTF">2011-04-20T05:02:00Z</dcterms:created>
  <dcterms:modified xsi:type="dcterms:W3CDTF">2012-02-01T07:57:00Z</dcterms:modified>
</cp:coreProperties>
</file>