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85" w:rsidRPr="00850351" w:rsidRDefault="009B5A85" w:rsidP="009B5A85">
      <w:pPr>
        <w:spacing w:after="0" w:line="240" w:lineRule="auto"/>
        <w:jc w:val="right"/>
        <w:outlineLvl w:val="0"/>
        <w:rPr>
          <w:rFonts w:ascii="Times New Roman" w:hAnsi="Times New Roman" w:cs="Times New Roman"/>
          <w:sz w:val="28"/>
          <w:szCs w:val="28"/>
          <w:lang w:val="en-US"/>
        </w:rPr>
      </w:pPr>
    </w:p>
    <w:p w:rsidR="009B5A85" w:rsidRPr="00850351" w:rsidRDefault="00BD799A" w:rsidP="009B5A8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60288" filled="f" stroked="f">
            <v:textbox style="mso-next-textbox:#_x0000_s1026">
              <w:txbxContent>
                <w:p w:rsidR="009B5A85" w:rsidRPr="009412EB" w:rsidRDefault="009B5A85" w:rsidP="009B5A85">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Заказчик</w:t>
                  </w:r>
                </w:p>
                <w:p w:rsidR="009B5A85" w:rsidRPr="009412EB" w:rsidRDefault="009B5A85" w:rsidP="009B5A85">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p>
                <w:p w:rsidR="009B5A85" w:rsidRDefault="009B5A85" w:rsidP="009B5A85">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9B5A85" w:rsidRDefault="009B5A85" w:rsidP="009B5A85">
                  <w:pPr>
                    <w:rPr>
                      <w:sz w:val="28"/>
                      <w:szCs w:val="28"/>
                    </w:rPr>
                  </w:pPr>
                </w:p>
                <w:p w:rsidR="009B5A85" w:rsidRDefault="009B5A85" w:rsidP="009B5A85">
                  <w:pPr>
                    <w:rPr>
                      <w:color w:val="FF0000"/>
                      <w:sz w:val="28"/>
                      <w:szCs w:val="28"/>
                    </w:rPr>
                  </w:pPr>
                </w:p>
                <w:p w:rsidR="009B5A85" w:rsidRPr="00ED1830" w:rsidRDefault="009B5A85" w:rsidP="009B5A85">
                  <w:pPr>
                    <w:rPr>
                      <w:color w:val="FF0000"/>
                      <w:sz w:val="28"/>
                      <w:szCs w:val="28"/>
                    </w:rPr>
                  </w:pPr>
                </w:p>
              </w:txbxContent>
            </v:textbox>
          </v:shape>
        </w:pict>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9412EB"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9B5A85" w:rsidRPr="00246B51"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Pr>
          <w:rFonts w:ascii="Times New Roman" w:hAnsi="Times New Roman" w:cs="Times New Roman"/>
          <w:b/>
          <w:sz w:val="40"/>
          <w:szCs w:val="40"/>
        </w:rPr>
        <w:t xml:space="preserve">услуг по организации и проведению праздничных мероприятий, посвященных Дню Победы, для жителей </w:t>
      </w:r>
      <w:r w:rsidR="001D0BC6">
        <w:rPr>
          <w:rFonts w:ascii="Times New Roman" w:hAnsi="Times New Roman" w:cs="Times New Roman"/>
          <w:b/>
          <w:sz w:val="40"/>
          <w:szCs w:val="40"/>
        </w:rPr>
        <w:t>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1D0BC6">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Pr="00850351">
        <w:rPr>
          <w:rFonts w:ascii="Times New Roman" w:hAnsi="Times New Roman" w:cs="Times New Roman"/>
          <w:sz w:val="28"/>
          <w:szCs w:val="28"/>
        </w:rPr>
        <w:t xml:space="preserve"> год</w:t>
      </w:r>
    </w:p>
    <w:p w:rsidR="009B5A85" w:rsidRPr="00850351" w:rsidRDefault="009B5A85" w:rsidP="009B5A85">
      <w:pPr>
        <w:pStyle w:val="a3"/>
        <w:jc w:val="center"/>
        <w:rPr>
          <w:sz w:val="28"/>
          <w:szCs w:val="28"/>
        </w:rPr>
        <w:sectPr w:rsidR="009B5A85" w:rsidRPr="00850351" w:rsidSect="00335905">
          <w:footerReference w:type="even" r:id="rId7"/>
          <w:footerReference w:type="default" r:id="rId8"/>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9B5A85" w:rsidRPr="00850351" w:rsidRDefault="009B5A85" w:rsidP="00F813B2">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9B5A85" w:rsidRPr="00403549" w:rsidRDefault="009B5A85" w:rsidP="00F813B2">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B5A85" w:rsidRPr="00651C49" w:rsidRDefault="00651C49" w:rsidP="00F813B2">
            <w:pPr>
              <w:spacing w:after="0" w:line="240" w:lineRule="auto"/>
              <w:jc w:val="both"/>
              <w:outlineLvl w:val="0"/>
              <w:rPr>
                <w:rFonts w:ascii="Times New Roman" w:hAnsi="Times New Roman" w:cs="Times New Roman"/>
                <w:sz w:val="28"/>
                <w:szCs w:val="28"/>
              </w:rPr>
            </w:pPr>
            <w:r w:rsidRPr="00651C49">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9B5A85" w:rsidRPr="00850351" w:rsidRDefault="00651C49" w:rsidP="00651C4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9B5A85">
              <w:rPr>
                <w:rFonts w:ascii="Times New Roman" w:hAnsi="Times New Roman" w:cs="Times New Roman"/>
                <w:sz w:val="28"/>
                <w:szCs w:val="28"/>
              </w:rPr>
              <w:t>0 000,00</w:t>
            </w:r>
            <w:r w:rsidR="009B5A85" w:rsidRPr="00850351">
              <w:rPr>
                <w:rFonts w:ascii="Times New Roman" w:hAnsi="Times New Roman" w:cs="Times New Roman"/>
                <w:sz w:val="28"/>
                <w:szCs w:val="28"/>
              </w:rPr>
              <w:t xml:space="preserve"> (</w:t>
            </w:r>
            <w:r w:rsidR="009B5A85">
              <w:rPr>
                <w:rFonts w:ascii="Times New Roman" w:hAnsi="Times New Roman" w:cs="Times New Roman"/>
                <w:sz w:val="28"/>
                <w:szCs w:val="28"/>
              </w:rPr>
              <w:t xml:space="preserve">Сто </w:t>
            </w:r>
            <w:r>
              <w:rPr>
                <w:rFonts w:ascii="Times New Roman" w:hAnsi="Times New Roman" w:cs="Times New Roman"/>
                <w:sz w:val="28"/>
                <w:szCs w:val="28"/>
              </w:rPr>
              <w:t>пятьдесят</w:t>
            </w:r>
            <w:r w:rsidR="009B5A85">
              <w:rPr>
                <w:rFonts w:ascii="Times New Roman" w:hAnsi="Times New Roman" w:cs="Times New Roman"/>
                <w:sz w:val="28"/>
                <w:szCs w:val="28"/>
              </w:rPr>
              <w:t xml:space="preserve"> тысяч</w:t>
            </w:r>
            <w:r w:rsidR="009B5A85" w:rsidRPr="00850351">
              <w:rPr>
                <w:rFonts w:ascii="Times New Roman" w:hAnsi="Times New Roman" w:cs="Times New Roman"/>
                <w:sz w:val="28"/>
                <w:szCs w:val="28"/>
              </w:rPr>
              <w:t>) рублей 00 копеек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9B5A85" w:rsidRPr="00651C49" w:rsidRDefault="00651C49" w:rsidP="00F813B2">
            <w:pPr>
              <w:pStyle w:val="ConsPlusNormal"/>
              <w:widowControl/>
              <w:ind w:firstLine="0"/>
              <w:jc w:val="both"/>
              <w:rPr>
                <w:rFonts w:ascii="Times New Roman" w:hAnsi="Times New Roman" w:cs="Times New Roman"/>
                <w:sz w:val="28"/>
                <w:szCs w:val="28"/>
              </w:rPr>
            </w:pPr>
            <w:r w:rsidRPr="00651C49">
              <w:rPr>
                <w:rFonts w:ascii="Times New Roman" w:hAnsi="Times New Roman" w:cs="Times New Roman"/>
                <w:sz w:val="28"/>
                <w:szCs w:val="28"/>
              </w:rPr>
              <w:lastRenderedPageBreak/>
              <w:t xml:space="preserve">В соответствии с Постановлением администрации города Перми № 13-П от 27.01.2012 года "Об </w:t>
            </w:r>
            <w:r w:rsidRPr="00651C49">
              <w:rPr>
                <w:rFonts w:ascii="Times New Roman" w:hAnsi="Times New Roman" w:cs="Times New Roman"/>
                <w:sz w:val="28"/>
                <w:szCs w:val="28"/>
              </w:rPr>
              <w:lastRenderedPageBreak/>
              <w:t>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 и планом мероприятий, составленным с учетом среднерыночных цен, исходя из запросов прайсов на проведение культурно-массовых мероприятий у потенциальных участников запроса котировок.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9B5A85" w:rsidRPr="00702CCC" w:rsidRDefault="009B5A85" w:rsidP="00651C49">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Pr>
                <w:rFonts w:ascii="Times New Roman" w:hAnsi="Times New Roman" w:cs="Times New Roman"/>
                <w:sz w:val="28"/>
                <w:szCs w:val="28"/>
              </w:rPr>
              <w:t xml:space="preserve"> на </w:t>
            </w:r>
            <w:r w:rsidRPr="00570530">
              <w:rPr>
                <w:rFonts w:ascii="Times New Roman" w:hAnsi="Times New Roman" w:cs="Times New Roman"/>
                <w:sz w:val="28"/>
                <w:szCs w:val="28"/>
              </w:rPr>
              <w:t xml:space="preserve">оказание услуг </w:t>
            </w:r>
            <w:r w:rsidR="00651C49" w:rsidRPr="00651C49">
              <w:rPr>
                <w:rFonts w:ascii="Times New Roman" w:hAnsi="Times New Roman" w:cs="Times New Roman"/>
                <w:sz w:val="28"/>
                <w:szCs w:val="28"/>
              </w:rPr>
              <w:t>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EA7068" w:rsidRDefault="009B5A85" w:rsidP="00F813B2">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p>
        </w:tc>
        <w:tc>
          <w:tcPr>
            <w:tcW w:w="7074" w:type="dxa"/>
            <w:shd w:val="clear" w:color="auto" w:fill="FFFFFF"/>
          </w:tcPr>
          <w:p w:rsidR="009B5A85" w:rsidRPr="00702CCC" w:rsidRDefault="009B5A85" w:rsidP="00651C49">
            <w:pPr>
              <w:spacing w:after="0" w:line="240" w:lineRule="auto"/>
              <w:jc w:val="both"/>
              <w:outlineLvl w:val="0"/>
              <w:rPr>
                <w:rFonts w:ascii="Times New Roman" w:hAnsi="Times New Roman" w:cs="Times New Roman"/>
                <w:b/>
                <w:sz w:val="40"/>
                <w:szCs w:val="40"/>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техническим заданием</w:t>
            </w:r>
            <w:r w:rsidR="00651C49">
              <w:rPr>
                <w:rFonts w:ascii="Times New Roman" w:hAnsi="Times New Roman" w:cs="Times New Roman"/>
                <w:sz w:val="28"/>
                <w:szCs w:val="28"/>
              </w:rPr>
              <w:t xml:space="preserve"> на </w:t>
            </w:r>
            <w:r w:rsidR="00651C49" w:rsidRPr="00570530">
              <w:rPr>
                <w:rFonts w:ascii="Times New Roman" w:hAnsi="Times New Roman" w:cs="Times New Roman"/>
                <w:sz w:val="28"/>
                <w:szCs w:val="28"/>
              </w:rPr>
              <w:t xml:space="preserve">оказание услуг </w:t>
            </w:r>
            <w:r w:rsidR="00651C49" w:rsidRPr="00651C49">
              <w:rPr>
                <w:rFonts w:ascii="Times New Roman" w:hAnsi="Times New Roman" w:cs="Times New Roman"/>
                <w:sz w:val="28"/>
                <w:szCs w:val="28"/>
              </w:rPr>
              <w:t>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Pr="00E02C09">
              <w:rPr>
                <w:rFonts w:ascii="Times New Roman" w:hAnsi="Times New Roman" w:cs="Times New Roman"/>
                <w:sz w:val="28"/>
                <w:szCs w:val="28"/>
              </w:rPr>
              <w:t xml:space="preserve"> (Приложение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9B5A85" w:rsidRPr="00570530" w:rsidRDefault="009B5A85" w:rsidP="00651C49">
            <w:pPr>
              <w:spacing w:after="0" w:line="240" w:lineRule="auto"/>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город Пермь, ул</w:t>
            </w:r>
            <w:r w:rsidR="00651C49">
              <w:rPr>
                <w:rFonts w:ascii="Times New Roman" w:hAnsi="Times New Roman" w:cs="Times New Roman"/>
                <w:color w:val="000000"/>
                <w:sz w:val="28"/>
                <w:szCs w:val="28"/>
              </w:rPr>
              <w:t xml:space="preserve">. Никулина,41, ТОС Гусарова </w:t>
            </w:r>
            <w:r>
              <w:rPr>
                <w:rFonts w:ascii="Times New Roman" w:hAnsi="Times New Roman" w:cs="Times New Roman"/>
                <w:color w:val="000000"/>
                <w:sz w:val="28"/>
                <w:szCs w:val="28"/>
              </w:rPr>
              <w:t xml:space="preserve"> </w:t>
            </w:r>
            <w:r w:rsidRPr="00702CCC">
              <w:rPr>
                <w:rFonts w:ascii="Times New Roman" w:hAnsi="Times New Roman" w:cs="Times New Roman"/>
                <w:color w:val="000000"/>
                <w:sz w:val="28"/>
                <w:szCs w:val="28"/>
              </w:rPr>
              <w:t xml:space="preserve">(в </w:t>
            </w:r>
            <w:r w:rsidRPr="00702CCC">
              <w:rPr>
                <w:rFonts w:ascii="Times New Roman" w:hAnsi="Times New Roman" w:cs="Times New Roman"/>
                <w:color w:val="000000"/>
                <w:sz w:val="28"/>
                <w:szCs w:val="28"/>
              </w:rPr>
              <w:lastRenderedPageBreak/>
              <w:t xml:space="preserve">соответствии с техническим заданием на </w:t>
            </w:r>
            <w:r w:rsidRPr="00570530">
              <w:rPr>
                <w:rFonts w:ascii="Times New Roman" w:hAnsi="Times New Roman" w:cs="Times New Roman"/>
                <w:sz w:val="28"/>
                <w:szCs w:val="28"/>
              </w:rPr>
              <w:t>оказание услуг по</w:t>
            </w:r>
            <w:r w:rsidR="00651C49">
              <w:rPr>
                <w:rFonts w:ascii="Times New Roman" w:hAnsi="Times New Roman" w:cs="Times New Roman"/>
                <w:sz w:val="28"/>
                <w:szCs w:val="28"/>
              </w:rPr>
              <w:t xml:space="preserve"> </w:t>
            </w:r>
            <w:r w:rsidR="00651C49" w:rsidRPr="00651C49">
              <w:rPr>
                <w:rFonts w:ascii="Times New Roman" w:hAnsi="Times New Roman" w:cs="Times New Roman"/>
                <w:sz w:val="28"/>
                <w:szCs w:val="28"/>
              </w:rPr>
              <w:t>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00651C49" w:rsidRPr="00E02C09">
              <w:rPr>
                <w:rFonts w:ascii="Times New Roman" w:hAnsi="Times New Roman" w:cs="Times New Roman"/>
                <w:sz w:val="28"/>
                <w:szCs w:val="28"/>
              </w:rPr>
              <w:t xml:space="preserve"> </w:t>
            </w:r>
            <w:r w:rsidRPr="00570530">
              <w:rPr>
                <w:rFonts w:ascii="Times New Roman" w:hAnsi="Times New Roman" w:cs="Times New Roman"/>
                <w:sz w:val="28"/>
                <w:szCs w:val="28"/>
              </w:rPr>
              <w:t xml:space="preserve"> </w:t>
            </w:r>
            <w:r w:rsidRPr="00702CCC">
              <w:rPr>
                <w:rFonts w:ascii="Times New Roman" w:hAnsi="Times New Roman" w:cs="Times New Roman"/>
                <w:sz w:val="28"/>
                <w:szCs w:val="28"/>
              </w:rPr>
              <w:t>(Приложение № 1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9B5A85" w:rsidRPr="00850351" w:rsidRDefault="00651C49" w:rsidP="00651C49">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момента заключения муниципального контракта по </w:t>
            </w:r>
            <w:r w:rsidR="009B5A85">
              <w:rPr>
                <w:rFonts w:ascii="Times New Roman" w:hAnsi="Times New Roman" w:cs="Times New Roman"/>
                <w:sz w:val="28"/>
                <w:szCs w:val="28"/>
              </w:rPr>
              <w:t>09</w:t>
            </w:r>
            <w:r>
              <w:rPr>
                <w:rFonts w:ascii="Times New Roman" w:hAnsi="Times New Roman" w:cs="Times New Roman"/>
                <w:sz w:val="28"/>
                <w:szCs w:val="28"/>
              </w:rPr>
              <w:t xml:space="preserve"> мая .2012 года </w:t>
            </w:r>
            <w:r w:rsidR="009B5A85">
              <w:rPr>
                <w:rFonts w:ascii="Times New Roman" w:hAnsi="Times New Roman" w:cs="Times New Roman"/>
                <w:sz w:val="28"/>
                <w:szCs w:val="28"/>
              </w:rPr>
              <w:t xml:space="preserve"> </w:t>
            </w:r>
            <w:r>
              <w:rPr>
                <w:rFonts w:ascii="Times New Roman" w:hAnsi="Times New Roman" w:cs="Times New Roman"/>
                <w:sz w:val="28"/>
                <w:szCs w:val="28"/>
              </w:rPr>
              <w:t xml:space="preserve">(время проведения мероприятия </w:t>
            </w:r>
            <w:r w:rsidR="009B5A85">
              <w:rPr>
                <w:rFonts w:ascii="Times New Roman" w:hAnsi="Times New Roman" w:cs="Times New Roman"/>
                <w:sz w:val="28"/>
                <w:szCs w:val="28"/>
              </w:rPr>
              <w:t>время по согласованию с Заказчиком</w:t>
            </w:r>
            <w:r>
              <w:rPr>
                <w:rFonts w:ascii="Times New Roman" w:hAnsi="Times New Roman" w:cs="Times New Roman"/>
                <w:sz w:val="28"/>
                <w:szCs w:val="28"/>
              </w:rPr>
              <w:t>)</w:t>
            </w:r>
            <w:r w:rsidR="009B5A85">
              <w:rPr>
                <w:rFonts w:ascii="Times New Roman" w:hAnsi="Times New Roman" w:cs="Times New Roman"/>
                <w:sz w:val="28"/>
                <w:szCs w:val="28"/>
              </w:rPr>
              <w:t xml:space="preserve">,  </w:t>
            </w:r>
            <w:r>
              <w:rPr>
                <w:rFonts w:ascii="Times New Roman" w:hAnsi="Times New Roman" w:cs="Times New Roman"/>
                <w:sz w:val="28"/>
                <w:szCs w:val="28"/>
              </w:rPr>
              <w:t xml:space="preserve"> </w:t>
            </w:r>
            <w:r w:rsidR="009B5A85">
              <w:rPr>
                <w:rFonts w:ascii="Times New Roman" w:hAnsi="Times New Roman" w:cs="Times New Roman"/>
                <w:sz w:val="28"/>
                <w:szCs w:val="28"/>
              </w:rPr>
              <w:t xml:space="preserve"> </w:t>
            </w:r>
            <w:r w:rsidR="009B5A85" w:rsidRPr="00D3472A">
              <w:rPr>
                <w:rFonts w:ascii="Times New Roman" w:hAnsi="Times New Roman" w:cs="Times New Roman"/>
                <w:sz w:val="28"/>
                <w:szCs w:val="28"/>
              </w:rPr>
              <w:t>(</w:t>
            </w:r>
            <w:r w:rsidR="009B5A85" w:rsidRPr="00D3472A">
              <w:rPr>
                <w:rFonts w:ascii="Times New Roman" w:hAnsi="Times New Roman" w:cs="Times New Roman"/>
                <w:color w:val="000000"/>
                <w:sz w:val="28"/>
                <w:szCs w:val="28"/>
              </w:rPr>
              <w:t xml:space="preserve">в соответствии с техническим заданием на </w:t>
            </w:r>
            <w:r w:rsidR="009B5A85" w:rsidRPr="00570530">
              <w:rPr>
                <w:rFonts w:ascii="Times New Roman" w:hAnsi="Times New Roman" w:cs="Times New Roman"/>
                <w:sz w:val="28"/>
                <w:szCs w:val="28"/>
              </w:rPr>
              <w:t>оказание услуг по</w:t>
            </w:r>
            <w:r>
              <w:rPr>
                <w:rFonts w:ascii="Times New Roman" w:hAnsi="Times New Roman" w:cs="Times New Roman"/>
                <w:sz w:val="28"/>
                <w:szCs w:val="28"/>
              </w:rPr>
              <w:t xml:space="preserve"> </w:t>
            </w:r>
            <w:r w:rsidRPr="00651C49">
              <w:rPr>
                <w:rFonts w:ascii="Times New Roman" w:hAnsi="Times New Roman" w:cs="Times New Roman"/>
                <w:sz w:val="28"/>
                <w:szCs w:val="28"/>
              </w:rPr>
              <w:t>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Pr="00850351">
              <w:rPr>
                <w:rFonts w:ascii="Times New Roman" w:hAnsi="Times New Roman" w:cs="Times New Roman"/>
                <w:sz w:val="28"/>
                <w:szCs w:val="28"/>
              </w:rPr>
              <w:t xml:space="preserve"> </w:t>
            </w:r>
            <w:r w:rsidRPr="00E02C09">
              <w:rPr>
                <w:rFonts w:ascii="Times New Roman" w:hAnsi="Times New Roman" w:cs="Times New Roman"/>
                <w:sz w:val="28"/>
                <w:szCs w:val="28"/>
              </w:rPr>
              <w:t xml:space="preserve"> </w:t>
            </w:r>
            <w:r w:rsidR="009B5A85" w:rsidRPr="00570530">
              <w:rPr>
                <w:rFonts w:ascii="Times New Roman" w:hAnsi="Times New Roman" w:cs="Times New Roman"/>
                <w:sz w:val="28"/>
                <w:szCs w:val="28"/>
              </w:rPr>
              <w:t xml:space="preserve"> </w:t>
            </w:r>
            <w:r w:rsidR="009B5A85" w:rsidRPr="00D3472A">
              <w:rPr>
                <w:rFonts w:ascii="Times New Roman" w:hAnsi="Times New Roman" w:cs="Times New Roman"/>
                <w:sz w:val="28"/>
                <w:szCs w:val="28"/>
              </w:rPr>
              <w:t>(Приложение № 1 к документации об открытом аукционе в электронной форме)</w:t>
            </w:r>
            <w:r w:rsidR="009B5A85">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F65D7F" w:rsidRDefault="009B5A85" w:rsidP="00F813B2">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9B5A85" w:rsidRPr="00F65D7F" w:rsidRDefault="009B5A85" w:rsidP="00F813B2">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9B5A85" w:rsidRPr="00850351" w:rsidRDefault="009B5A85" w:rsidP="00F813B2">
            <w:pPr>
              <w:pStyle w:val="a3"/>
              <w:rPr>
                <w:sz w:val="28"/>
                <w:szCs w:val="28"/>
              </w:rPr>
            </w:pPr>
            <w:r w:rsidRPr="00850351">
              <w:rPr>
                <w:sz w:val="28"/>
                <w:szCs w:val="28"/>
              </w:rPr>
              <w:t>Бюджет города Перми.</w:t>
            </w:r>
          </w:p>
        </w:tc>
      </w:tr>
      <w:tr w:rsidR="009B5A85" w:rsidRPr="00850351" w:rsidTr="00F813B2">
        <w:trPr>
          <w:tblCellSpacing w:w="20" w:type="dxa"/>
        </w:trPr>
        <w:tc>
          <w:tcPr>
            <w:tcW w:w="3552" w:type="dxa"/>
            <w:gridSpan w:val="3"/>
            <w:shd w:val="clear" w:color="auto" w:fill="FFFFFF"/>
          </w:tcPr>
          <w:p w:rsidR="009B5A85" w:rsidRPr="00CB1D98" w:rsidRDefault="009B5A85" w:rsidP="00F813B2">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должна включать все расходы, уплату налогов, налогов, сборов и других обязательных платежей, которые могут возникнуть при исполнении контракта.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CB1D98">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9B5A85" w:rsidRPr="00CB1D98"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9B5A85" w:rsidRPr="00D43C02" w:rsidTr="00F813B2">
        <w:trPr>
          <w:trHeight w:val="325"/>
          <w:tblCellSpacing w:w="20" w:type="dxa"/>
        </w:trPr>
        <w:tc>
          <w:tcPr>
            <w:tcW w:w="10666" w:type="dxa"/>
            <w:gridSpan w:val="4"/>
            <w:tcBorders>
              <w:bottom w:val="inset" w:sz="6" w:space="0" w:color="auto"/>
            </w:tcBorders>
            <w:shd w:val="clear" w:color="auto" w:fill="FFFFFF"/>
          </w:tcPr>
          <w:p w:rsidR="009B5A85" w:rsidRPr="004F2D36" w:rsidRDefault="009B5A85" w:rsidP="00F813B2">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B5A85" w:rsidRPr="00D43C02" w:rsidTr="00F813B2">
        <w:trPr>
          <w:trHeight w:val="168"/>
          <w:tblCellSpacing w:w="20" w:type="dxa"/>
        </w:trPr>
        <w:tc>
          <w:tcPr>
            <w:tcW w:w="10666" w:type="dxa"/>
            <w:gridSpan w:val="4"/>
            <w:tcBorders>
              <w:top w:val="inset" w:sz="6" w:space="0" w:color="auto"/>
            </w:tcBorders>
            <w:shd w:val="clear" w:color="auto" w:fill="FFFFFF"/>
          </w:tcPr>
          <w:p w:rsidR="009B5A85" w:rsidRPr="004F2D36" w:rsidRDefault="009B5A85" w:rsidP="00F813B2">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 xml:space="preserve">При размещении заказа путем проведения открытого аукциона в электронной форме </w:t>
            </w:r>
            <w:r w:rsidRPr="004F2D36">
              <w:rPr>
                <w:rFonts w:ascii="Times New Roman" w:hAnsi="Times New Roman" w:cs="Times New Roman"/>
                <w:sz w:val="28"/>
                <w:szCs w:val="28"/>
              </w:rPr>
              <w:lastRenderedPageBreak/>
              <w:t>устанавливаются следующие обязательные требования к участникам размещения заказа:</w:t>
            </w:r>
          </w:p>
        </w:tc>
      </w:tr>
      <w:tr w:rsidR="009B5A85" w:rsidRPr="00D43C02" w:rsidTr="00F813B2">
        <w:trPr>
          <w:trHeight w:val="8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B5A85" w:rsidRPr="00D43C02" w:rsidTr="00F813B2">
        <w:trPr>
          <w:trHeight w:val="840"/>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B5A85" w:rsidRPr="00D43C02" w:rsidTr="00F813B2">
        <w:trPr>
          <w:trHeight w:val="715"/>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B5A85" w:rsidRPr="00D43C02" w:rsidTr="00F813B2">
        <w:trPr>
          <w:trHeight w:val="2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xml:space="preserve">,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w:t>
            </w:r>
            <w:r>
              <w:rPr>
                <w:rFonts w:ascii="Times New Roman" w:hAnsi="Times New Roman" w:cs="Times New Roman"/>
                <w:sz w:val="28"/>
                <w:szCs w:val="28"/>
              </w:rPr>
              <w:lastRenderedPageBreak/>
              <w:t>указания на товарный знак используемого товара.</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51C49">
              <w:rPr>
                <w:rFonts w:ascii="Times New Roman" w:hAnsi="Times New Roman" w:cs="Times New Roman"/>
                <w:bCs/>
                <w:sz w:val="28"/>
                <w:szCs w:val="28"/>
              </w:rPr>
              <w:t>7 5</w:t>
            </w:r>
            <w:r>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651C49">
              <w:rPr>
                <w:rFonts w:ascii="Times New Roman" w:hAnsi="Times New Roman" w:cs="Times New Roman"/>
                <w:bCs/>
                <w:sz w:val="28"/>
                <w:szCs w:val="28"/>
              </w:rPr>
              <w:t>Семь</w:t>
            </w:r>
            <w:r>
              <w:rPr>
                <w:rFonts w:ascii="Times New Roman" w:hAnsi="Times New Roman" w:cs="Times New Roman"/>
                <w:bCs/>
                <w:sz w:val="28"/>
                <w:szCs w:val="28"/>
              </w:rPr>
              <w:t xml:space="preserve"> тысяч </w:t>
            </w:r>
            <w:r w:rsidR="00651C49">
              <w:rPr>
                <w:rFonts w:ascii="Times New Roman" w:hAnsi="Times New Roman" w:cs="Times New Roman"/>
                <w:bCs/>
                <w:sz w:val="28"/>
                <w:szCs w:val="28"/>
              </w:rPr>
              <w:t xml:space="preserve">пятьсот </w:t>
            </w:r>
            <w:r>
              <w:rPr>
                <w:rFonts w:ascii="Times New Roman" w:hAnsi="Times New Roman" w:cs="Times New Roman"/>
                <w:bCs/>
                <w:sz w:val="28"/>
                <w:szCs w:val="28"/>
              </w:rPr>
              <w:t>рублей) 00 копеек.</w:t>
            </w:r>
          </w:p>
          <w:p w:rsidR="009B5A85" w:rsidRPr="00BA5417" w:rsidRDefault="009B5A85" w:rsidP="00F813B2">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A20BB" w:rsidRDefault="005F7B2D"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B5A85">
              <w:rPr>
                <w:rFonts w:ascii="Times New Roman" w:hAnsi="Times New Roman" w:cs="Times New Roman"/>
                <w:sz w:val="28"/>
                <w:szCs w:val="28"/>
              </w:rPr>
              <w:t>.04.2012</w:t>
            </w:r>
          </w:p>
          <w:p w:rsidR="009B5A85" w:rsidRPr="00850351" w:rsidRDefault="009B5A85"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1338C4"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B5A85" w:rsidRPr="00850351"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6F3A75"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20</w:t>
            </w:r>
            <w:r w:rsidR="009B5A85">
              <w:rPr>
                <w:rFonts w:ascii="Times New Roman" w:hAnsi="Times New Roman" w:cs="Times New Roman"/>
                <w:sz w:val="28"/>
                <w:szCs w:val="28"/>
              </w:rPr>
              <w:t>.04</w:t>
            </w:r>
            <w:r w:rsidR="009B5A85" w:rsidRPr="003A20BB">
              <w:rPr>
                <w:rFonts w:ascii="Times New Roman" w:hAnsi="Times New Roman" w:cs="Times New Roman"/>
                <w:sz w:val="28"/>
                <w:szCs w:val="28"/>
              </w:rPr>
              <w:t>.201</w:t>
            </w:r>
            <w:r w:rsidR="009B5A85">
              <w:rPr>
                <w:rFonts w:ascii="Times New Roman" w:hAnsi="Times New Roman" w:cs="Times New Roman"/>
                <w:sz w:val="28"/>
                <w:szCs w:val="28"/>
              </w:rPr>
              <w:t>2</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A20BB" w:rsidRDefault="006F3A75" w:rsidP="00F813B2">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23</w:t>
            </w:r>
            <w:r w:rsidR="009B5A85">
              <w:rPr>
                <w:rFonts w:ascii="Times New Roman" w:hAnsi="Times New Roman" w:cs="Times New Roman"/>
                <w:sz w:val="28"/>
                <w:szCs w:val="28"/>
              </w:rPr>
              <w:t>.04.2012</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B5A85" w:rsidRPr="00C5336B" w:rsidRDefault="009B5A85" w:rsidP="00651C49">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651C49">
              <w:rPr>
                <w:sz w:val="28"/>
                <w:szCs w:val="28"/>
              </w:rPr>
              <w:t>15</w:t>
            </w:r>
            <w:r>
              <w:rPr>
                <w:sz w:val="28"/>
                <w:szCs w:val="28"/>
              </w:rPr>
              <w:t xml:space="preserve"> 000,00</w:t>
            </w:r>
            <w:r w:rsidRPr="00850351">
              <w:rPr>
                <w:sz w:val="28"/>
                <w:szCs w:val="28"/>
              </w:rPr>
              <w:t xml:space="preserve"> (</w:t>
            </w:r>
            <w:r w:rsidR="00651C49">
              <w:rPr>
                <w:sz w:val="28"/>
                <w:szCs w:val="28"/>
              </w:rPr>
              <w:t>Пятнадцать</w:t>
            </w:r>
            <w:r w:rsidRPr="00850351">
              <w:rPr>
                <w:sz w:val="28"/>
                <w:szCs w:val="28"/>
              </w:rPr>
              <w:t xml:space="preserve"> тысяч</w:t>
            </w:r>
            <w:r>
              <w:rPr>
                <w:sz w:val="28"/>
                <w:szCs w:val="28"/>
              </w:rPr>
              <w:t>) рублей 00 копеек</w:t>
            </w:r>
            <w:r w:rsidRPr="00850351">
              <w:rPr>
                <w:sz w:val="28"/>
                <w:szCs w:val="28"/>
              </w:rPr>
              <w:t>.</w:t>
            </w:r>
            <w:r w:rsidRPr="00850351">
              <w:rPr>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9B5A85" w:rsidRPr="00850351" w:rsidRDefault="009B5A85" w:rsidP="00F813B2">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B5A85" w:rsidRPr="00850351" w:rsidRDefault="009B5A85" w:rsidP="00F813B2">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B5A85" w:rsidRPr="00850351" w:rsidRDefault="009B5A85" w:rsidP="00F813B2">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2) чистая прибыль поручителя, указанная в соответствующем разделе бухгалтерской отчетности, должна превышать не менее чем в три раза размер </w:t>
            </w:r>
            <w:r w:rsidRPr="00850351">
              <w:rPr>
                <w:rFonts w:ascii="Times New Roman" w:hAnsi="Times New Roman" w:cs="Times New Roman"/>
                <w:sz w:val="28"/>
                <w:szCs w:val="28"/>
              </w:rPr>
              <w:lastRenderedPageBreak/>
              <w:t>поручительства или размер чистой прибыли поручителя должен составлять более чем сто миллионов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B5A85" w:rsidRPr="00850351" w:rsidTr="00B81DF9">
        <w:trPr>
          <w:trHeight w:val="871"/>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B5A85" w:rsidRPr="00850351" w:rsidRDefault="009B5A85" w:rsidP="00F813B2">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w:t>
            </w:r>
            <w:r w:rsidRPr="00850351">
              <w:rPr>
                <w:rFonts w:ascii="Times New Roman" w:hAnsi="Times New Roman" w:cs="Times New Roman"/>
                <w:sz w:val="28"/>
                <w:szCs w:val="28"/>
              </w:rPr>
              <w:lastRenderedPageBreak/>
              <w:t xml:space="preserve">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B5A85" w:rsidRPr="00850351" w:rsidTr="00F813B2">
              <w:trPr>
                <w:trHeight w:val="1006"/>
              </w:trPr>
              <w:tc>
                <w:tcPr>
                  <w:tcW w:w="1736" w:type="dxa"/>
                  <w:shd w:val="clear" w:color="auto" w:fill="auto"/>
                </w:tcPr>
                <w:p w:rsidR="009B5A85" w:rsidRPr="00850351" w:rsidRDefault="009B5A85" w:rsidP="00F813B2">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B5A85" w:rsidRPr="00DD2B3D" w:rsidRDefault="009B5A85" w:rsidP="00F813B2">
                  <w:pPr>
                    <w:spacing w:after="0" w:line="240" w:lineRule="auto"/>
                    <w:jc w:val="both"/>
                    <w:rPr>
                      <w:rFonts w:ascii="Times New Roman" w:hAnsi="Times New Roman" w:cs="Times New Roman"/>
                      <w:sz w:val="28"/>
                      <w:szCs w:val="28"/>
                    </w:rPr>
                  </w:pPr>
                </w:p>
              </w:tc>
              <w:tc>
                <w:tcPr>
                  <w:tcW w:w="5092" w:type="dxa"/>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B5A85" w:rsidRPr="00850351" w:rsidTr="00B81DF9">
              <w:trPr>
                <w:trHeight w:val="878"/>
              </w:trPr>
              <w:tc>
                <w:tcPr>
                  <w:tcW w:w="6828" w:type="dxa"/>
                  <w:gridSpan w:val="2"/>
                  <w:tcBorders>
                    <w:bottom w:val="single" w:sz="4" w:space="0" w:color="auto"/>
                  </w:tcBorders>
                  <w:shd w:val="clear" w:color="auto" w:fill="auto"/>
                </w:tcPr>
                <w:p w:rsidR="009B5A85" w:rsidRDefault="009B5A85" w:rsidP="00F813B2">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B5A85" w:rsidRPr="00DD2B3D" w:rsidRDefault="009B5A85" w:rsidP="00F813B2">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B5A85" w:rsidRPr="00850351" w:rsidRDefault="009B5A85" w:rsidP="00F813B2">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B5A85" w:rsidRPr="00850351" w:rsidRDefault="009B5A85" w:rsidP="00F813B2">
            <w:pPr>
              <w:pStyle w:val="a3"/>
              <w:rPr>
                <w:color w:val="FFFF00"/>
                <w:sz w:val="28"/>
                <w:szCs w:val="28"/>
                <w:highlight w:val="yellow"/>
              </w:rPr>
            </w:pPr>
          </w:p>
        </w:tc>
      </w:tr>
    </w:tbl>
    <w:p w:rsidR="009B5A85" w:rsidRPr="00850351" w:rsidRDefault="009B5A85" w:rsidP="009B5A85">
      <w:pPr>
        <w:pStyle w:val="a3"/>
        <w:ind w:firstLine="360"/>
        <w:rPr>
          <w:sz w:val="28"/>
          <w:szCs w:val="28"/>
        </w:rPr>
      </w:pPr>
    </w:p>
    <w:p w:rsidR="009B5A85" w:rsidRDefault="009B5A85" w:rsidP="009B5A85">
      <w:pPr>
        <w:spacing w:after="0" w:line="240" w:lineRule="auto"/>
        <w:jc w:val="right"/>
        <w:rPr>
          <w:rFonts w:ascii="Times New Roman" w:hAnsi="Times New Roman" w:cs="Times New Roman"/>
          <w:sz w:val="28"/>
          <w:szCs w:val="28"/>
        </w:rPr>
      </w:pPr>
    </w:p>
    <w:p w:rsidR="009B5A85" w:rsidRPr="00EA7068" w:rsidRDefault="009B5A85" w:rsidP="009B5A85">
      <w:pPr>
        <w:spacing w:after="0" w:line="240" w:lineRule="auto"/>
        <w:jc w:val="right"/>
        <w:rPr>
          <w:rFonts w:ascii="Times New Roman" w:hAnsi="Times New Roman" w:cs="Times New Roman"/>
          <w:sz w:val="28"/>
          <w:szCs w:val="28"/>
        </w:rPr>
      </w:pPr>
    </w:p>
    <w:p w:rsidR="009B5A85" w:rsidRPr="00850351" w:rsidRDefault="009B5A85" w:rsidP="009B5A8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9B5A85" w:rsidRPr="00850351"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9B5A85"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9B5A85" w:rsidRPr="001D5674" w:rsidRDefault="009B5A85" w:rsidP="009B5A85">
      <w:pPr>
        <w:pStyle w:val="Style8"/>
        <w:widowControl/>
        <w:spacing w:line="240" w:lineRule="auto"/>
        <w:ind w:firstLine="709"/>
        <w:rPr>
          <w:rStyle w:val="FontStyle13"/>
          <w:b/>
          <w:sz w:val="28"/>
          <w:szCs w:val="28"/>
        </w:rPr>
      </w:pPr>
    </w:p>
    <w:p w:rsidR="009B5A85" w:rsidRPr="007357A0" w:rsidRDefault="009B5A85" w:rsidP="009B5A85">
      <w:pPr>
        <w:pStyle w:val="Style8"/>
        <w:widowControl/>
        <w:spacing w:line="240" w:lineRule="auto"/>
        <w:ind w:firstLine="709"/>
        <w:jc w:val="center"/>
        <w:rPr>
          <w:b/>
          <w:sz w:val="20"/>
          <w:szCs w:val="20"/>
        </w:rPr>
      </w:pPr>
    </w:p>
    <w:p w:rsidR="009B5A85" w:rsidRPr="005518A7" w:rsidRDefault="009B5A85" w:rsidP="009B5A85">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CB7B6B" w:rsidRPr="00CB7B6B" w:rsidRDefault="00CB7B6B" w:rsidP="00CB7B6B">
      <w:pPr>
        <w:spacing w:after="0" w:line="240" w:lineRule="auto"/>
        <w:jc w:val="center"/>
        <w:outlineLvl w:val="0"/>
        <w:rPr>
          <w:rFonts w:ascii="Times New Roman" w:hAnsi="Times New Roman" w:cs="Times New Roman"/>
          <w:b/>
          <w:sz w:val="28"/>
          <w:szCs w:val="28"/>
        </w:rPr>
      </w:pPr>
      <w:r w:rsidRPr="00CB7B6B">
        <w:rPr>
          <w:rFonts w:ascii="Times New Roman" w:hAnsi="Times New Roman" w:cs="Times New Roman"/>
          <w:b/>
          <w:sz w:val="28"/>
          <w:szCs w:val="28"/>
        </w:rPr>
        <w:t>на оказание услуг по организации и проведению праздничны</w:t>
      </w:r>
      <w:r>
        <w:rPr>
          <w:rFonts w:ascii="Times New Roman" w:hAnsi="Times New Roman" w:cs="Times New Roman"/>
          <w:b/>
          <w:sz w:val="28"/>
          <w:szCs w:val="28"/>
        </w:rPr>
        <w:t>х мероприятий, посвященных дню Победы, для жителей микрорайона К</w:t>
      </w:r>
      <w:r w:rsidRPr="00CB7B6B">
        <w:rPr>
          <w:rFonts w:ascii="Times New Roman" w:hAnsi="Times New Roman" w:cs="Times New Roman"/>
          <w:b/>
          <w:sz w:val="28"/>
          <w:szCs w:val="28"/>
        </w:rPr>
        <w:t>рохалева, в соответствии с перечнем мероприятий, направленных на решение отдельных вопросов местного значени</w:t>
      </w:r>
      <w:r>
        <w:rPr>
          <w:rFonts w:ascii="Times New Roman" w:hAnsi="Times New Roman" w:cs="Times New Roman"/>
          <w:b/>
          <w:sz w:val="28"/>
          <w:szCs w:val="28"/>
        </w:rPr>
        <w:t>я в микрорайонах на территории П</w:t>
      </w:r>
      <w:r w:rsidRPr="00CB7B6B">
        <w:rPr>
          <w:rFonts w:ascii="Times New Roman" w:hAnsi="Times New Roman" w:cs="Times New Roman"/>
          <w:b/>
          <w:sz w:val="28"/>
          <w:szCs w:val="28"/>
        </w:rPr>
        <w:t>ермского городского округа, на 2012-2014 годы (п.33.4.2.)</w:t>
      </w:r>
    </w:p>
    <w:p w:rsidR="004B3239" w:rsidRPr="004B3239" w:rsidRDefault="004B3239" w:rsidP="004B3239">
      <w:pPr>
        <w:spacing w:before="240"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w:t>
      </w:r>
      <w:r w:rsidRPr="004B3239">
        <w:rPr>
          <w:rFonts w:ascii="Times New Roman" w:hAnsi="Times New Roman" w:cs="Times New Roman"/>
          <w:b/>
          <w:sz w:val="28"/>
          <w:szCs w:val="28"/>
        </w:rPr>
        <w:t>.</w:t>
      </w:r>
      <w:r>
        <w:rPr>
          <w:rFonts w:ascii="Times New Roman" w:hAnsi="Times New Roman" w:cs="Times New Roman"/>
          <w:b/>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мероприятий, </w:t>
      </w:r>
      <w:r w:rsidRPr="004B3239">
        <w:rPr>
          <w:rStyle w:val="FontStyle14"/>
          <w:sz w:val="28"/>
          <w:szCs w:val="28"/>
        </w:rPr>
        <w:t xml:space="preserve">раскрывающей тему Дня Победы, </w:t>
      </w:r>
      <w:r w:rsidRPr="004B3239">
        <w:rPr>
          <w:rFonts w:ascii="Times New Roman" w:hAnsi="Times New Roman" w:cs="Times New Roman"/>
          <w:sz w:val="28"/>
          <w:szCs w:val="28"/>
        </w:rPr>
        <w:t>на момент заключения контракта.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w:t>
      </w:r>
      <w:r>
        <w:rPr>
          <w:rFonts w:ascii="Times New Roman" w:hAnsi="Times New Roman" w:cs="Times New Roman"/>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по  адресу: Никулина ,41,  ТОС Гусарова.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3.</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Проведение  праздничных мероприятий, посвященных Дню Победы в период с момента заключения контракта по  9 мая 2012 г. Продолжительность мероприятий не менее 2,5  часов. </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 xml:space="preserve">Время проведения мероприятий по  согласованию с заказчиком. </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4. Обеспечение доступности информации о проводимых мероприятиях для жителей микрорайона. Изготовление афиш в количестве не менее 200 штук (двухсот  штук) формат А3,  и их распространение  в период с момента заключения контракта по 8 мая 2012 года.  Текст по согласованию с заказчиком.</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5.</w:t>
      </w:r>
      <w:r w:rsidR="005A2311">
        <w:rPr>
          <w:sz w:val="28"/>
          <w:szCs w:val="28"/>
        </w:rPr>
        <w:t xml:space="preserve"> </w:t>
      </w:r>
      <w:r w:rsidRPr="004B3239">
        <w:rPr>
          <w:sz w:val="28"/>
          <w:szCs w:val="28"/>
        </w:rPr>
        <w:t>Предоставление и  у</w:t>
      </w:r>
      <w:r w:rsidRPr="004B3239">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4B3239">
          <w:rPr>
            <w:rStyle w:val="FontStyle14"/>
            <w:sz w:val="28"/>
            <w:szCs w:val="28"/>
          </w:rPr>
          <w:t>1,5 метров</w:t>
        </w:r>
      </w:smartTag>
      <w:r w:rsidRPr="004B3239">
        <w:rPr>
          <w:rStyle w:val="FontStyle14"/>
          <w:sz w:val="28"/>
          <w:szCs w:val="28"/>
        </w:rPr>
        <w:t>, художественное декорирование сценической площадки).</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6.</w:t>
      </w:r>
      <w:r w:rsidR="005A2311">
        <w:rPr>
          <w:rStyle w:val="FontStyle14"/>
          <w:sz w:val="28"/>
          <w:szCs w:val="28"/>
        </w:rPr>
        <w:t xml:space="preserve"> </w:t>
      </w:r>
      <w:r w:rsidRPr="004B3239">
        <w:rPr>
          <w:rStyle w:val="FontStyle14"/>
          <w:sz w:val="28"/>
          <w:szCs w:val="28"/>
        </w:rPr>
        <w:t xml:space="preserve">Художественное оформление мероприятий (изготовление баннера  или тематических конструкций  с  транспарант-перетяжками,), согласно общей </w:t>
      </w:r>
      <w:r w:rsidRPr="004B3239">
        <w:rPr>
          <w:rStyle w:val="FontStyle14"/>
          <w:sz w:val="28"/>
          <w:szCs w:val="28"/>
        </w:rPr>
        <w:lastRenderedPageBreak/>
        <w:t>тематической концепции и предоставление эскиза в цветном изображении.</w:t>
      </w:r>
      <w:r w:rsidRPr="004B3239">
        <w:rPr>
          <w:sz w:val="28"/>
          <w:szCs w:val="28"/>
        </w:rPr>
        <w:t xml:space="preserve"> (баннерное полотно  размером не менее 6мХ 3 м).</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7.</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Победы, в период проведения  мероприятий. Установка  полного комплекта звуковой аппаратуры  мощностью не менее 3 кВт,  и предоставление не менее 4 радиомикрофонов.</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8. Обеспечение работы звукооператора в период проведения праздничных мероприятий, посвященных Дню Победы.</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9</w:t>
      </w:r>
      <w:r w:rsidR="005A2311">
        <w:rPr>
          <w:sz w:val="28"/>
          <w:szCs w:val="28"/>
        </w:rPr>
        <w:t xml:space="preserve">. </w:t>
      </w:r>
      <w:r w:rsidRPr="004B3239">
        <w:rPr>
          <w:sz w:val="28"/>
          <w:szCs w:val="28"/>
        </w:rPr>
        <w:t>Обеспечение работы    ведущего   в период проведения праздничных мероприятий, посвященных Дню Победы.</w:t>
      </w:r>
    </w:p>
    <w:p w:rsidR="004B3239" w:rsidRPr="004B3239" w:rsidRDefault="004B3239" w:rsidP="004B3239">
      <w:pPr>
        <w:pStyle w:val="ad"/>
        <w:jc w:val="both"/>
        <w:rPr>
          <w:rStyle w:val="FontStyle14"/>
          <w:sz w:val="28"/>
          <w:szCs w:val="28"/>
        </w:rPr>
      </w:pPr>
      <w:r w:rsidRPr="004B3239">
        <w:rPr>
          <w:rFonts w:ascii="Times New Roman" w:hAnsi="Times New Roman" w:cs="Times New Roman"/>
          <w:sz w:val="28"/>
          <w:szCs w:val="28"/>
        </w:rPr>
        <w:t>10.</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 xml:space="preserve">Подготовка и проведение праздничных мероприятий, посвященных Дню Победы, с учетом возрастной категории зрителей и </w:t>
      </w:r>
      <w:r w:rsidRPr="004B3239">
        <w:rPr>
          <w:rStyle w:val="FontStyle14"/>
          <w:sz w:val="28"/>
          <w:szCs w:val="28"/>
        </w:rPr>
        <w:t xml:space="preserve"> обеспечение массового характера мероприяти</w:t>
      </w:r>
      <w:r w:rsidRPr="004B3239">
        <w:rPr>
          <w:rFonts w:ascii="Times New Roman" w:hAnsi="Times New Roman" w:cs="Times New Roman"/>
          <w:sz w:val="28"/>
          <w:szCs w:val="28"/>
        </w:rPr>
        <w:t>й (не менее 300 зрителей).</w:t>
      </w:r>
    </w:p>
    <w:p w:rsidR="004B3239" w:rsidRPr="004B3239" w:rsidRDefault="004B3239" w:rsidP="004B3239">
      <w:pPr>
        <w:spacing w:after="0" w:line="240" w:lineRule="auto"/>
        <w:jc w:val="both"/>
        <w:rPr>
          <w:rFonts w:ascii="Times New Roman" w:hAnsi="Times New Roman" w:cs="Times New Roman"/>
          <w:sz w:val="28"/>
          <w:szCs w:val="28"/>
        </w:rPr>
      </w:pPr>
      <w:r w:rsidRPr="004B3239">
        <w:rPr>
          <w:rStyle w:val="FontStyle14"/>
          <w:sz w:val="28"/>
          <w:szCs w:val="28"/>
        </w:rPr>
        <w:t>11.</w:t>
      </w:r>
      <w:r w:rsidR="005A2311">
        <w:rPr>
          <w:rStyle w:val="FontStyle14"/>
          <w:sz w:val="28"/>
          <w:szCs w:val="28"/>
        </w:rPr>
        <w:t xml:space="preserve"> </w:t>
      </w:r>
      <w:r w:rsidRPr="004B3239">
        <w:rPr>
          <w:rStyle w:val="FontStyle14"/>
          <w:sz w:val="28"/>
          <w:szCs w:val="28"/>
        </w:rPr>
        <w:t>Обеспечение участия в программах</w:t>
      </w:r>
      <w:r w:rsidRPr="004B3239">
        <w:rPr>
          <w:rFonts w:ascii="Times New Roman" w:hAnsi="Times New Roman" w:cs="Times New Roman"/>
          <w:sz w:val="28"/>
          <w:szCs w:val="28"/>
        </w:rPr>
        <w:t xml:space="preserve"> праздничных мероприятий</w:t>
      </w:r>
      <w:r w:rsidRPr="004B3239">
        <w:rPr>
          <w:rStyle w:val="FontStyle14"/>
          <w:sz w:val="28"/>
          <w:szCs w:val="28"/>
        </w:rPr>
        <w:t xml:space="preserve"> не менее                                    5 разножанровых  творческих коллективов </w:t>
      </w:r>
      <w:r w:rsidRPr="004B3239">
        <w:rPr>
          <w:rFonts w:ascii="Times New Roman" w:hAnsi="Times New Roman" w:cs="Times New Roman"/>
          <w:sz w:val="28"/>
          <w:szCs w:val="28"/>
        </w:rPr>
        <w:t xml:space="preserve">(в том числе: </w:t>
      </w:r>
      <w:r w:rsidRPr="004B3239">
        <w:rPr>
          <w:rStyle w:val="FontStyle14"/>
          <w:sz w:val="28"/>
          <w:szCs w:val="28"/>
        </w:rPr>
        <w:t>танцевального  ансамбля, духового оркестра, эстрадного ансамбля, вокально-инструментальной группы,  дуэтов)</w:t>
      </w:r>
      <w:r w:rsidRPr="004B3239">
        <w:rPr>
          <w:rFonts w:ascii="Times New Roman" w:hAnsi="Times New Roman" w:cs="Times New Roman"/>
          <w:sz w:val="28"/>
          <w:szCs w:val="28"/>
        </w:rPr>
        <w:t>.</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12.  Наличие сценических костюмов у участников каждого творческого коллектива.</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13. Проведение интерактивных тематических программ с организацией работы не менее 3 аниматоров (время по согласованию с заказчиком).</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14.</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Приобретение наборов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с момента заключения контракта по 8 мая 2012г. по согласованию с заказчиком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15.</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16.</w:t>
      </w:r>
      <w:r w:rsidR="005A2311">
        <w:rPr>
          <w:rStyle w:val="FontStyle14"/>
          <w:sz w:val="28"/>
          <w:szCs w:val="28"/>
        </w:rPr>
        <w:t xml:space="preserve"> </w:t>
      </w:r>
      <w:r w:rsidRPr="004B3239">
        <w:rPr>
          <w:rStyle w:val="FontStyle14"/>
          <w:sz w:val="28"/>
          <w:szCs w:val="28"/>
        </w:rPr>
        <w:t>Предоставление услуг автотранспорта для творческих коллективов в период проведения праздника.</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17.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lastRenderedPageBreak/>
        <w:t xml:space="preserve">18. Обеспечение соблюдения санитарных норм  до и после проведения  </w:t>
      </w:r>
      <w:r w:rsidRPr="004B3239">
        <w:rPr>
          <w:rFonts w:ascii="Times New Roman" w:hAnsi="Times New Roman" w:cs="Times New Roman"/>
          <w:sz w:val="28"/>
          <w:szCs w:val="28"/>
        </w:rPr>
        <w:t>праздничных мероприятий, посвященных Дню Победы.</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19. Обеспечение безопасности зрителей и участников при проведении мероприятий с привлечением специалистов УВД или ЧОП.</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Предоставление отчетных показателей  по количеству посетителей мероприятий справками  УВД или ЧОП</w:t>
      </w:r>
      <w:r w:rsidR="005A2311">
        <w:rPr>
          <w:rStyle w:val="FontStyle14"/>
          <w:sz w:val="28"/>
          <w:szCs w:val="28"/>
        </w:rPr>
        <w:t>.</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20.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21.</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Оценочные показатели качества услуг:</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-исполнение  концертных номеров  в выступлениях не менее пяти творческих коллективов,  работа  ведущего и аниматоров;</w:t>
      </w:r>
    </w:p>
    <w:p w:rsidR="004B3239" w:rsidRPr="004B3239" w:rsidRDefault="004B3239" w:rsidP="004B3239">
      <w:pPr>
        <w:spacing w:after="0"/>
        <w:jc w:val="both"/>
        <w:rPr>
          <w:rFonts w:ascii="Times New Roman" w:hAnsi="Times New Roman"/>
          <w:sz w:val="28"/>
          <w:szCs w:val="28"/>
        </w:rPr>
      </w:pPr>
      <w:r w:rsidRPr="004B3239">
        <w:rPr>
          <w:rFonts w:ascii="Times New Roman" w:hAnsi="Times New Roman"/>
          <w:sz w:val="28"/>
          <w:szCs w:val="28"/>
        </w:rPr>
        <w:t>- разработка программы  в соответствии с заявленной темой;</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своевременное приобретение сувенирной продукции  надлежащего качества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22</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B5A85" w:rsidRPr="00702CCC" w:rsidRDefault="009B5A85" w:rsidP="009B5A85">
      <w:pPr>
        <w:spacing w:after="0" w:line="360" w:lineRule="auto"/>
        <w:jc w:val="center"/>
        <w:outlineLvl w:val="0"/>
        <w:rPr>
          <w:rFonts w:ascii="Times New Roman" w:hAnsi="Times New Roman" w:cs="Times New Roman"/>
          <w:b/>
          <w:sz w:val="28"/>
          <w:szCs w:val="28"/>
        </w:rPr>
      </w:pPr>
    </w:p>
    <w:p w:rsidR="009B5A85" w:rsidRPr="00EA7068" w:rsidRDefault="009B5A85" w:rsidP="009B5A85">
      <w:pPr>
        <w:spacing w:after="0" w:line="240" w:lineRule="auto"/>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9B5A85" w:rsidRPr="00BD4F88" w:rsidRDefault="009B5A85" w:rsidP="009B5A8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9B5A85" w:rsidRPr="00BD4F88" w:rsidRDefault="009B5A85" w:rsidP="009B5A85">
      <w:pPr>
        <w:pStyle w:val="10"/>
        <w:jc w:val="right"/>
        <w:outlineLvl w:val="0"/>
        <w:rPr>
          <w:b/>
          <w:bCs/>
          <w:sz w:val="28"/>
          <w:szCs w:val="28"/>
        </w:rPr>
      </w:pPr>
    </w:p>
    <w:p w:rsidR="009B5A85" w:rsidRPr="00EA7068" w:rsidRDefault="009B5A85" w:rsidP="009B5A85">
      <w:pPr>
        <w:pStyle w:val="10"/>
        <w:jc w:val="right"/>
        <w:outlineLvl w:val="0"/>
        <w:rPr>
          <w:b/>
          <w:bCs/>
          <w:sz w:val="28"/>
          <w:szCs w:val="28"/>
        </w:rPr>
      </w:pPr>
      <w:r w:rsidRPr="008661C9">
        <w:rPr>
          <w:b/>
          <w:bCs/>
          <w:sz w:val="28"/>
          <w:szCs w:val="28"/>
        </w:rPr>
        <w:t xml:space="preserve">ПРОЕКТ </w:t>
      </w:r>
      <w:bookmarkStart w:id="1" w:name="Приложение_5"/>
    </w:p>
    <w:p w:rsidR="009B5A85" w:rsidRPr="00B04101" w:rsidRDefault="009B5A85" w:rsidP="009B5A85">
      <w:pPr>
        <w:spacing w:after="0" w:line="240" w:lineRule="auto"/>
        <w:ind w:left="5580"/>
        <w:jc w:val="right"/>
        <w:rPr>
          <w:rFonts w:ascii="Times New Roman" w:hAnsi="Times New Roman"/>
          <w:sz w:val="28"/>
          <w:szCs w:val="28"/>
        </w:rPr>
      </w:pPr>
    </w:p>
    <w:p w:rsidR="00B04101" w:rsidRPr="00B04101" w:rsidRDefault="00B04101" w:rsidP="00B04101">
      <w:pPr>
        <w:spacing w:after="0" w:line="240" w:lineRule="auto"/>
        <w:jc w:val="center"/>
        <w:rPr>
          <w:rFonts w:ascii="Times New Roman" w:hAnsi="Times New Roman"/>
          <w:b/>
          <w:sz w:val="28"/>
          <w:szCs w:val="28"/>
        </w:rPr>
      </w:pPr>
      <w:r w:rsidRPr="00B04101">
        <w:rPr>
          <w:rFonts w:ascii="Times New Roman" w:hAnsi="Times New Roman"/>
          <w:b/>
          <w:sz w:val="28"/>
          <w:szCs w:val="28"/>
        </w:rPr>
        <w:t>Муниципальный контракт №</w:t>
      </w:r>
    </w:p>
    <w:p w:rsidR="00B04101" w:rsidRPr="00B04101" w:rsidRDefault="00B04101" w:rsidP="00B04101">
      <w:pPr>
        <w:pStyle w:val="a3"/>
        <w:jc w:val="center"/>
        <w:rPr>
          <w:b/>
          <w:bCs/>
          <w:iCs/>
          <w:sz w:val="28"/>
          <w:szCs w:val="28"/>
        </w:rPr>
      </w:pP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B04101" w:rsidRPr="00B04101" w:rsidRDefault="00B04101" w:rsidP="00B04101">
      <w:pPr>
        <w:pStyle w:val="a3"/>
        <w:rPr>
          <w:bCs/>
          <w:iCs/>
          <w:sz w:val="28"/>
          <w:szCs w:val="28"/>
        </w:rPr>
      </w:pP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г. Пермь</w:t>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t xml:space="preserve">                      «___» ____________ 2012 г.</w:t>
      </w:r>
    </w:p>
    <w:p w:rsidR="00B04101" w:rsidRPr="00B04101" w:rsidRDefault="00B04101" w:rsidP="00B04101">
      <w:pPr>
        <w:spacing w:after="0" w:line="240" w:lineRule="auto"/>
        <w:jc w:val="both"/>
        <w:rPr>
          <w:rFonts w:ascii="Times New Roman" w:hAnsi="Times New Roman"/>
          <w:sz w:val="28"/>
          <w:szCs w:val="28"/>
        </w:rPr>
      </w:pPr>
    </w:p>
    <w:p w:rsidR="00B04101" w:rsidRPr="00B04101" w:rsidRDefault="00B04101" w:rsidP="00B04101">
      <w:pPr>
        <w:spacing w:after="0" w:line="240" w:lineRule="auto"/>
        <w:ind w:firstLine="567"/>
        <w:jc w:val="both"/>
        <w:rPr>
          <w:rFonts w:ascii="Times New Roman" w:hAnsi="Times New Roman"/>
          <w:sz w:val="28"/>
          <w:szCs w:val="28"/>
        </w:rPr>
      </w:pPr>
      <w:r w:rsidRPr="00B04101">
        <w:rPr>
          <w:rFonts w:ascii="Times New Roman" w:hAnsi="Times New Roman"/>
          <w:b/>
          <w:sz w:val="28"/>
          <w:szCs w:val="28"/>
        </w:rPr>
        <w:t>Администрация Свердловского района города Перми</w:t>
      </w:r>
      <w:r w:rsidRPr="00B04101">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B04101">
        <w:rPr>
          <w:rFonts w:ascii="Times New Roman" w:hAnsi="Times New Roman"/>
          <w:b/>
          <w:sz w:val="28"/>
          <w:szCs w:val="28"/>
        </w:rPr>
        <w:t>____________________________</w:t>
      </w:r>
      <w:r w:rsidRPr="00B04101">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04101" w:rsidRPr="00B04101" w:rsidRDefault="00B04101" w:rsidP="00B04101">
      <w:pPr>
        <w:spacing w:after="0" w:line="240" w:lineRule="auto"/>
        <w:ind w:firstLine="567"/>
        <w:jc w:val="both"/>
        <w:rPr>
          <w:rFonts w:ascii="Times New Roman" w:hAnsi="Times New Roman"/>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Предмет контракта.</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pStyle w:val="a3"/>
        <w:rPr>
          <w:sz w:val="28"/>
          <w:szCs w:val="28"/>
        </w:rPr>
      </w:pPr>
      <w:r w:rsidRPr="00B04101">
        <w:rPr>
          <w:color w:val="000000"/>
          <w:sz w:val="28"/>
          <w:szCs w:val="28"/>
        </w:rPr>
        <w:t xml:space="preserve">1.1. Настоящий муниципальный контракт </w:t>
      </w:r>
      <w:r w:rsidRPr="00B04101">
        <w:rPr>
          <w:sz w:val="28"/>
          <w:szCs w:val="28"/>
        </w:rPr>
        <w:t xml:space="preserve">заключен в соответствии с решением Пермской городской Думы от 21.12.2011г.  №  250 </w:t>
      </w:r>
      <w:r w:rsidRPr="00B04101">
        <w:rPr>
          <w:b/>
          <w:sz w:val="28"/>
          <w:szCs w:val="28"/>
        </w:rPr>
        <w:t>«О бюджете города Перми на 2012 год  и на плановый период 2013 и 2014 годов»,</w:t>
      </w:r>
      <w:r w:rsidRPr="00B04101">
        <w:rPr>
          <w:sz w:val="28"/>
          <w:szCs w:val="28"/>
        </w:rPr>
        <w:t xml:space="preserve"> во исполнение Постановления администрации города Перми  от 27.01.2012 № 13-П </w:t>
      </w:r>
      <w:r w:rsidRPr="00B04101">
        <w:rPr>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w:t>
      </w:r>
      <w:r w:rsidRPr="00B04101">
        <w:rPr>
          <w:b/>
          <w:sz w:val="28"/>
          <w:szCs w:val="28"/>
        </w:rPr>
        <w:lastRenderedPageBreak/>
        <w:t xml:space="preserve">территории Пермского городского округа, на 2012-2014 годы» </w:t>
      </w:r>
      <w:r w:rsidRPr="00B04101">
        <w:rPr>
          <w:sz w:val="28"/>
          <w:szCs w:val="28"/>
        </w:rPr>
        <w:t>(</w:t>
      </w:r>
      <w:r w:rsidRPr="00B04101">
        <w:rPr>
          <w:bCs/>
          <w:iCs/>
          <w:sz w:val="28"/>
          <w:szCs w:val="28"/>
        </w:rPr>
        <w:t xml:space="preserve">п. 33.4.2. Перечня мероприятий, </w:t>
      </w:r>
      <w:r w:rsidRPr="00B04101">
        <w:rPr>
          <w:sz w:val="28"/>
          <w:szCs w:val="28"/>
        </w:rPr>
        <w:t>направленных на решение отдельных вопросов местного значения в микрорайонах на территории Пермского городского округа, на 2012-2014 годы</w:t>
      </w:r>
      <w:r w:rsidRPr="00B04101">
        <w:rPr>
          <w:bCs/>
          <w:iCs/>
          <w:sz w:val="28"/>
          <w:szCs w:val="28"/>
        </w:rPr>
        <w:t>)</w:t>
      </w:r>
      <w:r w:rsidRPr="00B04101">
        <w:rPr>
          <w:sz w:val="28"/>
          <w:szCs w:val="28"/>
        </w:rPr>
        <w:t>,  в соответствии с приказом главы администрации Свердловского района города Перми от 06.04.2012 № СЭД-01-08-65 «</w:t>
      </w:r>
      <w:r w:rsidRPr="00B04101">
        <w:rPr>
          <w:b/>
          <w:sz w:val="28"/>
          <w:szCs w:val="28"/>
        </w:rPr>
        <w:t>О размещении муниципального  заказа</w:t>
      </w:r>
      <w:r w:rsidRPr="00B04101">
        <w:rPr>
          <w:b/>
          <w:bCs/>
          <w:iCs/>
          <w:sz w:val="28"/>
          <w:szCs w:val="28"/>
        </w:rPr>
        <w:t xml:space="preserve">», </w:t>
      </w:r>
      <w:r w:rsidRPr="00B04101">
        <w:rPr>
          <w:bCs/>
          <w:iCs/>
          <w:sz w:val="28"/>
          <w:szCs w:val="28"/>
        </w:rPr>
        <w:t xml:space="preserve"> </w:t>
      </w:r>
      <w:r w:rsidRPr="00B04101">
        <w:rPr>
          <w:sz w:val="28"/>
          <w:szCs w:val="28"/>
        </w:rPr>
        <w:t xml:space="preserve">решением </w:t>
      </w:r>
      <w:r w:rsidR="00BF3C79">
        <w:rPr>
          <w:sz w:val="28"/>
          <w:szCs w:val="28"/>
        </w:rPr>
        <w:t>постоянно действующей конкурсной (</w:t>
      </w:r>
      <w:r w:rsidRPr="00B04101">
        <w:rPr>
          <w:sz w:val="28"/>
          <w:szCs w:val="28"/>
        </w:rPr>
        <w:t>аукционной</w:t>
      </w:r>
      <w:r w:rsidR="00BF3C79">
        <w:rPr>
          <w:sz w:val="28"/>
          <w:szCs w:val="28"/>
        </w:rPr>
        <w:t>)</w:t>
      </w:r>
      <w:r w:rsidRPr="00B04101">
        <w:rPr>
          <w:sz w:val="28"/>
          <w:szCs w:val="28"/>
        </w:rPr>
        <w:t xml:space="preserve"> комиссии (протокол от _________ №____).</w:t>
      </w:r>
    </w:p>
    <w:p w:rsidR="00B04101" w:rsidRPr="00B04101" w:rsidRDefault="00B04101" w:rsidP="00B04101">
      <w:pPr>
        <w:pStyle w:val="a3"/>
        <w:rPr>
          <w:sz w:val="28"/>
          <w:szCs w:val="28"/>
        </w:rPr>
      </w:pPr>
      <w:r w:rsidRPr="00B04101">
        <w:rPr>
          <w:sz w:val="28"/>
          <w:szCs w:val="28"/>
        </w:rPr>
        <w:t xml:space="preserve">1.2. По настоящему контракту по поручению ЗАКАЗЧИКА  ИСПОЛНИТЕЛЬ принимает на себя обязательство оказать ЗАКАЗЧИКУ услуги </w:t>
      </w:r>
      <w:r w:rsidRPr="00B04101">
        <w:rPr>
          <w:b/>
          <w:bCs/>
          <w:iCs/>
          <w:sz w:val="28"/>
          <w:szCs w:val="28"/>
        </w:rPr>
        <w:t xml:space="preserve">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 </w:t>
      </w:r>
      <w:r w:rsidRPr="00B04101">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04101" w:rsidRPr="00B04101" w:rsidRDefault="00B04101" w:rsidP="00B04101">
      <w:pPr>
        <w:pStyle w:val="a3"/>
        <w:rPr>
          <w:sz w:val="28"/>
          <w:szCs w:val="28"/>
        </w:rPr>
      </w:pPr>
      <w:r w:rsidRPr="00B04101">
        <w:rPr>
          <w:color w:val="000000"/>
          <w:sz w:val="28"/>
          <w:szCs w:val="28"/>
        </w:rPr>
        <w:t xml:space="preserve"> </w:t>
      </w:r>
      <w:r w:rsidRPr="00B04101">
        <w:rPr>
          <w:b/>
          <w:color w:val="000000"/>
          <w:sz w:val="28"/>
          <w:szCs w:val="28"/>
        </w:rPr>
        <w:t xml:space="preserve">Техническое задание </w:t>
      </w:r>
      <w:r w:rsidRPr="00B04101">
        <w:rPr>
          <w:b/>
          <w:bCs/>
          <w:iCs/>
          <w:sz w:val="28"/>
          <w:szCs w:val="28"/>
        </w:rPr>
        <w:t xml:space="preserve">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 </w:t>
      </w:r>
      <w:r w:rsidRPr="00B04101">
        <w:rPr>
          <w:color w:val="000000"/>
          <w:sz w:val="28"/>
          <w:szCs w:val="28"/>
        </w:rPr>
        <w:t>представлено в Приложении № 1 к настоящему контракту.</w:t>
      </w:r>
    </w:p>
    <w:p w:rsidR="00B04101" w:rsidRPr="00B04101" w:rsidRDefault="00B04101" w:rsidP="00B04101">
      <w:pPr>
        <w:pStyle w:val="a3"/>
        <w:rPr>
          <w:sz w:val="28"/>
          <w:szCs w:val="28"/>
        </w:rPr>
      </w:pPr>
      <w:r w:rsidRPr="00B04101">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B04101">
        <w:rPr>
          <w:b/>
          <w:color w:val="000000"/>
          <w:sz w:val="28"/>
          <w:szCs w:val="28"/>
        </w:rPr>
        <w:t xml:space="preserve">Техническое задание </w:t>
      </w: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Pr="00B04101">
        <w:rPr>
          <w:sz w:val="28"/>
          <w:szCs w:val="28"/>
        </w:rPr>
        <w:t>.</w:t>
      </w:r>
    </w:p>
    <w:p w:rsidR="00B04101" w:rsidRPr="00B04101" w:rsidRDefault="00B04101" w:rsidP="00B04101">
      <w:pPr>
        <w:pStyle w:val="a3"/>
        <w:rPr>
          <w:sz w:val="28"/>
          <w:szCs w:val="28"/>
        </w:rPr>
      </w:pPr>
      <w:r w:rsidRPr="00B04101">
        <w:rPr>
          <w:sz w:val="28"/>
          <w:szCs w:val="28"/>
        </w:rPr>
        <w:t>Приложение № 1к настоящему контракту является его неотъемлемой частью.</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t>1.3.  Сроки оказания услуг: с момента заключения контракта по 09 мая 2012 года(время проведения мероприятия по согласованию с Заказчиком).</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t>1.4.  Место оказания услуг: согласно Приложению №1 к настоящему контракту.</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lastRenderedPageBreak/>
        <w:t xml:space="preserve">1.5. </w:t>
      </w:r>
      <w:r w:rsidRPr="00B0410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2 настоящего контракта.</w:t>
      </w:r>
    </w:p>
    <w:p w:rsidR="00B04101" w:rsidRPr="00B04101" w:rsidRDefault="00B04101" w:rsidP="00B04101">
      <w:pPr>
        <w:shd w:val="clear" w:color="auto" w:fill="FFFFFF"/>
        <w:tabs>
          <w:tab w:val="left" w:pos="2006"/>
          <w:tab w:val="left" w:pos="3912"/>
        </w:tabs>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jc w:val="center"/>
        <w:rPr>
          <w:rFonts w:ascii="Times New Roman" w:hAnsi="Times New Roman"/>
          <w:b/>
          <w:color w:val="000000"/>
          <w:sz w:val="28"/>
          <w:szCs w:val="28"/>
        </w:rPr>
      </w:pPr>
      <w:r w:rsidRPr="00B04101">
        <w:rPr>
          <w:rFonts w:ascii="Times New Roman" w:hAnsi="Times New Roman"/>
          <w:b/>
          <w:color w:val="000000"/>
          <w:sz w:val="28"/>
          <w:szCs w:val="28"/>
        </w:rPr>
        <w:t>Стоимость услуг, порядок приемки и оплаты.</w:t>
      </w:r>
    </w:p>
    <w:p w:rsidR="00126E41" w:rsidRPr="00B04101" w:rsidRDefault="00126E41" w:rsidP="00126E41">
      <w:pPr>
        <w:pStyle w:val="ac"/>
        <w:shd w:val="clear" w:color="auto" w:fill="FFFFFF"/>
        <w:spacing w:after="0" w:line="240" w:lineRule="auto"/>
        <w:rPr>
          <w:rFonts w:ascii="Times New Roman" w:hAnsi="Times New Roman"/>
          <w:b/>
          <w:color w:val="000000"/>
          <w:sz w:val="28"/>
          <w:szCs w:val="28"/>
        </w:rPr>
      </w:pPr>
    </w:p>
    <w:p w:rsidR="00B04101" w:rsidRPr="00B04101" w:rsidRDefault="00B04101" w:rsidP="00B04101">
      <w:pPr>
        <w:shd w:val="clear" w:color="auto" w:fill="FFFFFF"/>
        <w:jc w:val="both"/>
        <w:rPr>
          <w:rFonts w:ascii="Times New Roman" w:hAnsi="Times New Roman"/>
          <w:bCs/>
          <w:sz w:val="28"/>
          <w:szCs w:val="28"/>
        </w:rPr>
      </w:pPr>
      <w:r w:rsidRPr="00B04101">
        <w:rPr>
          <w:rFonts w:ascii="Times New Roman" w:hAnsi="Times New Roman"/>
          <w:color w:val="000000"/>
          <w:sz w:val="28"/>
          <w:szCs w:val="28"/>
        </w:rPr>
        <w:t xml:space="preserve">2.1. Цена муниципального контракта составляет  </w:t>
      </w:r>
      <w:r w:rsidRPr="00B04101">
        <w:rPr>
          <w:rFonts w:ascii="Times New Roman" w:hAnsi="Times New Roman"/>
          <w:b/>
          <w:color w:val="000000"/>
          <w:sz w:val="28"/>
          <w:szCs w:val="28"/>
        </w:rPr>
        <w:t xml:space="preserve">__________________________ </w:t>
      </w:r>
      <w:r w:rsidRPr="00B04101">
        <w:rPr>
          <w:rFonts w:ascii="Times New Roman" w:hAnsi="Times New Roman"/>
          <w:color w:val="000000"/>
          <w:sz w:val="28"/>
          <w:szCs w:val="28"/>
        </w:rPr>
        <w:t xml:space="preserve">рублей ___ копеек, </w:t>
      </w:r>
      <w:r w:rsidRPr="00B04101">
        <w:rPr>
          <w:rFonts w:ascii="Times New Roman" w:hAnsi="Times New Roman"/>
          <w:bCs/>
          <w:sz w:val="28"/>
          <w:szCs w:val="28"/>
        </w:rPr>
        <w:t>включая уплату налогов, сборов и других обязательных платежей.</w:t>
      </w:r>
    </w:p>
    <w:p w:rsidR="00B04101" w:rsidRPr="00B04101" w:rsidRDefault="00B04101" w:rsidP="00B0410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 xml:space="preserve">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26E41" w:rsidRDefault="00B04101" w:rsidP="00126E4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 xml:space="preserve">2.2. </w:t>
      </w:r>
      <w:r w:rsidRPr="00B04101">
        <w:rPr>
          <w:rFonts w:ascii="Times New Roman" w:hAnsi="Times New Roman"/>
          <w:b/>
          <w:color w:val="000000"/>
          <w:sz w:val="28"/>
          <w:szCs w:val="28"/>
        </w:rPr>
        <w:t>Форма оплаты:</w:t>
      </w:r>
      <w:r w:rsidRPr="00B04101">
        <w:rPr>
          <w:rFonts w:ascii="Times New Roman" w:hAnsi="Times New Roman"/>
          <w:color w:val="000000"/>
          <w:sz w:val="28"/>
          <w:szCs w:val="28"/>
        </w:rPr>
        <w:t xml:space="preserve"> безналичное перечисление денежных средств на расчетный счет ИСПОЛНИТЕЛЯ.</w:t>
      </w:r>
    </w:p>
    <w:p w:rsidR="00B04101" w:rsidRPr="00B04101" w:rsidRDefault="00B04101" w:rsidP="00126E4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2.3. ИСПОЛНИТЕЛЬ в течение 3-х дней после проведения мероприятия, указанного в п.1.2. настоящего контракта, обязан представить ЗАКАЗЧИКУ следующие документы:</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средств;</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-счет или счет-фактуру (в зависимости от системы налогообложения);</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фотоматериалы (на бумажном и электронном носителе, не менее 10 файлов, отражающие количество зрителей и  характерные черты мероприятия с включением общих планов праздника).</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2.4. </w:t>
      </w:r>
      <w:r w:rsidRPr="00B04101">
        <w:rPr>
          <w:rFonts w:ascii="Times New Roman" w:hAnsi="Times New Roman"/>
          <w:b/>
          <w:color w:val="000000"/>
          <w:sz w:val="28"/>
          <w:szCs w:val="28"/>
        </w:rPr>
        <w:t>Оплата услуг</w:t>
      </w:r>
      <w:r w:rsidRPr="00B04101">
        <w:rPr>
          <w:rFonts w:ascii="Times New Roman" w:hAnsi="Times New Roman"/>
          <w:color w:val="000000"/>
          <w:sz w:val="28"/>
          <w:szCs w:val="28"/>
        </w:rPr>
        <w:t xml:space="preserve"> по настоящему контракту производится ЗАКАЗЧИКОМ в течение 20 календарных дней с момента подписания сторонами акта сдачи-</w:t>
      </w:r>
      <w:r w:rsidRPr="00B04101">
        <w:rPr>
          <w:rFonts w:ascii="Times New Roman" w:hAnsi="Times New Roman"/>
          <w:color w:val="000000"/>
          <w:sz w:val="28"/>
          <w:szCs w:val="28"/>
        </w:rPr>
        <w:lastRenderedPageBreak/>
        <w:t>приемки оказанных услуг, предоставления ИСПОЛНИТЕЛЕМ копий документов, подтверждающих целевое расходование средств, предъявления ИСПОЛНИТЕЛЕМ счета или счета-фактуры,  фотоматериалов.</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2.5. Приемка ЗАКАЗЧИКОМ результатов оказанных услуг осуществляется  после проведения мероприятия, указанного в п.1.2. настоящего контракта,  по акту  сдачи-приемки оказанных услуг, при предъявлении ИСПОЛНИТЕЛЕМ документов, указанных в пункте 2.3. настоящего контракта. Приемка оказанных услуг производится с использованием оценочных показателей </w:t>
      </w:r>
      <w:r w:rsidR="006F3A75">
        <w:rPr>
          <w:rFonts w:ascii="Times New Roman" w:hAnsi="Times New Roman"/>
          <w:color w:val="000000"/>
          <w:sz w:val="28"/>
          <w:szCs w:val="28"/>
        </w:rPr>
        <w:t>качества услуг, указанных в п.21</w:t>
      </w:r>
      <w:r w:rsidRPr="00B04101">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Права и обязанности сторон.</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3.1.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B04101" w:rsidRPr="00B04101" w:rsidRDefault="00B04101" w:rsidP="00B04101">
      <w:pPr>
        <w:pStyle w:val="ConsNormal"/>
        <w:tabs>
          <w:tab w:val="num" w:pos="720"/>
        </w:tabs>
        <w:ind w:firstLine="0"/>
        <w:jc w:val="both"/>
        <w:rPr>
          <w:rFonts w:ascii="Times New Roman" w:hAnsi="Times New Roman"/>
          <w:color w:val="000000"/>
          <w:sz w:val="28"/>
          <w:szCs w:val="28"/>
        </w:rPr>
      </w:pPr>
      <w:r w:rsidRPr="00B04101">
        <w:rPr>
          <w:rFonts w:ascii="Times New Roman" w:hAnsi="Times New Roman"/>
          <w:sz w:val="28"/>
          <w:szCs w:val="28"/>
        </w:rPr>
        <w:t>3.2.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04101" w:rsidRPr="00B04101" w:rsidRDefault="00B04101" w:rsidP="00B04101">
      <w:pPr>
        <w:pStyle w:val="a5"/>
        <w:spacing w:after="0"/>
        <w:ind w:left="0"/>
        <w:jc w:val="both"/>
        <w:rPr>
          <w:sz w:val="28"/>
          <w:szCs w:val="28"/>
        </w:rPr>
      </w:pPr>
      <w:r w:rsidRPr="00B04101">
        <w:rPr>
          <w:sz w:val="28"/>
          <w:szCs w:val="28"/>
        </w:rPr>
        <w:t xml:space="preserve">3.3. ЗАКАЗЧИК имеет право осуществлять контроль качества оказанных ИСПОЛНИТЕЛЕМ услуг посредством  проверок. </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color w:val="000000"/>
          <w:sz w:val="28"/>
          <w:szCs w:val="28"/>
        </w:rPr>
        <w:t>3.4.</w:t>
      </w:r>
      <w:r w:rsidRPr="00B04101">
        <w:rPr>
          <w:rFonts w:ascii="Times New Roman" w:hAnsi="Times New Roman"/>
          <w:b/>
          <w:color w:val="000000"/>
          <w:sz w:val="28"/>
          <w:szCs w:val="28"/>
        </w:rPr>
        <w:t xml:space="preserve"> </w:t>
      </w:r>
      <w:r w:rsidRPr="00B04101">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04101" w:rsidRDefault="00B04101" w:rsidP="00B04101">
      <w:pPr>
        <w:spacing w:after="0" w:line="240" w:lineRule="auto"/>
        <w:jc w:val="both"/>
        <w:rPr>
          <w:rFonts w:ascii="Times New Roman" w:hAnsi="Times New Roman"/>
          <w:b/>
          <w:color w:val="000000"/>
          <w:sz w:val="28"/>
          <w:szCs w:val="28"/>
        </w:rPr>
      </w:pPr>
    </w:p>
    <w:p w:rsidR="00126E41" w:rsidRDefault="00126E41" w:rsidP="00B04101">
      <w:pPr>
        <w:spacing w:after="0" w:line="240" w:lineRule="auto"/>
        <w:jc w:val="both"/>
        <w:rPr>
          <w:rFonts w:ascii="Times New Roman" w:hAnsi="Times New Roman"/>
          <w:b/>
          <w:color w:val="000000"/>
          <w:sz w:val="28"/>
          <w:szCs w:val="28"/>
        </w:rPr>
      </w:pPr>
    </w:p>
    <w:p w:rsidR="00126E41" w:rsidRPr="00B04101" w:rsidRDefault="00126E41" w:rsidP="00B04101">
      <w:pPr>
        <w:spacing w:after="0" w:line="240" w:lineRule="auto"/>
        <w:jc w:val="both"/>
        <w:rPr>
          <w:rFonts w:ascii="Times New Roman" w:hAnsi="Times New Roman"/>
          <w:b/>
          <w:color w:val="000000"/>
          <w:sz w:val="28"/>
          <w:szCs w:val="28"/>
        </w:rPr>
      </w:pPr>
    </w:p>
    <w:p w:rsidR="00B04101" w:rsidRDefault="00B04101" w:rsidP="00B04101">
      <w:pPr>
        <w:pStyle w:val="ac"/>
        <w:numPr>
          <w:ilvl w:val="0"/>
          <w:numId w:val="8"/>
        </w:numPr>
        <w:shd w:val="clear" w:color="auto" w:fill="FFFFFF"/>
        <w:spacing w:after="0" w:line="240" w:lineRule="auto"/>
        <w:ind w:left="-284"/>
        <w:jc w:val="center"/>
        <w:rPr>
          <w:rFonts w:ascii="Times New Roman" w:hAnsi="Times New Roman"/>
          <w:b/>
          <w:color w:val="000000"/>
          <w:sz w:val="28"/>
          <w:szCs w:val="28"/>
        </w:rPr>
      </w:pPr>
      <w:r w:rsidRPr="00B04101">
        <w:rPr>
          <w:rFonts w:ascii="Times New Roman" w:hAnsi="Times New Roman"/>
          <w:b/>
          <w:color w:val="000000"/>
          <w:sz w:val="28"/>
          <w:szCs w:val="28"/>
        </w:rPr>
        <w:lastRenderedPageBreak/>
        <w:t>Качество услуг</w:t>
      </w:r>
    </w:p>
    <w:p w:rsidR="00126E41" w:rsidRPr="00B04101" w:rsidRDefault="00126E41" w:rsidP="00126E41">
      <w:pPr>
        <w:pStyle w:val="ac"/>
        <w:shd w:val="clear" w:color="auto" w:fill="FFFFFF"/>
        <w:spacing w:after="0" w:line="240" w:lineRule="auto"/>
        <w:ind w:left="-284"/>
        <w:rPr>
          <w:rFonts w:ascii="Times New Roman" w:hAnsi="Times New Roman"/>
          <w:b/>
          <w:color w:val="000000"/>
          <w:sz w:val="28"/>
          <w:szCs w:val="28"/>
        </w:rPr>
      </w:pPr>
    </w:p>
    <w:p w:rsid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4.1.При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1к настоящему контракту.</w:t>
      </w:r>
    </w:p>
    <w:p w:rsidR="00126E41" w:rsidRPr="00B04101" w:rsidRDefault="00126E41" w:rsidP="00B04101">
      <w:pPr>
        <w:shd w:val="clear" w:color="auto" w:fill="FFFFFF"/>
        <w:spacing w:after="0" w:line="240" w:lineRule="auto"/>
        <w:jc w:val="both"/>
        <w:rPr>
          <w:rFonts w:ascii="Times New Roman" w:hAnsi="Times New Roman"/>
          <w:color w:val="000000"/>
          <w:sz w:val="28"/>
          <w:szCs w:val="28"/>
        </w:rPr>
      </w:pPr>
    </w:p>
    <w:p w:rsidR="00B04101" w:rsidRPr="00B04101" w:rsidRDefault="00B04101" w:rsidP="00B04101">
      <w:pPr>
        <w:shd w:val="clear" w:color="auto" w:fill="FFFFFF"/>
        <w:spacing w:after="0" w:line="240" w:lineRule="auto"/>
        <w:jc w:val="center"/>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Ответственность</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shd w:val="clear" w:color="auto" w:fill="FFFFFF"/>
        <w:tabs>
          <w:tab w:val="left" w:pos="1032"/>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5.1 Стороны несут ответственность за неисполнение либо ненадлежащее исполнение своих обязательств по настоящему контракту.</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5.2.В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5.3.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2.1. настоящего контракта.</w:t>
      </w:r>
    </w:p>
    <w:p w:rsidR="00B04101" w:rsidRPr="00B04101" w:rsidRDefault="00B04101" w:rsidP="00126E41">
      <w:pPr>
        <w:spacing w:after="0" w:line="240" w:lineRule="auto"/>
        <w:jc w:val="both"/>
        <w:rPr>
          <w:rFonts w:ascii="Times New Roman" w:hAnsi="Times New Roman"/>
          <w:sz w:val="28"/>
          <w:szCs w:val="28"/>
        </w:rPr>
      </w:pPr>
      <w:r w:rsidRPr="00B04101">
        <w:rPr>
          <w:rFonts w:ascii="Times New Roman" w:hAnsi="Times New Roman"/>
          <w:sz w:val="28"/>
          <w:szCs w:val="28"/>
        </w:rPr>
        <w:lastRenderedPageBreak/>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04101" w:rsidRDefault="00B04101" w:rsidP="00B04101">
      <w:pPr>
        <w:shd w:val="clear" w:color="auto" w:fill="FFFFFF"/>
        <w:tabs>
          <w:tab w:val="left" w:pos="1018"/>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5.4.Уплата неустойки </w:t>
      </w:r>
      <w:r w:rsidRPr="00B04101">
        <w:rPr>
          <w:rFonts w:ascii="Times New Roman" w:hAnsi="Times New Roman"/>
          <w:sz w:val="28"/>
          <w:szCs w:val="28"/>
        </w:rPr>
        <w:t xml:space="preserve">(штрафа, пеней) </w:t>
      </w:r>
      <w:r w:rsidRPr="00B04101">
        <w:rPr>
          <w:rFonts w:ascii="Times New Roman" w:hAnsi="Times New Roman"/>
          <w:color w:val="000000"/>
          <w:sz w:val="28"/>
          <w:szCs w:val="28"/>
        </w:rPr>
        <w:t xml:space="preserve"> не освобождает стороны от выполнения принятых обязательств.</w:t>
      </w:r>
    </w:p>
    <w:p w:rsidR="00126E41" w:rsidRPr="00B04101" w:rsidRDefault="00126E41" w:rsidP="00B04101">
      <w:pPr>
        <w:shd w:val="clear" w:color="auto" w:fill="FFFFFF"/>
        <w:tabs>
          <w:tab w:val="left" w:pos="1018"/>
        </w:tabs>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Действие и прекращение действия контракта.</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6.1.Настоящий контракт составлен в 3-х экземплярах, имеющих одинаковую юридическую силу.</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6.4. Во всем остальном, что не предусмотрено настоящим контрактом, применяются нормы действующего законодательства.</w:t>
      </w:r>
    </w:p>
    <w:p w:rsidR="00126E41" w:rsidRPr="00B04101" w:rsidRDefault="00126E41" w:rsidP="00B04101">
      <w:pPr>
        <w:spacing w:after="0" w:line="240" w:lineRule="auto"/>
        <w:jc w:val="both"/>
        <w:rPr>
          <w:rFonts w:ascii="Times New Roman" w:hAnsi="Times New Roman"/>
          <w:sz w:val="28"/>
          <w:szCs w:val="28"/>
        </w:rPr>
      </w:pPr>
    </w:p>
    <w:p w:rsidR="00B04101" w:rsidRDefault="00B04101" w:rsidP="00B04101">
      <w:pPr>
        <w:pStyle w:val="ac"/>
        <w:numPr>
          <w:ilvl w:val="0"/>
          <w:numId w:val="8"/>
        </w:numPr>
        <w:shd w:val="clear" w:color="auto" w:fill="FFFFFF"/>
        <w:tabs>
          <w:tab w:val="left" w:pos="3221"/>
        </w:tabs>
        <w:spacing w:after="0" w:line="240" w:lineRule="auto"/>
        <w:ind w:left="0" w:firstLine="2399"/>
        <w:jc w:val="both"/>
        <w:rPr>
          <w:rFonts w:ascii="Times New Roman" w:hAnsi="Times New Roman"/>
          <w:b/>
          <w:color w:val="000000"/>
          <w:sz w:val="28"/>
          <w:szCs w:val="28"/>
        </w:rPr>
      </w:pPr>
      <w:r w:rsidRPr="00B04101">
        <w:rPr>
          <w:rFonts w:ascii="Times New Roman" w:hAnsi="Times New Roman"/>
          <w:b/>
          <w:color w:val="000000"/>
          <w:sz w:val="28"/>
          <w:szCs w:val="28"/>
        </w:rPr>
        <w:t>Разрешение споров между сторонами.</w:t>
      </w:r>
    </w:p>
    <w:p w:rsidR="00126E41" w:rsidRPr="00B04101" w:rsidRDefault="00126E41" w:rsidP="00126E41">
      <w:pPr>
        <w:pStyle w:val="ac"/>
        <w:shd w:val="clear" w:color="auto" w:fill="FFFFFF"/>
        <w:tabs>
          <w:tab w:val="left" w:pos="3221"/>
        </w:tabs>
        <w:spacing w:after="0" w:line="240" w:lineRule="auto"/>
        <w:ind w:left="2399"/>
        <w:jc w:val="both"/>
        <w:rPr>
          <w:rFonts w:ascii="Times New Roman" w:hAnsi="Times New Roman"/>
          <w:b/>
          <w:color w:val="000000"/>
          <w:sz w:val="28"/>
          <w:szCs w:val="28"/>
        </w:rPr>
      </w:pPr>
    </w:p>
    <w:p w:rsidR="00B04101" w:rsidRPr="00B04101" w:rsidRDefault="00B04101" w:rsidP="00B04101">
      <w:pPr>
        <w:shd w:val="clear" w:color="auto" w:fill="FFFFFF"/>
        <w:tabs>
          <w:tab w:val="left" w:pos="360"/>
          <w:tab w:val="left" w:pos="540"/>
          <w:tab w:val="left" w:pos="662"/>
        </w:tabs>
        <w:spacing w:after="0" w:line="240" w:lineRule="auto"/>
        <w:jc w:val="both"/>
        <w:rPr>
          <w:rFonts w:ascii="Times New Roman" w:hAnsi="Times New Roman"/>
          <w:sz w:val="28"/>
          <w:szCs w:val="28"/>
        </w:rPr>
      </w:pPr>
      <w:r w:rsidRPr="00B04101">
        <w:rPr>
          <w:rFonts w:ascii="Times New Roman" w:hAnsi="Times New Roman"/>
          <w:color w:val="000000"/>
          <w:sz w:val="28"/>
          <w:szCs w:val="28"/>
        </w:rPr>
        <w:t>7.1. Правоотношения между сторонами по настоящему контракту регулируется законодательством Российской Федерации.</w:t>
      </w:r>
    </w:p>
    <w:p w:rsidR="00B04101" w:rsidRPr="00B04101" w:rsidRDefault="00B04101" w:rsidP="00126E41">
      <w:pPr>
        <w:shd w:val="clear" w:color="auto" w:fill="FFFFFF"/>
        <w:tabs>
          <w:tab w:val="left" w:pos="418"/>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7.2.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04101" w:rsidRPr="00B04101" w:rsidRDefault="00B04101" w:rsidP="00B04101">
      <w:pPr>
        <w:pStyle w:val="ac"/>
        <w:shd w:val="clear" w:color="auto" w:fill="FFFFFF"/>
        <w:tabs>
          <w:tab w:val="left" w:pos="709"/>
        </w:tabs>
        <w:spacing w:after="0" w:line="240" w:lineRule="auto"/>
        <w:ind w:left="0"/>
        <w:jc w:val="center"/>
        <w:rPr>
          <w:rFonts w:ascii="Times New Roman" w:hAnsi="Times New Roman"/>
          <w:b/>
          <w:color w:val="000000"/>
          <w:sz w:val="28"/>
          <w:szCs w:val="28"/>
        </w:rPr>
      </w:pPr>
    </w:p>
    <w:p w:rsidR="00126E41" w:rsidRDefault="00B04101" w:rsidP="00126E41">
      <w:pPr>
        <w:pStyle w:val="ac"/>
        <w:numPr>
          <w:ilvl w:val="0"/>
          <w:numId w:val="8"/>
        </w:numPr>
        <w:shd w:val="clear" w:color="auto" w:fill="FFFFFF"/>
        <w:tabs>
          <w:tab w:val="left" w:pos="709"/>
        </w:tabs>
        <w:spacing w:after="0" w:line="240" w:lineRule="auto"/>
        <w:jc w:val="center"/>
        <w:rPr>
          <w:rFonts w:ascii="Times New Roman" w:hAnsi="Times New Roman"/>
          <w:b/>
          <w:color w:val="000000"/>
          <w:sz w:val="28"/>
          <w:szCs w:val="28"/>
        </w:rPr>
      </w:pPr>
      <w:r w:rsidRPr="00B04101">
        <w:rPr>
          <w:rFonts w:ascii="Times New Roman" w:hAnsi="Times New Roman"/>
          <w:b/>
          <w:color w:val="000000"/>
          <w:sz w:val="28"/>
          <w:szCs w:val="28"/>
        </w:rPr>
        <w:t>Обстоятельства непреодолимой силы.</w:t>
      </w:r>
    </w:p>
    <w:p w:rsidR="00126E41" w:rsidRPr="00126E41" w:rsidRDefault="00126E41" w:rsidP="00126E41">
      <w:pPr>
        <w:pStyle w:val="ac"/>
        <w:shd w:val="clear" w:color="auto" w:fill="FFFFFF"/>
        <w:tabs>
          <w:tab w:val="left" w:pos="709"/>
        </w:tabs>
        <w:spacing w:after="0" w:line="240" w:lineRule="auto"/>
        <w:rPr>
          <w:rFonts w:ascii="Times New Roman" w:hAnsi="Times New Roman"/>
          <w:b/>
          <w:color w:val="000000"/>
          <w:sz w:val="28"/>
          <w:szCs w:val="28"/>
        </w:rPr>
      </w:pPr>
    </w:p>
    <w:p w:rsidR="00B04101" w:rsidRPr="00B04101" w:rsidRDefault="00B04101" w:rsidP="00B04101">
      <w:pPr>
        <w:shd w:val="clear" w:color="auto" w:fill="FFFFFF"/>
        <w:tabs>
          <w:tab w:val="left" w:pos="437"/>
        </w:tabs>
        <w:spacing w:after="0" w:line="240" w:lineRule="auto"/>
        <w:jc w:val="both"/>
        <w:rPr>
          <w:rFonts w:ascii="Times New Roman" w:hAnsi="Times New Roman"/>
          <w:sz w:val="28"/>
          <w:szCs w:val="28"/>
        </w:rPr>
      </w:pPr>
      <w:r w:rsidRPr="00B04101">
        <w:rPr>
          <w:rFonts w:ascii="Times New Roman" w:hAnsi="Times New Roman"/>
          <w:color w:val="000000"/>
          <w:sz w:val="28"/>
          <w:szCs w:val="28"/>
        </w:rPr>
        <w:t xml:space="preserve">8.1. Стороны освобождаются от ответственности за частичное или полное неисполнение своих обязательств по настоящему контракту, если их </w:t>
      </w:r>
      <w:r w:rsidRPr="00B04101">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B04101" w:rsidRPr="00B04101" w:rsidRDefault="00B04101" w:rsidP="00B04101">
      <w:pPr>
        <w:shd w:val="clear" w:color="auto" w:fill="FFFFFF"/>
        <w:tabs>
          <w:tab w:val="left" w:pos="499"/>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8.2.</w:t>
      </w:r>
      <w:r w:rsidRPr="00B04101">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B04101">
        <w:rPr>
          <w:rFonts w:ascii="Times New Roman" w:hAnsi="Times New Roman"/>
          <w:sz w:val="28"/>
          <w:szCs w:val="28"/>
        </w:rPr>
        <w:t xml:space="preserve"> </w:t>
      </w:r>
      <w:r w:rsidRPr="00B04101">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04101" w:rsidRPr="00B04101" w:rsidRDefault="00B04101" w:rsidP="00126E41">
      <w:pPr>
        <w:shd w:val="clear" w:color="auto" w:fill="FFFFFF"/>
        <w:spacing w:after="0" w:line="240" w:lineRule="auto"/>
        <w:rPr>
          <w:rFonts w:ascii="Times New Roman" w:hAnsi="Times New Roman"/>
          <w:b/>
          <w:sz w:val="28"/>
          <w:szCs w:val="28"/>
        </w:rPr>
      </w:pPr>
    </w:p>
    <w:p w:rsidR="00B04101" w:rsidRPr="00126E41" w:rsidRDefault="00B04101" w:rsidP="00126E41">
      <w:pPr>
        <w:pStyle w:val="ac"/>
        <w:numPr>
          <w:ilvl w:val="0"/>
          <w:numId w:val="8"/>
        </w:numPr>
        <w:shd w:val="clear" w:color="auto" w:fill="FFFFFF"/>
        <w:spacing w:after="0" w:line="240" w:lineRule="auto"/>
        <w:jc w:val="center"/>
        <w:rPr>
          <w:rFonts w:ascii="Times New Roman" w:hAnsi="Times New Roman"/>
          <w:b/>
          <w:sz w:val="28"/>
          <w:szCs w:val="28"/>
        </w:rPr>
      </w:pPr>
      <w:r w:rsidRPr="00126E41">
        <w:rPr>
          <w:rFonts w:ascii="Times New Roman" w:hAnsi="Times New Roman"/>
          <w:b/>
          <w:sz w:val="28"/>
          <w:szCs w:val="28"/>
        </w:rPr>
        <w:t>Обеспечение муниципального контракта.</w:t>
      </w:r>
    </w:p>
    <w:p w:rsidR="00126E41" w:rsidRPr="00126E41" w:rsidRDefault="00126E41" w:rsidP="00126E41">
      <w:pPr>
        <w:pStyle w:val="ac"/>
        <w:shd w:val="clear" w:color="auto" w:fill="FFFFFF"/>
        <w:spacing w:after="0" w:line="240" w:lineRule="auto"/>
        <w:rPr>
          <w:rFonts w:ascii="Times New Roman" w:hAnsi="Times New Roman"/>
          <w:b/>
          <w:sz w:val="28"/>
          <w:szCs w:val="28"/>
        </w:rPr>
      </w:pP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9.1. Обеспечение исполнения настоящего муниципального контракта предоставляется ИСПОЛНИТЕЛЕМ  одним из следующих способов:</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-безотзывная банковская гарантия;</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-договор поручительства;</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9.2. Способ обеспечения исполнения настоящего контракта из вышеперечисленных способов определяется ИСПОЛНИТЕЛЕМ  самостоятельно.</w:t>
      </w:r>
    </w:p>
    <w:p w:rsidR="00B04101" w:rsidRPr="00B04101" w:rsidRDefault="00B04101" w:rsidP="00B04101">
      <w:pPr>
        <w:shd w:val="clear" w:color="auto" w:fill="FFFFFF"/>
        <w:spacing w:after="0" w:line="240" w:lineRule="auto"/>
        <w:jc w:val="both"/>
        <w:rPr>
          <w:rFonts w:ascii="Times New Roman" w:hAnsi="Times New Roman"/>
          <w:sz w:val="28"/>
          <w:szCs w:val="28"/>
        </w:rPr>
      </w:pPr>
    </w:p>
    <w:p w:rsidR="00B04101" w:rsidRDefault="00B04101" w:rsidP="00126E41">
      <w:pPr>
        <w:pStyle w:val="ac"/>
        <w:spacing w:after="0" w:line="240" w:lineRule="auto"/>
        <w:ind w:left="2268"/>
        <w:rPr>
          <w:rFonts w:ascii="Times New Roman" w:hAnsi="Times New Roman"/>
          <w:b/>
          <w:sz w:val="28"/>
          <w:szCs w:val="28"/>
        </w:rPr>
      </w:pPr>
      <w:r w:rsidRPr="00B04101">
        <w:rPr>
          <w:rFonts w:ascii="Times New Roman" w:hAnsi="Times New Roman"/>
          <w:b/>
          <w:sz w:val="28"/>
          <w:szCs w:val="28"/>
        </w:rPr>
        <w:t>10.Приложения к настоящему контракту.</w:t>
      </w:r>
    </w:p>
    <w:p w:rsidR="00126E41" w:rsidRPr="00126E41" w:rsidRDefault="00126E41" w:rsidP="00126E41">
      <w:pPr>
        <w:spacing w:after="0" w:line="240" w:lineRule="auto"/>
        <w:rPr>
          <w:rFonts w:ascii="Times New Roman" w:hAnsi="Times New Roman"/>
          <w:b/>
          <w:sz w:val="28"/>
          <w:szCs w:val="28"/>
        </w:rPr>
      </w:pPr>
    </w:p>
    <w:p w:rsidR="00B04101" w:rsidRPr="00B04101" w:rsidRDefault="00B04101" w:rsidP="00B04101">
      <w:pPr>
        <w:pStyle w:val="a3"/>
        <w:rPr>
          <w:b/>
          <w:bCs/>
          <w:iCs/>
          <w:sz w:val="28"/>
          <w:szCs w:val="28"/>
        </w:rPr>
      </w:pPr>
      <w:r w:rsidRPr="00B04101">
        <w:rPr>
          <w:sz w:val="28"/>
          <w:szCs w:val="28"/>
        </w:rPr>
        <w:t xml:space="preserve">10.1.Приложение № 1 – </w:t>
      </w:r>
      <w:r w:rsidRPr="00B04101">
        <w:rPr>
          <w:b/>
          <w:sz w:val="28"/>
          <w:szCs w:val="28"/>
        </w:rPr>
        <w:t xml:space="preserve">Техническое задание </w:t>
      </w: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B04101" w:rsidRPr="00B04101" w:rsidRDefault="00B04101" w:rsidP="00B04101">
      <w:pPr>
        <w:pStyle w:val="ConsPlusNormal"/>
        <w:widowControl/>
        <w:ind w:firstLine="0"/>
        <w:jc w:val="center"/>
        <w:rPr>
          <w:rFonts w:ascii="Times New Roman" w:hAnsi="Times New Roman" w:cs="Times New Roman"/>
          <w:b/>
          <w:sz w:val="28"/>
          <w:szCs w:val="28"/>
        </w:rPr>
      </w:pPr>
    </w:p>
    <w:p w:rsidR="00B04101" w:rsidRDefault="00B04101" w:rsidP="00B04101">
      <w:pPr>
        <w:pStyle w:val="ConsPlusNormal"/>
        <w:widowControl/>
        <w:ind w:firstLine="0"/>
        <w:jc w:val="center"/>
        <w:rPr>
          <w:rFonts w:ascii="Times New Roman" w:hAnsi="Times New Roman" w:cs="Times New Roman"/>
          <w:b/>
          <w:sz w:val="28"/>
          <w:szCs w:val="28"/>
        </w:rPr>
      </w:pPr>
    </w:p>
    <w:p w:rsidR="00126E41" w:rsidRDefault="00126E41" w:rsidP="00B04101">
      <w:pPr>
        <w:pStyle w:val="ConsPlusNormal"/>
        <w:widowControl/>
        <w:ind w:firstLine="0"/>
        <w:jc w:val="center"/>
        <w:rPr>
          <w:rFonts w:ascii="Times New Roman" w:hAnsi="Times New Roman" w:cs="Times New Roman"/>
          <w:b/>
          <w:sz w:val="28"/>
          <w:szCs w:val="28"/>
        </w:rPr>
      </w:pPr>
    </w:p>
    <w:p w:rsidR="00126E41" w:rsidRPr="00B04101" w:rsidRDefault="00126E41" w:rsidP="00B04101">
      <w:pPr>
        <w:pStyle w:val="ConsPlusNormal"/>
        <w:widowControl/>
        <w:ind w:firstLine="0"/>
        <w:jc w:val="center"/>
        <w:rPr>
          <w:rFonts w:ascii="Times New Roman" w:hAnsi="Times New Roman" w:cs="Times New Roman"/>
          <w:b/>
          <w:sz w:val="28"/>
          <w:szCs w:val="28"/>
        </w:rPr>
      </w:pPr>
    </w:p>
    <w:p w:rsidR="00B04101" w:rsidRDefault="00B04101" w:rsidP="00B04101">
      <w:pPr>
        <w:pStyle w:val="ConsPlusNormal"/>
        <w:widowControl/>
        <w:ind w:firstLine="0"/>
        <w:jc w:val="center"/>
        <w:rPr>
          <w:rFonts w:ascii="Times New Roman" w:hAnsi="Times New Roman" w:cs="Times New Roman"/>
          <w:b/>
          <w:sz w:val="28"/>
          <w:szCs w:val="28"/>
        </w:rPr>
      </w:pPr>
      <w:r w:rsidRPr="00B04101">
        <w:rPr>
          <w:rFonts w:ascii="Times New Roman" w:hAnsi="Times New Roman" w:cs="Times New Roman"/>
          <w:b/>
          <w:sz w:val="28"/>
          <w:szCs w:val="28"/>
        </w:rPr>
        <w:lastRenderedPageBreak/>
        <w:t>11. АДРЕСА, БАНКОВСКИЕ РЕКВИЗИТЫ И ПОДПИСИ СТОРОН</w:t>
      </w:r>
    </w:p>
    <w:p w:rsidR="00126E41" w:rsidRPr="00B04101" w:rsidRDefault="00126E41" w:rsidP="00B04101">
      <w:pPr>
        <w:pStyle w:val="ConsPlusNormal"/>
        <w:widowControl/>
        <w:ind w:firstLine="0"/>
        <w:jc w:val="center"/>
        <w:rPr>
          <w:rFonts w:ascii="Times New Roman" w:hAnsi="Times New Roman" w:cs="Times New Roman"/>
          <w:b/>
          <w:sz w:val="28"/>
          <w:szCs w:val="28"/>
        </w:rPr>
      </w:pPr>
    </w:p>
    <w:tbl>
      <w:tblPr>
        <w:tblW w:w="0" w:type="auto"/>
        <w:tblLook w:val="04A0"/>
      </w:tblPr>
      <w:tblGrid>
        <w:gridCol w:w="4954"/>
        <w:gridCol w:w="4899"/>
      </w:tblGrid>
      <w:tr w:rsidR="00B04101" w:rsidRPr="00B04101" w:rsidTr="00CE485B">
        <w:tc>
          <w:tcPr>
            <w:tcW w:w="5068" w:type="dxa"/>
          </w:tcPr>
          <w:p w:rsidR="00B04101" w:rsidRPr="00B04101" w:rsidRDefault="00B04101" w:rsidP="00CE485B">
            <w:pPr>
              <w:pStyle w:val="ConsNormal"/>
              <w:ind w:firstLine="540"/>
              <w:jc w:val="both"/>
              <w:rPr>
                <w:rFonts w:ascii="Times New Roman" w:hAnsi="Times New Roman"/>
                <w:b/>
                <w:bCs/>
                <w:sz w:val="28"/>
                <w:szCs w:val="28"/>
              </w:rPr>
            </w:pPr>
            <w:r w:rsidRPr="00B04101">
              <w:rPr>
                <w:rFonts w:ascii="Times New Roman" w:hAnsi="Times New Roman"/>
                <w:b/>
                <w:bCs/>
                <w:sz w:val="28"/>
                <w:szCs w:val="28"/>
              </w:rPr>
              <w:t>Заказчик:</w:t>
            </w:r>
          </w:p>
          <w:p w:rsidR="00B04101" w:rsidRPr="00B04101" w:rsidRDefault="00B04101" w:rsidP="00CE485B">
            <w:pPr>
              <w:pStyle w:val="ConsNormal"/>
              <w:ind w:firstLine="0"/>
              <w:jc w:val="both"/>
              <w:rPr>
                <w:rFonts w:ascii="Times New Roman" w:hAnsi="Times New Roman"/>
                <w:b/>
                <w:bCs/>
                <w:sz w:val="28"/>
                <w:szCs w:val="28"/>
              </w:rPr>
            </w:pPr>
            <w:r w:rsidRPr="00B04101">
              <w:rPr>
                <w:rFonts w:ascii="Times New Roman" w:hAnsi="Times New Roman"/>
                <w:b/>
                <w:bCs/>
                <w:sz w:val="28"/>
                <w:szCs w:val="28"/>
              </w:rPr>
              <w:t xml:space="preserve">Администрация Свердловского района </w:t>
            </w:r>
          </w:p>
          <w:p w:rsidR="00B04101" w:rsidRPr="00B04101" w:rsidRDefault="00B04101" w:rsidP="00CE485B">
            <w:pPr>
              <w:pStyle w:val="ConsNormal"/>
              <w:ind w:firstLine="0"/>
              <w:jc w:val="both"/>
              <w:rPr>
                <w:rFonts w:ascii="Times New Roman" w:hAnsi="Times New Roman"/>
                <w:b/>
                <w:bCs/>
                <w:sz w:val="28"/>
                <w:szCs w:val="28"/>
              </w:rPr>
            </w:pPr>
            <w:r w:rsidRPr="00B04101">
              <w:rPr>
                <w:rFonts w:ascii="Times New Roman" w:hAnsi="Times New Roman"/>
                <w:b/>
                <w:bCs/>
                <w:sz w:val="28"/>
                <w:szCs w:val="28"/>
              </w:rPr>
              <w:t xml:space="preserve">города Перми </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 xml:space="preserve">Местонахождение: 614990, город Пермь, </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ул. Сибирская, 58</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КПП 590401001  ИНН 5904080513</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Банковские реквизиты:</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УФК по Пермскому краю (ДФ г.Перми, Администрация Свердловского района города Перми, л/с 02932011554)</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Р/сч 40204810300000000006</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в ГРКЦ ГУ Банка России по Пермскому краю г.Пермь</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 xml:space="preserve">БИК 045773001 </w:t>
            </w:r>
          </w:p>
          <w:p w:rsidR="00B04101" w:rsidRPr="00B04101" w:rsidRDefault="00B04101" w:rsidP="00CE485B">
            <w:pPr>
              <w:pStyle w:val="ConsPlusNonformat"/>
              <w:widowControl/>
              <w:rPr>
                <w:rFonts w:ascii="Times New Roman" w:hAnsi="Times New Roman" w:cs="Times New Roman"/>
                <w:sz w:val="28"/>
                <w:szCs w:val="28"/>
              </w:rPr>
            </w:pPr>
            <w:r w:rsidRPr="00B04101">
              <w:rPr>
                <w:rFonts w:ascii="Times New Roman" w:hAnsi="Times New Roman" w:cs="Times New Roman"/>
                <w:sz w:val="28"/>
                <w:szCs w:val="28"/>
              </w:rPr>
              <w:t>ОГРН 1025900918251</w:t>
            </w:r>
          </w:p>
          <w:p w:rsidR="00B04101" w:rsidRPr="00B04101" w:rsidRDefault="00B04101" w:rsidP="00CE485B">
            <w:pPr>
              <w:pStyle w:val="ConsPlusNonformat"/>
              <w:widowControl/>
              <w:rPr>
                <w:rFonts w:ascii="Times New Roman" w:hAnsi="Times New Roman" w:cs="Times New Roman"/>
                <w:sz w:val="28"/>
                <w:szCs w:val="28"/>
              </w:rPr>
            </w:pPr>
            <w:r w:rsidRPr="00B04101">
              <w:rPr>
                <w:rFonts w:ascii="Times New Roman" w:hAnsi="Times New Roman" w:cs="Times New Roman"/>
                <w:sz w:val="28"/>
                <w:szCs w:val="28"/>
              </w:rPr>
              <w:t>ОКАТО 57401000000</w:t>
            </w: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r w:rsidRPr="00B04101">
              <w:rPr>
                <w:rFonts w:ascii="Times New Roman" w:hAnsi="Times New Roman" w:cs="Times New Roman"/>
                <w:sz w:val="28"/>
                <w:szCs w:val="28"/>
              </w:rPr>
              <w:t>Глава администрации Свердловского района города Перми</w:t>
            </w: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r w:rsidRPr="00B04101">
              <w:rPr>
                <w:rFonts w:ascii="Times New Roman" w:hAnsi="Times New Roman" w:cs="Times New Roman"/>
                <w:sz w:val="28"/>
                <w:szCs w:val="28"/>
              </w:rPr>
              <w:t>____________________ В.И. Петенко</w:t>
            </w:r>
          </w:p>
          <w:p w:rsidR="00B04101" w:rsidRPr="00B04101" w:rsidRDefault="00B04101" w:rsidP="00CE485B">
            <w:pPr>
              <w:pStyle w:val="ConsPlusNonformat"/>
              <w:widowControl/>
              <w:jc w:val="both"/>
              <w:rPr>
                <w:rFonts w:ascii="Times New Roman" w:hAnsi="Times New Roman" w:cs="Times New Roman"/>
                <w:sz w:val="28"/>
                <w:szCs w:val="28"/>
              </w:rPr>
            </w:pPr>
          </w:p>
        </w:tc>
        <w:tc>
          <w:tcPr>
            <w:tcW w:w="5069" w:type="dxa"/>
          </w:tcPr>
          <w:p w:rsidR="00B04101" w:rsidRPr="00B04101" w:rsidRDefault="00B04101" w:rsidP="00CE485B">
            <w:pPr>
              <w:pStyle w:val="ConsNonformat"/>
              <w:widowControl/>
              <w:jc w:val="both"/>
              <w:rPr>
                <w:rFonts w:ascii="Times New Roman" w:hAnsi="Times New Roman" w:cs="Times New Roman"/>
                <w:b/>
                <w:bCs/>
                <w:sz w:val="28"/>
                <w:szCs w:val="28"/>
              </w:rPr>
            </w:pPr>
            <w:r w:rsidRPr="00B04101">
              <w:rPr>
                <w:rFonts w:ascii="Times New Roman" w:hAnsi="Times New Roman" w:cs="Times New Roman"/>
                <w:b/>
                <w:bCs/>
                <w:sz w:val="28"/>
                <w:szCs w:val="28"/>
              </w:rPr>
              <w:t>Исполнитель:</w:t>
            </w: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Default="00B0410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Pr="00B04101" w:rsidRDefault="00126E41" w:rsidP="00CE485B">
            <w:pPr>
              <w:pStyle w:val="ConsNonformat"/>
              <w:widowControl/>
              <w:pBdr>
                <w:bottom w:val="single" w:sz="12" w:space="1" w:color="auto"/>
              </w:pBdr>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tc>
      </w:tr>
    </w:tbl>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126E41" w:rsidRPr="00EA7068" w:rsidRDefault="00126E41" w:rsidP="00126E41">
      <w:pPr>
        <w:spacing w:after="0" w:line="240" w:lineRule="auto"/>
        <w:jc w:val="right"/>
        <w:rPr>
          <w:rFonts w:ascii="Times New Roman" w:hAnsi="Times New Roman" w:cs="Times New Roman"/>
          <w:sz w:val="28"/>
          <w:szCs w:val="28"/>
        </w:rPr>
      </w:pPr>
    </w:p>
    <w:p w:rsidR="00126E41" w:rsidRPr="00850351" w:rsidRDefault="00126E41" w:rsidP="00126E41">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126E41" w:rsidRDefault="00126E41" w:rsidP="00126E41">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w:t>
      </w:r>
    </w:p>
    <w:p w:rsidR="00126E41" w:rsidRDefault="00126E41" w:rsidP="00126E41">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____________________</w:t>
      </w:r>
    </w:p>
    <w:p w:rsidR="00126E41" w:rsidRDefault="00126E41" w:rsidP="00126E41">
      <w:pPr>
        <w:spacing w:after="0" w:line="240" w:lineRule="auto"/>
        <w:ind w:firstLine="567"/>
        <w:jc w:val="right"/>
        <w:rPr>
          <w:rFonts w:ascii="Times New Roman" w:hAnsi="Times New Roman" w:cs="Times New Roman"/>
          <w:sz w:val="28"/>
          <w:szCs w:val="28"/>
        </w:rPr>
      </w:pPr>
    </w:p>
    <w:p w:rsidR="00126E41" w:rsidRPr="001D5674" w:rsidRDefault="00126E41" w:rsidP="00126E41">
      <w:pPr>
        <w:pStyle w:val="Style8"/>
        <w:widowControl/>
        <w:spacing w:line="240" w:lineRule="auto"/>
        <w:ind w:firstLine="709"/>
        <w:rPr>
          <w:rStyle w:val="FontStyle13"/>
          <w:b/>
          <w:sz w:val="28"/>
          <w:szCs w:val="28"/>
        </w:rPr>
      </w:pPr>
    </w:p>
    <w:p w:rsidR="00126E41" w:rsidRPr="007357A0" w:rsidRDefault="00126E41" w:rsidP="00126E41">
      <w:pPr>
        <w:pStyle w:val="Style8"/>
        <w:widowControl/>
        <w:spacing w:line="240" w:lineRule="auto"/>
        <w:ind w:firstLine="709"/>
        <w:jc w:val="center"/>
        <w:rPr>
          <w:b/>
          <w:sz w:val="20"/>
          <w:szCs w:val="20"/>
        </w:rPr>
      </w:pPr>
    </w:p>
    <w:p w:rsidR="00126E41" w:rsidRPr="005518A7" w:rsidRDefault="00126E41" w:rsidP="00126E41">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126E41" w:rsidRPr="00CB7B6B" w:rsidRDefault="00126E41" w:rsidP="00126E41">
      <w:pPr>
        <w:spacing w:after="0" w:line="240" w:lineRule="auto"/>
        <w:jc w:val="center"/>
        <w:outlineLvl w:val="0"/>
        <w:rPr>
          <w:rFonts w:ascii="Times New Roman" w:hAnsi="Times New Roman" w:cs="Times New Roman"/>
          <w:b/>
          <w:sz w:val="28"/>
          <w:szCs w:val="28"/>
        </w:rPr>
      </w:pPr>
      <w:r w:rsidRPr="00CB7B6B">
        <w:rPr>
          <w:rFonts w:ascii="Times New Roman" w:hAnsi="Times New Roman" w:cs="Times New Roman"/>
          <w:b/>
          <w:sz w:val="28"/>
          <w:szCs w:val="28"/>
        </w:rPr>
        <w:t>на оказание услуг по организации и проведению праздничны</w:t>
      </w:r>
      <w:r>
        <w:rPr>
          <w:rFonts w:ascii="Times New Roman" w:hAnsi="Times New Roman" w:cs="Times New Roman"/>
          <w:b/>
          <w:sz w:val="28"/>
          <w:szCs w:val="28"/>
        </w:rPr>
        <w:t>х мероприятий, посвященных дню Победы, для жителей микрорайона К</w:t>
      </w:r>
      <w:r w:rsidRPr="00CB7B6B">
        <w:rPr>
          <w:rFonts w:ascii="Times New Roman" w:hAnsi="Times New Roman" w:cs="Times New Roman"/>
          <w:b/>
          <w:sz w:val="28"/>
          <w:szCs w:val="28"/>
        </w:rPr>
        <w:t>рохалева, в соответствии с перечнем мероприятий, направленных на решение отдельных вопросов местного значени</w:t>
      </w:r>
      <w:r>
        <w:rPr>
          <w:rFonts w:ascii="Times New Roman" w:hAnsi="Times New Roman" w:cs="Times New Roman"/>
          <w:b/>
          <w:sz w:val="28"/>
          <w:szCs w:val="28"/>
        </w:rPr>
        <w:t>я в микрорайонах на территории П</w:t>
      </w:r>
      <w:r w:rsidRPr="00CB7B6B">
        <w:rPr>
          <w:rFonts w:ascii="Times New Roman" w:hAnsi="Times New Roman" w:cs="Times New Roman"/>
          <w:b/>
          <w:sz w:val="28"/>
          <w:szCs w:val="28"/>
        </w:rPr>
        <w:t>ермского городского округа, на 2012-2014 годы (п.33.4.2.)</w:t>
      </w:r>
    </w:p>
    <w:p w:rsidR="00126E41" w:rsidRPr="004B3239" w:rsidRDefault="00126E41" w:rsidP="00126E41">
      <w:pPr>
        <w:spacing w:before="240"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w:t>
      </w:r>
      <w:r w:rsidRPr="004B3239">
        <w:rPr>
          <w:rFonts w:ascii="Times New Roman" w:hAnsi="Times New Roman" w:cs="Times New Roman"/>
          <w:b/>
          <w:sz w:val="28"/>
          <w:szCs w:val="28"/>
        </w:rPr>
        <w:t>.</w:t>
      </w:r>
      <w:r>
        <w:rPr>
          <w:rFonts w:ascii="Times New Roman" w:hAnsi="Times New Roman" w:cs="Times New Roman"/>
          <w:b/>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мероприятий, </w:t>
      </w:r>
      <w:r w:rsidRPr="004B3239">
        <w:rPr>
          <w:rStyle w:val="FontStyle14"/>
          <w:sz w:val="28"/>
          <w:szCs w:val="28"/>
        </w:rPr>
        <w:t xml:space="preserve">раскрывающей тему Дня Победы, </w:t>
      </w:r>
      <w:r w:rsidRPr="004B3239">
        <w:rPr>
          <w:rFonts w:ascii="Times New Roman" w:hAnsi="Times New Roman" w:cs="Times New Roman"/>
          <w:sz w:val="28"/>
          <w:szCs w:val="28"/>
        </w:rPr>
        <w:t>на момент заключения контракта.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w:t>
      </w:r>
      <w:r>
        <w:rPr>
          <w:rFonts w:ascii="Times New Roman" w:hAnsi="Times New Roman" w:cs="Times New Roman"/>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по  адресу: Никулина ,41,  ТОС Гусарова.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3.</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Проведение  праздничных мероприятий, посвященных Дню Победы в период с момента заключения контракта по  9 мая 2012 г. Продолжительность мероприятий не менее 2,5  часов. </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 xml:space="preserve">Время проведения мероприятий по  согласованию с заказчиком. </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4. Обеспечение доступности информации о проводимых мероприятиях для жителей микрорайона. Изготовление афиш в количестве не менее 200 штук (двухсот  штук) формат А3,  и их распространение  в период с момента заключения контракта по 8 мая 2012 года.  Текст по согласованию с заказчиком.</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5.</w:t>
      </w:r>
      <w:r>
        <w:rPr>
          <w:sz w:val="28"/>
          <w:szCs w:val="28"/>
        </w:rPr>
        <w:t xml:space="preserve"> </w:t>
      </w:r>
      <w:r w:rsidRPr="004B3239">
        <w:rPr>
          <w:sz w:val="28"/>
          <w:szCs w:val="28"/>
        </w:rPr>
        <w:t>Предоставление и  у</w:t>
      </w:r>
      <w:r w:rsidRPr="004B3239">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4B3239">
          <w:rPr>
            <w:rStyle w:val="FontStyle14"/>
            <w:sz w:val="28"/>
            <w:szCs w:val="28"/>
          </w:rPr>
          <w:t>1,5 метров</w:t>
        </w:r>
      </w:smartTag>
      <w:r w:rsidRPr="004B3239">
        <w:rPr>
          <w:rStyle w:val="FontStyle14"/>
          <w:sz w:val="28"/>
          <w:szCs w:val="28"/>
        </w:rPr>
        <w:t>, художественное декорирование сценической площадки).</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6.</w:t>
      </w:r>
      <w:r>
        <w:rPr>
          <w:rStyle w:val="FontStyle14"/>
          <w:sz w:val="28"/>
          <w:szCs w:val="28"/>
        </w:rPr>
        <w:t xml:space="preserve"> </w:t>
      </w:r>
      <w:r w:rsidRPr="004B3239">
        <w:rPr>
          <w:rStyle w:val="FontStyle14"/>
          <w:sz w:val="28"/>
          <w:szCs w:val="28"/>
        </w:rPr>
        <w:t xml:space="preserve">Художественное оформление мероприятий (изготовление баннера  или тематических конструкций  с  транспарант-перетяжками,), согласно общей </w:t>
      </w:r>
      <w:r w:rsidRPr="004B3239">
        <w:rPr>
          <w:rStyle w:val="FontStyle14"/>
          <w:sz w:val="28"/>
          <w:szCs w:val="28"/>
        </w:rPr>
        <w:lastRenderedPageBreak/>
        <w:t>тематической концепции и предоставление эскиза в цветном изображении.</w:t>
      </w:r>
      <w:r w:rsidRPr="004B3239">
        <w:rPr>
          <w:sz w:val="28"/>
          <w:szCs w:val="28"/>
        </w:rPr>
        <w:t xml:space="preserve"> (баннерное полотно  размером не менее 6мХ 3 м).</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7.</w:t>
      </w:r>
      <w:r>
        <w:rPr>
          <w:rFonts w:ascii="Times New Roman" w:hAnsi="Times New Roman" w:cs="Times New Roman"/>
          <w:sz w:val="28"/>
          <w:szCs w:val="28"/>
        </w:rPr>
        <w:t xml:space="preserve"> </w:t>
      </w:r>
      <w:r w:rsidRPr="004B3239">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Победы, в период проведения  мероприятий. Установка  полного комплекта звуковой аппаратуры  мощностью не менее 3 кВт,  и предоставление не менее 4 радиомикрофонов.</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8. Обеспечение работы звукооператора в период проведения праздничных мероприятий, посвященных Дню Победы.</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9</w:t>
      </w:r>
      <w:r>
        <w:rPr>
          <w:sz w:val="28"/>
          <w:szCs w:val="28"/>
        </w:rPr>
        <w:t xml:space="preserve">. </w:t>
      </w:r>
      <w:r w:rsidRPr="004B3239">
        <w:rPr>
          <w:sz w:val="28"/>
          <w:szCs w:val="28"/>
        </w:rPr>
        <w:t>Обеспечение работы    ведущего   в период проведения праздничных мероприятий, посвященных Дню Победы.</w:t>
      </w:r>
    </w:p>
    <w:p w:rsidR="00126E41" w:rsidRPr="004B3239" w:rsidRDefault="00126E41" w:rsidP="00126E41">
      <w:pPr>
        <w:pStyle w:val="ad"/>
        <w:jc w:val="both"/>
        <w:rPr>
          <w:rStyle w:val="FontStyle14"/>
          <w:sz w:val="28"/>
          <w:szCs w:val="28"/>
        </w:rPr>
      </w:pPr>
      <w:r w:rsidRPr="004B3239">
        <w:rPr>
          <w:rFonts w:ascii="Times New Roman" w:hAnsi="Times New Roman" w:cs="Times New Roman"/>
          <w:sz w:val="28"/>
          <w:szCs w:val="28"/>
        </w:rPr>
        <w:t>10.</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Подготовка и проведение праздничных мероприятий, посвященных Дню Победы, с учетом возрастной категории зрителей и </w:t>
      </w:r>
      <w:r w:rsidRPr="004B3239">
        <w:rPr>
          <w:rStyle w:val="FontStyle14"/>
          <w:sz w:val="28"/>
          <w:szCs w:val="28"/>
        </w:rPr>
        <w:t xml:space="preserve"> обеспечение массового характера мероприяти</w:t>
      </w:r>
      <w:r w:rsidRPr="004B3239">
        <w:rPr>
          <w:rFonts w:ascii="Times New Roman" w:hAnsi="Times New Roman" w:cs="Times New Roman"/>
          <w:sz w:val="28"/>
          <w:szCs w:val="28"/>
        </w:rPr>
        <w:t>й (не менее 300 зрителей).</w:t>
      </w:r>
    </w:p>
    <w:p w:rsidR="00126E41" w:rsidRPr="004B3239" w:rsidRDefault="00126E41" w:rsidP="00126E41">
      <w:pPr>
        <w:spacing w:after="0" w:line="240" w:lineRule="auto"/>
        <w:jc w:val="both"/>
        <w:rPr>
          <w:rFonts w:ascii="Times New Roman" w:hAnsi="Times New Roman" w:cs="Times New Roman"/>
          <w:sz w:val="28"/>
          <w:szCs w:val="28"/>
        </w:rPr>
      </w:pPr>
      <w:r w:rsidRPr="004B3239">
        <w:rPr>
          <w:rStyle w:val="FontStyle14"/>
          <w:sz w:val="28"/>
          <w:szCs w:val="28"/>
        </w:rPr>
        <w:t>11.</w:t>
      </w:r>
      <w:r>
        <w:rPr>
          <w:rStyle w:val="FontStyle14"/>
          <w:sz w:val="28"/>
          <w:szCs w:val="28"/>
        </w:rPr>
        <w:t xml:space="preserve"> </w:t>
      </w:r>
      <w:r w:rsidRPr="004B3239">
        <w:rPr>
          <w:rStyle w:val="FontStyle14"/>
          <w:sz w:val="28"/>
          <w:szCs w:val="28"/>
        </w:rPr>
        <w:t>Обеспечение участия в программах</w:t>
      </w:r>
      <w:r w:rsidRPr="004B3239">
        <w:rPr>
          <w:rFonts w:ascii="Times New Roman" w:hAnsi="Times New Roman" w:cs="Times New Roman"/>
          <w:sz w:val="28"/>
          <w:szCs w:val="28"/>
        </w:rPr>
        <w:t xml:space="preserve"> праздничных мероприятий</w:t>
      </w:r>
      <w:r w:rsidRPr="004B3239">
        <w:rPr>
          <w:rStyle w:val="FontStyle14"/>
          <w:sz w:val="28"/>
          <w:szCs w:val="28"/>
        </w:rPr>
        <w:t xml:space="preserve"> не менее                                    5 разножанровых  творческих коллективов </w:t>
      </w:r>
      <w:r w:rsidRPr="004B3239">
        <w:rPr>
          <w:rFonts w:ascii="Times New Roman" w:hAnsi="Times New Roman" w:cs="Times New Roman"/>
          <w:sz w:val="28"/>
          <w:szCs w:val="28"/>
        </w:rPr>
        <w:t xml:space="preserve">(в том числе: </w:t>
      </w:r>
      <w:r w:rsidRPr="004B3239">
        <w:rPr>
          <w:rStyle w:val="FontStyle14"/>
          <w:sz w:val="28"/>
          <w:szCs w:val="28"/>
        </w:rPr>
        <w:t>танцевального  ансамбля, духового оркестра, эстрадного ансамбля, вокально-инструментальной группы,  дуэтов)</w:t>
      </w:r>
      <w:r w:rsidRPr="004B3239">
        <w:rPr>
          <w:rFonts w:ascii="Times New Roman" w:hAnsi="Times New Roman" w:cs="Times New Roman"/>
          <w:sz w:val="28"/>
          <w:szCs w:val="28"/>
        </w:rPr>
        <w:t>.</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12.  Наличие сценических костюмов у участников каждого творческого коллектива.</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13. Проведение интерактивных тематических программ с организацией работы не менее 3 аниматоров (время по согласованию с заказчиком).</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14.</w:t>
      </w:r>
      <w:r>
        <w:rPr>
          <w:rFonts w:ascii="Times New Roman" w:hAnsi="Times New Roman" w:cs="Times New Roman"/>
          <w:sz w:val="28"/>
          <w:szCs w:val="28"/>
        </w:rPr>
        <w:t xml:space="preserve"> </w:t>
      </w:r>
      <w:r w:rsidRPr="004B3239">
        <w:rPr>
          <w:rFonts w:ascii="Times New Roman" w:hAnsi="Times New Roman" w:cs="Times New Roman"/>
          <w:sz w:val="28"/>
          <w:szCs w:val="28"/>
        </w:rPr>
        <w:t>Приобретение наборов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с момента заключения контракта по 8 мая 2012г. по согласованию с заказчиком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15.</w:t>
      </w:r>
      <w:r>
        <w:rPr>
          <w:rFonts w:ascii="Times New Roman" w:hAnsi="Times New Roman" w:cs="Times New Roman"/>
          <w:sz w:val="28"/>
          <w:szCs w:val="28"/>
        </w:rPr>
        <w:t xml:space="preserve"> </w:t>
      </w:r>
      <w:r w:rsidRPr="004B3239">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16.</w:t>
      </w:r>
      <w:r>
        <w:rPr>
          <w:rStyle w:val="FontStyle14"/>
          <w:sz w:val="28"/>
          <w:szCs w:val="28"/>
        </w:rPr>
        <w:t xml:space="preserve"> </w:t>
      </w:r>
      <w:r w:rsidRPr="004B3239">
        <w:rPr>
          <w:rStyle w:val="FontStyle14"/>
          <w:sz w:val="28"/>
          <w:szCs w:val="28"/>
        </w:rPr>
        <w:t>Предоставление услуг автотранспорта для творческих коллективов в период проведения праздника.</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17.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lastRenderedPageBreak/>
        <w:t xml:space="preserve">18. Обеспечение соблюдения санитарных норм  до и после проведения  </w:t>
      </w:r>
      <w:r w:rsidRPr="004B3239">
        <w:rPr>
          <w:rFonts w:ascii="Times New Roman" w:hAnsi="Times New Roman" w:cs="Times New Roman"/>
          <w:sz w:val="28"/>
          <w:szCs w:val="28"/>
        </w:rPr>
        <w:t>праздничных мероприятий, посвященных Дню Победы.</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19. Обеспечение безопасности зрителей и участников при проведении мероприятий с привлечением специалистов УВД или ЧОП.</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Предоставление отчетных показателей  по количеству посетителей мероприятий справками  УВД или ЧОП</w:t>
      </w:r>
      <w:r>
        <w:rPr>
          <w:rStyle w:val="FontStyle14"/>
          <w:sz w:val="28"/>
          <w:szCs w:val="28"/>
        </w:rPr>
        <w:t>.</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20.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21.</w:t>
      </w:r>
      <w:r>
        <w:rPr>
          <w:rFonts w:ascii="Times New Roman" w:hAnsi="Times New Roman" w:cs="Times New Roman"/>
          <w:sz w:val="28"/>
          <w:szCs w:val="28"/>
        </w:rPr>
        <w:t xml:space="preserve"> </w:t>
      </w:r>
      <w:r w:rsidRPr="004B3239">
        <w:rPr>
          <w:rFonts w:ascii="Times New Roman" w:hAnsi="Times New Roman" w:cs="Times New Roman"/>
          <w:sz w:val="28"/>
          <w:szCs w:val="28"/>
        </w:rPr>
        <w:t>Оценочные показатели качества услуг:</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-исполнение  концертных номеров  в выступлениях не менее пяти творческих коллективов,  работа  ведущего и аниматоров;</w:t>
      </w:r>
    </w:p>
    <w:p w:rsidR="00126E41" w:rsidRPr="004B3239" w:rsidRDefault="00126E41" w:rsidP="00126E41">
      <w:pPr>
        <w:spacing w:after="0"/>
        <w:jc w:val="both"/>
        <w:rPr>
          <w:rFonts w:ascii="Times New Roman" w:hAnsi="Times New Roman"/>
          <w:sz w:val="28"/>
          <w:szCs w:val="28"/>
        </w:rPr>
      </w:pPr>
      <w:r w:rsidRPr="004B3239">
        <w:rPr>
          <w:rFonts w:ascii="Times New Roman" w:hAnsi="Times New Roman"/>
          <w:sz w:val="28"/>
          <w:szCs w:val="28"/>
        </w:rPr>
        <w:t>- разработка программы  в соответствии с заявленной темой;</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своевременное приобретение сувенирной продукции  надлежащего качества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22</w:t>
      </w:r>
      <w:r>
        <w:rPr>
          <w:rFonts w:ascii="Times New Roman" w:hAnsi="Times New Roman" w:cs="Times New Roman"/>
          <w:sz w:val="28"/>
          <w:szCs w:val="28"/>
        </w:rPr>
        <w:t xml:space="preserve"> </w:t>
      </w:r>
      <w:r w:rsidRPr="004B3239">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126E41" w:rsidRPr="00702CCC" w:rsidRDefault="00126E41" w:rsidP="00126E41">
      <w:pPr>
        <w:spacing w:after="0" w:line="360" w:lineRule="auto"/>
        <w:jc w:val="center"/>
        <w:outlineLvl w:val="0"/>
        <w:rPr>
          <w:rFonts w:ascii="Times New Roman" w:hAnsi="Times New Roman" w:cs="Times New Roman"/>
          <w:b/>
          <w:sz w:val="28"/>
          <w:szCs w:val="28"/>
        </w:rPr>
      </w:pPr>
    </w:p>
    <w:p w:rsidR="00126E41" w:rsidRPr="00EA7068" w:rsidRDefault="00126E41" w:rsidP="00126E41">
      <w:pPr>
        <w:spacing w:after="0" w:line="240" w:lineRule="auto"/>
        <w:rPr>
          <w:rFonts w:ascii="Times New Roman" w:hAnsi="Times New Roman" w:cs="Times New Roman"/>
          <w:sz w:val="28"/>
          <w:szCs w:val="28"/>
        </w:rPr>
      </w:pPr>
    </w:p>
    <w:p w:rsidR="00126E41" w:rsidRPr="00570530" w:rsidRDefault="00126E41" w:rsidP="00126E41">
      <w:pPr>
        <w:spacing w:after="0" w:line="360" w:lineRule="auto"/>
        <w:ind w:firstLine="567"/>
        <w:jc w:val="both"/>
        <w:rPr>
          <w:rFonts w:ascii="Times New Roman" w:hAnsi="Times New Roman" w:cs="Times New Roman"/>
          <w:sz w:val="28"/>
          <w:szCs w:val="28"/>
        </w:rPr>
      </w:pPr>
    </w:p>
    <w:p w:rsidR="00126E41" w:rsidRPr="00570530" w:rsidRDefault="00126E41" w:rsidP="00126E41">
      <w:pPr>
        <w:spacing w:after="0" w:line="360" w:lineRule="auto"/>
        <w:ind w:firstLine="567"/>
        <w:jc w:val="both"/>
        <w:rPr>
          <w:rFonts w:ascii="Times New Roman" w:hAnsi="Times New Roman" w:cs="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9B5A85" w:rsidRDefault="009B5A85" w:rsidP="00126E41">
      <w:pPr>
        <w:spacing w:after="0" w:line="240" w:lineRule="auto"/>
        <w:rPr>
          <w:rFonts w:ascii="Times New Roman" w:hAnsi="Times New Roman" w:cs="Times New Roman"/>
          <w:sz w:val="28"/>
          <w:szCs w:val="28"/>
        </w:rPr>
      </w:pP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3</w:t>
      </w:r>
      <w:r w:rsidRPr="00833A1C">
        <w:rPr>
          <w:rFonts w:ascii="Times New Roman" w:hAnsi="Times New Roman" w:cs="Times New Roman"/>
          <w:sz w:val="28"/>
          <w:szCs w:val="28"/>
        </w:rPr>
        <w:t xml:space="preserve"> </w:t>
      </w: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9B5A85" w:rsidRPr="00833A1C" w:rsidRDefault="009B5A85" w:rsidP="009B5A85">
      <w:pPr>
        <w:spacing w:after="0" w:line="240" w:lineRule="auto"/>
        <w:jc w:val="right"/>
        <w:rPr>
          <w:rFonts w:ascii="Times New Roman" w:hAnsi="Times New Roman" w:cs="Times New Roman"/>
          <w:sz w:val="28"/>
          <w:szCs w:val="28"/>
        </w:rPr>
      </w:pPr>
    </w:p>
    <w:p w:rsidR="009B5A85" w:rsidRPr="00833A1C" w:rsidRDefault="009B5A85" w:rsidP="009B5A85">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9B5A85" w:rsidRPr="00833A1C" w:rsidRDefault="009B5A85" w:rsidP="009B5A85">
      <w:pPr>
        <w:spacing w:after="0" w:line="240" w:lineRule="auto"/>
        <w:jc w:val="center"/>
        <w:rPr>
          <w:rFonts w:ascii="Times New Roman" w:hAnsi="Times New Roman" w:cs="Times New Roman"/>
          <w:b/>
          <w:sz w:val="28"/>
          <w:szCs w:val="28"/>
        </w:rPr>
      </w:pPr>
    </w:p>
    <w:p w:rsidR="009B5A85" w:rsidRPr="00833A1C" w:rsidRDefault="00126E41" w:rsidP="009B5A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2012</w:t>
      </w:r>
      <w:r w:rsidR="009B5A85" w:rsidRPr="00833A1C">
        <w:rPr>
          <w:rFonts w:ascii="Times New Roman" w:hAnsi="Times New Roman" w:cs="Times New Roman"/>
          <w:sz w:val="28"/>
          <w:szCs w:val="28"/>
        </w:rPr>
        <w:t>г.</w:t>
      </w:r>
      <w:r w:rsidR="009B5A85" w:rsidRPr="00833A1C">
        <w:rPr>
          <w:rFonts w:ascii="Times New Roman" w:hAnsi="Times New Roman" w:cs="Times New Roman"/>
          <w:sz w:val="28"/>
          <w:szCs w:val="28"/>
        </w:rPr>
        <w:br/>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9B5A85" w:rsidRPr="00833A1C" w:rsidRDefault="009B5A85" w:rsidP="009B5A85">
      <w:pPr>
        <w:autoSpaceDE w:val="0"/>
        <w:autoSpaceDN w:val="0"/>
        <w:adjustRightInd w:val="0"/>
        <w:spacing w:after="0" w:line="240" w:lineRule="auto"/>
        <w:jc w:val="center"/>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9B5A85" w:rsidRPr="004704B8"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9B5A85" w:rsidRPr="008701D6" w:rsidRDefault="009B5A85" w:rsidP="009B5A85">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9B5A85" w:rsidRDefault="009B5A85" w:rsidP="009B5A85"/>
    <w:p w:rsidR="00472448" w:rsidRDefault="00472448"/>
    <w:sectPr w:rsidR="00472448" w:rsidSect="00335905">
      <w:headerReference w:type="default" r:id="rId9"/>
      <w:footerReference w:type="even" r:id="rId10"/>
      <w:footerReference w:type="default" r:id="rId11"/>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32F" w:rsidRDefault="00D0232F" w:rsidP="00611585">
      <w:pPr>
        <w:spacing w:after="0" w:line="240" w:lineRule="auto"/>
      </w:pPr>
      <w:r>
        <w:separator/>
      </w:r>
    </w:p>
  </w:endnote>
  <w:endnote w:type="continuationSeparator" w:id="1">
    <w:p w:rsidR="00D0232F" w:rsidRDefault="00D0232F" w:rsidP="00611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D799A">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D0232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D799A">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1D0BC6">
      <w:rPr>
        <w:rStyle w:val="a9"/>
        <w:noProof/>
      </w:rPr>
      <w:t>2</w:t>
    </w:r>
    <w:r>
      <w:rPr>
        <w:rStyle w:val="a9"/>
      </w:rPr>
      <w:fldChar w:fldCharType="end"/>
    </w:r>
  </w:p>
  <w:p w:rsidR="00D3472A" w:rsidRDefault="00D0232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D799A">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D0232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D799A">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5F7B2D">
      <w:rPr>
        <w:rStyle w:val="a9"/>
        <w:noProof/>
      </w:rPr>
      <w:t>8</w:t>
    </w:r>
    <w:r>
      <w:rPr>
        <w:rStyle w:val="a9"/>
      </w:rPr>
      <w:fldChar w:fldCharType="end"/>
    </w:r>
  </w:p>
  <w:p w:rsidR="00D3472A" w:rsidRDefault="00D0232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32F" w:rsidRDefault="00D0232F" w:rsidP="00611585">
      <w:pPr>
        <w:spacing w:after="0" w:line="240" w:lineRule="auto"/>
      </w:pPr>
      <w:r>
        <w:separator/>
      </w:r>
    </w:p>
  </w:footnote>
  <w:footnote w:type="continuationSeparator" w:id="1">
    <w:p w:rsidR="00D0232F" w:rsidRDefault="00D0232F" w:rsidP="006115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0232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0297_"/>
      </v:shape>
    </w:pict>
  </w:numPicBullet>
  <w:abstractNum w:abstractNumId="0">
    <w:nsid w:val="0B380218"/>
    <w:multiLevelType w:val="hybridMultilevel"/>
    <w:tmpl w:val="3372045C"/>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E4A7E12"/>
    <w:multiLevelType w:val="multilevel"/>
    <w:tmpl w:val="7CB462BC"/>
    <w:lvl w:ilvl="0">
      <w:start w:val="11"/>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0"/>
  </w:num>
  <w:num w:numId="3">
    <w:abstractNumId w:val="6"/>
  </w:num>
  <w:num w:numId="4">
    <w:abstractNumId w:val="2"/>
  </w:num>
  <w:num w:numId="5">
    <w:abstractNumId w:val="7"/>
  </w:num>
  <w:num w:numId="6">
    <w:abstractNumId w:val="5"/>
  </w:num>
  <w:num w:numId="7">
    <w:abstractNumId w:val="1"/>
  </w:num>
  <w:num w:numId="8">
    <w:abstractNumId w:val="9"/>
  </w:num>
  <w:num w:numId="9">
    <w:abstractNumId w:val="4"/>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9B5A85"/>
    <w:rsid w:val="00126E41"/>
    <w:rsid w:val="001544F0"/>
    <w:rsid w:val="001D0BC6"/>
    <w:rsid w:val="002A6C6C"/>
    <w:rsid w:val="003C69AB"/>
    <w:rsid w:val="00472448"/>
    <w:rsid w:val="00497EB9"/>
    <w:rsid w:val="004B3239"/>
    <w:rsid w:val="004C68A8"/>
    <w:rsid w:val="0052585B"/>
    <w:rsid w:val="00566FB4"/>
    <w:rsid w:val="005A2311"/>
    <w:rsid w:val="005F7B2D"/>
    <w:rsid w:val="00611585"/>
    <w:rsid w:val="00651C49"/>
    <w:rsid w:val="006F3A75"/>
    <w:rsid w:val="00716006"/>
    <w:rsid w:val="00781640"/>
    <w:rsid w:val="00810F07"/>
    <w:rsid w:val="009A2333"/>
    <w:rsid w:val="009B5A85"/>
    <w:rsid w:val="00B04101"/>
    <w:rsid w:val="00B81DF9"/>
    <w:rsid w:val="00BC2441"/>
    <w:rsid w:val="00BD799A"/>
    <w:rsid w:val="00BF3C79"/>
    <w:rsid w:val="00CB7B6B"/>
    <w:rsid w:val="00D02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B5A85"/>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9B5A85"/>
    <w:rPr>
      <w:rFonts w:ascii="Times New Roman" w:eastAsia="Times New Roman" w:hAnsi="Times New Roman" w:cs="Times New Roman"/>
      <w:sz w:val="24"/>
      <w:szCs w:val="20"/>
    </w:rPr>
  </w:style>
  <w:style w:type="paragraph" w:styleId="a5">
    <w:name w:val="Body Text Indent"/>
    <w:basedOn w:val="a"/>
    <w:link w:val="a6"/>
    <w:rsid w:val="009B5A8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9B5A85"/>
    <w:rPr>
      <w:rFonts w:ascii="Times New Roman" w:eastAsia="Times New Roman" w:hAnsi="Times New Roman" w:cs="Times New Roman"/>
      <w:sz w:val="20"/>
      <w:szCs w:val="20"/>
    </w:rPr>
  </w:style>
  <w:style w:type="paragraph" w:customStyle="1" w:styleId="ConsPlusNormal">
    <w:name w:val="ConsPlusNormal"/>
    <w:link w:val="ConsPlusNormal0"/>
    <w:rsid w:val="009B5A8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9B5A85"/>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0"/>
    <w:rsid w:val="009B5A85"/>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9B5A85"/>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9B5A85"/>
    <w:rPr>
      <w:rFonts w:ascii="Times New Roman" w:eastAsia="Times New Roman" w:hAnsi="Times New Roman" w:cs="Times New Roman"/>
      <w:sz w:val="20"/>
      <w:szCs w:val="20"/>
    </w:rPr>
  </w:style>
  <w:style w:type="character" w:styleId="a9">
    <w:name w:val="page number"/>
    <w:basedOn w:val="a0"/>
    <w:rsid w:val="009B5A85"/>
  </w:style>
  <w:style w:type="paragraph" w:styleId="aa">
    <w:name w:val="header"/>
    <w:basedOn w:val="a"/>
    <w:link w:val="ab"/>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9B5A85"/>
    <w:rPr>
      <w:rFonts w:ascii="Times New Roman" w:eastAsia="Times New Roman" w:hAnsi="Times New Roman" w:cs="Times New Roman"/>
      <w:sz w:val="20"/>
      <w:szCs w:val="20"/>
    </w:rPr>
  </w:style>
  <w:style w:type="paragraph" w:customStyle="1" w:styleId="ConsNormal">
    <w:name w:val="ConsNormal"/>
    <w:rsid w:val="009B5A85"/>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9B5A85"/>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9B5A85"/>
    <w:rPr>
      <w:rFonts w:ascii="Arial" w:eastAsia="Times New Roman" w:hAnsi="Arial" w:cs="Arial"/>
      <w:sz w:val="20"/>
      <w:szCs w:val="20"/>
    </w:rPr>
  </w:style>
  <w:style w:type="paragraph" w:styleId="ac">
    <w:name w:val="List Paragraph"/>
    <w:basedOn w:val="a"/>
    <w:uiPriority w:val="34"/>
    <w:qFormat/>
    <w:rsid w:val="009B5A85"/>
    <w:pPr>
      <w:ind w:left="720"/>
      <w:contextualSpacing/>
    </w:pPr>
  </w:style>
  <w:style w:type="character" w:customStyle="1" w:styleId="FontStyle14">
    <w:name w:val="Font Style14"/>
    <w:basedOn w:val="a0"/>
    <w:rsid w:val="009B5A85"/>
    <w:rPr>
      <w:rFonts w:ascii="Times New Roman" w:hAnsi="Times New Roman" w:cs="Times New Roman" w:hint="default"/>
      <w:sz w:val="18"/>
      <w:szCs w:val="18"/>
    </w:rPr>
  </w:style>
  <w:style w:type="paragraph" w:customStyle="1" w:styleId="ConsPlusNonformat">
    <w:name w:val="ConsPlu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8">
    <w:name w:val="Style8"/>
    <w:basedOn w:val="a"/>
    <w:rsid w:val="009B5A85"/>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9B5A85"/>
    <w:rPr>
      <w:rFonts w:ascii="Times New Roman" w:hAnsi="Times New Roman" w:cs="Times New Roman"/>
      <w:sz w:val="22"/>
      <w:szCs w:val="22"/>
    </w:rPr>
  </w:style>
  <w:style w:type="paragraph" w:customStyle="1" w:styleId="Style9">
    <w:name w:val="Style9"/>
    <w:basedOn w:val="a"/>
    <w:rsid w:val="009B5A85"/>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9B5A85"/>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styleId="20">
    <w:name w:val="List Number 2"/>
    <w:basedOn w:val="a"/>
    <w:uiPriority w:val="99"/>
    <w:semiHidden/>
    <w:unhideWhenUsed/>
    <w:rsid w:val="009B5A85"/>
    <w:pPr>
      <w:tabs>
        <w:tab w:val="num" w:pos="1248"/>
      </w:tabs>
      <w:ind w:left="1248" w:hanging="360"/>
      <w:contextualSpacing/>
    </w:pPr>
  </w:style>
  <w:style w:type="paragraph" w:styleId="21">
    <w:name w:val="Body Text Indent 2"/>
    <w:basedOn w:val="a"/>
    <w:link w:val="22"/>
    <w:uiPriority w:val="99"/>
    <w:semiHidden/>
    <w:unhideWhenUsed/>
    <w:rsid w:val="009B5A85"/>
    <w:pPr>
      <w:spacing w:after="120" w:line="480" w:lineRule="auto"/>
      <w:ind w:left="283"/>
    </w:pPr>
  </w:style>
  <w:style w:type="character" w:customStyle="1" w:styleId="22">
    <w:name w:val="Основной текст с отступом 2 Знак"/>
    <w:basedOn w:val="a0"/>
    <w:link w:val="21"/>
    <w:uiPriority w:val="99"/>
    <w:semiHidden/>
    <w:rsid w:val="009B5A85"/>
  </w:style>
  <w:style w:type="paragraph" w:styleId="ad">
    <w:name w:val="Plain Text"/>
    <w:basedOn w:val="a"/>
    <w:link w:val="ae"/>
    <w:uiPriority w:val="99"/>
    <w:unhideWhenUsed/>
    <w:rsid w:val="004B3239"/>
    <w:pPr>
      <w:spacing w:after="0" w:line="240" w:lineRule="auto"/>
    </w:pPr>
    <w:rPr>
      <w:rFonts w:ascii="Consolas" w:eastAsiaTheme="minorHAnsi" w:hAnsi="Consolas"/>
      <w:sz w:val="21"/>
      <w:szCs w:val="21"/>
      <w:lang w:eastAsia="en-US"/>
    </w:rPr>
  </w:style>
  <w:style w:type="character" w:customStyle="1" w:styleId="ae">
    <w:name w:val="Текст Знак"/>
    <w:basedOn w:val="a0"/>
    <w:link w:val="ad"/>
    <w:uiPriority w:val="99"/>
    <w:rsid w:val="004B3239"/>
    <w:rPr>
      <w:rFonts w:ascii="Consolas" w:eastAsiaTheme="minorHAnsi" w:hAnsi="Consolas"/>
      <w:sz w:val="21"/>
      <w:szCs w:val="21"/>
      <w:lang w:eastAsia="en-US"/>
    </w:rPr>
  </w:style>
  <w:style w:type="paragraph" w:styleId="af">
    <w:name w:val="Title"/>
    <w:basedOn w:val="a"/>
    <w:link w:val="af0"/>
    <w:qFormat/>
    <w:rsid w:val="00B04101"/>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B04101"/>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7031</Words>
  <Characters>40077</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cp:revision>
  <dcterms:created xsi:type="dcterms:W3CDTF">2012-04-12T11:01:00Z</dcterms:created>
  <dcterms:modified xsi:type="dcterms:W3CDTF">2012-04-12T11:02:00Z</dcterms:modified>
</cp:coreProperties>
</file>