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944" w:rsidRPr="00CC7E03" w:rsidRDefault="00E30944" w:rsidP="00E30944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-60325</wp:posOffset>
                </wp:positionV>
                <wp:extent cx="3200400" cy="3343275"/>
                <wp:effectExtent l="3175" t="254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944" w:rsidRDefault="00E30944" w:rsidP="00E3094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E30944" w:rsidRDefault="00E30944" w:rsidP="00E309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Начальник департамента имущественных отношений</w:t>
                            </w:r>
                          </w:p>
                          <w:p w:rsidR="00E30944" w:rsidRPr="00536CD6" w:rsidRDefault="00E30944" w:rsidP="00E309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администрации города Перми </w:t>
                            </w:r>
                          </w:p>
                          <w:p w:rsidR="00E30944" w:rsidRDefault="00E30944" w:rsidP="00E309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0944" w:rsidRDefault="00E30944" w:rsidP="00E309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0944" w:rsidRPr="0056780B" w:rsidRDefault="00E30944" w:rsidP="00E309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</w:t>
                            </w:r>
                            <w:r w:rsidRPr="0056780B"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C7F25">
                              <w:rPr>
                                <w:sz w:val="28"/>
                                <w:szCs w:val="28"/>
                              </w:rPr>
                              <w:t>/______________</w:t>
                            </w:r>
                            <w:r w:rsidRPr="0056780B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E30944" w:rsidRDefault="00E30944" w:rsidP="00E309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0944" w:rsidRDefault="00E30944" w:rsidP="00E309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 2012 года</w:t>
                            </w:r>
                          </w:p>
                          <w:p w:rsidR="00E30944" w:rsidRDefault="00E30944" w:rsidP="00E309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0944" w:rsidRPr="00ED1830" w:rsidRDefault="00E30944" w:rsidP="00E30944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53.35pt;margin-top:-4.75pt;width:252pt;height:2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" filled="f" stroked="f">
                <v:textbox>
                  <w:txbxContent>
                    <w:p w:rsidR="00E30944" w:rsidRDefault="00E30944" w:rsidP="00E3094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E30944" w:rsidRDefault="00E30944" w:rsidP="00E309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Начальник департамента имущественных отношений</w:t>
                      </w:r>
                    </w:p>
                    <w:p w:rsidR="00E30944" w:rsidRPr="00536CD6" w:rsidRDefault="00E30944" w:rsidP="00E309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администрации города Перми </w:t>
                      </w:r>
                    </w:p>
                    <w:p w:rsidR="00E30944" w:rsidRDefault="00E30944" w:rsidP="00E3094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0944" w:rsidRDefault="00E30944" w:rsidP="00E3094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0944" w:rsidRPr="0056780B" w:rsidRDefault="00E30944" w:rsidP="00E309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</w:t>
                      </w:r>
                      <w:r w:rsidRPr="0056780B">
                        <w:rPr>
                          <w:sz w:val="28"/>
                          <w:szCs w:val="28"/>
                        </w:rPr>
                        <w:t>__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6C7F25">
                        <w:rPr>
                          <w:sz w:val="28"/>
                          <w:szCs w:val="28"/>
                        </w:rPr>
                        <w:t>/______________</w:t>
                      </w:r>
                      <w:r w:rsidRPr="0056780B">
                        <w:rPr>
                          <w:sz w:val="28"/>
                          <w:szCs w:val="28"/>
                        </w:rPr>
                        <w:t>/</w:t>
                      </w:r>
                    </w:p>
                    <w:p w:rsidR="00E30944" w:rsidRDefault="00E30944" w:rsidP="00E3094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0944" w:rsidRDefault="00E30944" w:rsidP="00E309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 2012 года</w:t>
                      </w:r>
                    </w:p>
                    <w:p w:rsidR="00E30944" w:rsidRDefault="00E30944" w:rsidP="00E3094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0944" w:rsidRPr="00ED1830" w:rsidRDefault="00E30944" w:rsidP="00E30944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30944" w:rsidRPr="000F0547" w:rsidRDefault="00E30944" w:rsidP="00E30944">
      <w:pPr>
        <w:pStyle w:val="a3"/>
        <w:jc w:val="center"/>
        <w:rPr>
          <w:color w:val="000000"/>
          <w:sz w:val="28"/>
          <w:szCs w:val="28"/>
        </w:rPr>
      </w:pPr>
      <w:r w:rsidRPr="000F0547">
        <w:rPr>
          <w:color w:val="000000"/>
          <w:sz w:val="28"/>
          <w:szCs w:val="28"/>
        </w:rPr>
        <w:t xml:space="preserve">на право заключить муниципальный контракт на </w:t>
      </w:r>
      <w:r>
        <w:rPr>
          <w:color w:val="000000"/>
          <w:sz w:val="28"/>
          <w:szCs w:val="28"/>
        </w:rPr>
        <w:t xml:space="preserve">оказание услуг </w:t>
      </w:r>
    </w:p>
    <w:p w:rsidR="00E30944" w:rsidRDefault="00E30944" w:rsidP="00E30944">
      <w:pPr>
        <w:pStyle w:val="a3"/>
        <w:jc w:val="center"/>
        <w:rPr>
          <w:sz w:val="28"/>
          <w:szCs w:val="28"/>
        </w:rPr>
      </w:pPr>
      <w:r w:rsidRPr="005743C3">
        <w:rPr>
          <w:sz w:val="28"/>
          <w:szCs w:val="28"/>
        </w:rPr>
        <w:t xml:space="preserve"> по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проведению оценки рыночной стоимости арендной платы недвижимого имущества, принадлежащего муниципальному образованию город Пермь</w:t>
      </w: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pStyle w:val="a3"/>
        <w:jc w:val="center"/>
        <w:rPr>
          <w:b/>
          <w:sz w:val="32"/>
          <w:szCs w:val="32"/>
        </w:rPr>
      </w:pPr>
    </w:p>
    <w:p w:rsidR="00E30944" w:rsidRDefault="00E30944" w:rsidP="00E30944">
      <w:pPr>
        <w:spacing w:line="520" w:lineRule="exact"/>
        <w:jc w:val="center"/>
        <w:rPr>
          <w:sz w:val="24"/>
          <w:szCs w:val="24"/>
        </w:rPr>
      </w:pPr>
    </w:p>
    <w:p w:rsidR="00E30944" w:rsidRDefault="00E30944" w:rsidP="00E30944">
      <w:pPr>
        <w:spacing w:line="520" w:lineRule="exact"/>
        <w:rPr>
          <w:sz w:val="24"/>
          <w:szCs w:val="24"/>
        </w:rPr>
      </w:pPr>
    </w:p>
    <w:p w:rsidR="00E30944" w:rsidRDefault="00E30944" w:rsidP="00E30944">
      <w:pPr>
        <w:spacing w:line="520" w:lineRule="exact"/>
        <w:rPr>
          <w:sz w:val="24"/>
          <w:szCs w:val="24"/>
        </w:rPr>
      </w:pPr>
    </w:p>
    <w:p w:rsidR="00E30944" w:rsidRDefault="00E30944" w:rsidP="00E30944">
      <w:pPr>
        <w:spacing w:line="520" w:lineRule="exact"/>
        <w:rPr>
          <w:sz w:val="24"/>
          <w:szCs w:val="24"/>
        </w:rPr>
      </w:pPr>
    </w:p>
    <w:p w:rsidR="00E30944" w:rsidRDefault="00E30944" w:rsidP="00E30944">
      <w:pPr>
        <w:pStyle w:val="a3"/>
        <w:jc w:val="center"/>
        <w:rPr>
          <w:sz w:val="28"/>
          <w:szCs w:val="28"/>
        </w:rPr>
      </w:pPr>
    </w:p>
    <w:p w:rsidR="00E30944" w:rsidRPr="000F0547" w:rsidRDefault="00E30944" w:rsidP="00E30944">
      <w:pPr>
        <w:pStyle w:val="a3"/>
        <w:jc w:val="center"/>
        <w:rPr>
          <w:sz w:val="28"/>
          <w:szCs w:val="28"/>
        </w:rPr>
      </w:pPr>
    </w:p>
    <w:p w:rsidR="00E30944" w:rsidRPr="000F0547" w:rsidRDefault="00E30944" w:rsidP="00E30944">
      <w:pPr>
        <w:pStyle w:val="a3"/>
        <w:jc w:val="center"/>
        <w:rPr>
          <w:sz w:val="28"/>
          <w:szCs w:val="28"/>
        </w:rPr>
      </w:pPr>
    </w:p>
    <w:p w:rsidR="00E30944" w:rsidRPr="000F0547" w:rsidRDefault="00E30944" w:rsidP="00E30944">
      <w:pPr>
        <w:pStyle w:val="a3"/>
        <w:jc w:val="center"/>
        <w:rPr>
          <w:sz w:val="28"/>
          <w:szCs w:val="28"/>
        </w:rPr>
      </w:pPr>
    </w:p>
    <w:p w:rsidR="00E30944" w:rsidRPr="000F0547" w:rsidRDefault="00E30944" w:rsidP="00E30944">
      <w:pPr>
        <w:pStyle w:val="a3"/>
        <w:jc w:val="center"/>
        <w:rPr>
          <w:sz w:val="28"/>
          <w:szCs w:val="28"/>
        </w:rPr>
      </w:pPr>
    </w:p>
    <w:p w:rsidR="00E30944" w:rsidRPr="000F0547" w:rsidRDefault="00E30944" w:rsidP="00E30944">
      <w:pPr>
        <w:pStyle w:val="a3"/>
        <w:jc w:val="center"/>
        <w:rPr>
          <w:sz w:val="28"/>
          <w:szCs w:val="28"/>
        </w:rPr>
      </w:pPr>
    </w:p>
    <w:p w:rsidR="00E30944" w:rsidRDefault="00E30944" w:rsidP="00E30944">
      <w:pPr>
        <w:pStyle w:val="a3"/>
        <w:jc w:val="center"/>
        <w:rPr>
          <w:sz w:val="28"/>
          <w:szCs w:val="28"/>
        </w:rPr>
        <w:sectPr w:rsidR="00E30944" w:rsidSect="0097250F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18"/>
        <w:gridCol w:w="2445"/>
        <w:gridCol w:w="7783"/>
      </w:tblGrid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30944" w:rsidRPr="00D43C02" w:rsidRDefault="00E30944" w:rsidP="000333D4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E30944" w:rsidRPr="00D43C02" w:rsidRDefault="00E30944" w:rsidP="000333D4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30944" w:rsidRPr="00D43C02" w:rsidRDefault="00E30944" w:rsidP="000333D4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E30944" w:rsidRPr="00D43C02" w:rsidRDefault="00E30944" w:rsidP="000333D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795">
              <w:rPr>
                <w:rFonts w:ascii="Times New Roman" w:hAnsi="Times New Roman" w:cs="Times New Roman"/>
                <w:sz w:val="22"/>
                <w:szCs w:val="22"/>
              </w:rPr>
              <w:t>Департамент имущественных отношений администрации города Перми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4A6795">
                <w:rPr>
                  <w:rFonts w:ascii="Times New Roman" w:hAnsi="Times New Roman" w:cs="Times New Roman"/>
                  <w:sz w:val="22"/>
                  <w:szCs w:val="22"/>
                </w:rPr>
                <w:t>614000, г</w:t>
              </w:r>
            </w:smartTag>
            <w:r w:rsidRPr="004A67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6795">
              <w:rPr>
                <w:rFonts w:ascii="Times New Roman" w:hAnsi="Times New Roman" w:cs="Times New Roman"/>
                <w:sz w:val="22"/>
                <w:szCs w:val="22"/>
              </w:rPr>
              <w:t>Пермь, ул.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6795">
              <w:rPr>
                <w:rFonts w:ascii="Times New Roman" w:hAnsi="Times New Roman" w:cs="Times New Roman"/>
                <w:sz w:val="22"/>
                <w:szCs w:val="22"/>
              </w:rPr>
              <w:t>Сибирская,14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4A6795">
                <w:rPr>
                  <w:rFonts w:ascii="Times New Roman" w:hAnsi="Times New Roman" w:cs="Times New Roman"/>
                  <w:sz w:val="22"/>
                  <w:szCs w:val="22"/>
                </w:rPr>
                <w:t>614000, г</w:t>
              </w:r>
            </w:smartTag>
            <w:r w:rsidRPr="004A67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6795">
              <w:rPr>
                <w:rFonts w:ascii="Times New Roman" w:hAnsi="Times New Roman" w:cs="Times New Roman"/>
                <w:sz w:val="22"/>
                <w:szCs w:val="22"/>
              </w:rPr>
              <w:t>Пермь, ул.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6795">
              <w:rPr>
                <w:rFonts w:ascii="Times New Roman" w:hAnsi="Times New Roman" w:cs="Times New Roman"/>
                <w:sz w:val="22"/>
                <w:szCs w:val="22"/>
              </w:rPr>
              <w:t>Сибирская,14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diofinans@yandex.ru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6795">
              <w:rPr>
                <w:rFonts w:ascii="Times New Roman" w:hAnsi="Times New Roman" w:cs="Times New Roman"/>
                <w:sz w:val="22"/>
                <w:szCs w:val="22"/>
              </w:rPr>
              <w:t>(342) 212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72 64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Четина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Юлия Ивановна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30944" w:rsidRPr="004C62A3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033E1">
              <w:rPr>
                <w:rFonts w:ascii="Times New Roman" w:hAnsi="Times New Roman" w:cs="Times New Roman"/>
                <w:sz w:val="22"/>
                <w:szCs w:val="22"/>
              </w:rPr>
              <w:t xml:space="preserve">Предмет муниципального контракта </w:t>
            </w:r>
          </w:p>
        </w:tc>
        <w:tc>
          <w:tcPr>
            <w:tcW w:w="7723" w:type="dxa"/>
            <w:shd w:val="clear" w:color="auto" w:fill="FFFFFF"/>
          </w:tcPr>
          <w:p w:rsidR="00E30944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оценки рыночной стоимости арендной платы недвижимого имущества, принадлежащего муниципальному образованию город Пермь, согласно Приложению № 2 к документации об открытом аукционе в электронной форме и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 на объекты с разбивкой по районам с положительным экспертным заключением на каждый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оценочный отчет,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подготовленное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Экспертом.</w:t>
            </w:r>
          </w:p>
          <w:p w:rsidR="00E30944" w:rsidRPr="006033E1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 муниципального контракта (Приложение № 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документации об открытом аукционе в электронной форме).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оказываемых услуг</w:t>
            </w:r>
          </w:p>
        </w:tc>
        <w:tc>
          <w:tcPr>
            <w:tcW w:w="7723" w:type="dxa"/>
            <w:shd w:val="clear" w:color="auto" w:fill="FFFFFF"/>
          </w:tcPr>
          <w:p w:rsidR="00E30944" w:rsidRPr="006033E1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79 </w:t>
            </w:r>
            <w:r w:rsidRPr="00335CAD">
              <w:rPr>
                <w:rFonts w:ascii="Times New Roman" w:hAnsi="Times New Roman" w:cs="Times New Roman"/>
                <w:sz w:val="22"/>
                <w:szCs w:val="22"/>
              </w:rPr>
              <w:t>объект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 (недвижимое имущество) согласно Приложению № 2 к документации об открытом аукционе в электронной форме и Техническому заданию на оценку </w:t>
            </w:r>
            <w:r w:rsidRPr="00087CCB">
              <w:rPr>
                <w:rFonts w:ascii="Times New Roman" w:hAnsi="Times New Roman" w:cs="Times New Roman"/>
                <w:sz w:val="22"/>
                <w:szCs w:val="22"/>
              </w:rPr>
              <w:t xml:space="preserve">(Приложение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87CCB">
              <w:rPr>
                <w:rFonts w:ascii="Times New Roman" w:hAnsi="Times New Roman" w:cs="Times New Roman"/>
                <w:sz w:val="22"/>
                <w:szCs w:val="22"/>
              </w:rPr>
              <w:t xml:space="preserve">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муниципальному контракту на оказание услуг по оценке</w:t>
            </w:r>
            <w:r w:rsidRPr="00087CC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723" w:type="dxa"/>
            <w:shd w:val="clear" w:color="auto" w:fill="FFFFFF"/>
          </w:tcPr>
          <w:p w:rsidR="00E30944" w:rsidRPr="006033E1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405 914</w:t>
            </w:r>
            <w:r w:rsidRPr="00CD16FE">
              <w:rPr>
                <w:rFonts w:ascii="Times New Roman" w:hAnsi="Times New Roman" w:cs="Times New Roman"/>
                <w:sz w:val="22"/>
                <w:szCs w:val="22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CD16FE">
              <w:rPr>
                <w:rFonts w:ascii="Times New Roman" w:hAnsi="Times New Roman" w:cs="Times New Roman"/>
                <w:sz w:val="22"/>
                <w:szCs w:val="22"/>
              </w:rPr>
              <w:t xml:space="preserve"> копеек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контракта</w:t>
            </w:r>
          </w:p>
        </w:tc>
        <w:tc>
          <w:tcPr>
            <w:tcW w:w="7723" w:type="dxa"/>
            <w:shd w:val="clear" w:color="auto" w:fill="FFFFFF"/>
          </w:tcPr>
          <w:p w:rsidR="00E30944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Информация, полученная на основании мониторинга рынка услуг по оценке (Приложение № 3 к документации об открытом аукционе в электронной форме)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оказываемым услугам</w:t>
            </w:r>
          </w:p>
        </w:tc>
        <w:tc>
          <w:tcPr>
            <w:tcW w:w="7723" w:type="dxa"/>
            <w:shd w:val="clear" w:color="auto" w:fill="FFFFFF"/>
          </w:tcPr>
          <w:p w:rsidR="00E30944" w:rsidRPr="00A546ED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Услуги должны быть оказаны в полном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объеме и в 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соответствии с требованиями документации об открытом аукционе в электронной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(в том числе техническим заданием) 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и условиями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>контракт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>, являющ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егося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риложением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1 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к документации об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открытом 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>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4C47">
              <w:rPr>
                <w:rFonts w:ascii="Times New Roman" w:hAnsi="Times New Roman" w:cs="Times New Roman"/>
                <w:sz w:val="22"/>
                <w:szCs w:val="22"/>
              </w:rPr>
              <w:t>в электронной форме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30944" w:rsidRPr="00E0108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1082">
              <w:rPr>
                <w:rFonts w:ascii="Times New Roman" w:hAnsi="Times New Roman" w:cs="Times New Roman"/>
                <w:sz w:val="22"/>
                <w:szCs w:val="22"/>
              </w:rPr>
              <w:t>Документы, подлежащие представлению по результатам оценки:</w:t>
            </w:r>
          </w:p>
          <w:p w:rsidR="00E30944" w:rsidRDefault="00E30944" w:rsidP="000333D4">
            <w:pPr>
              <w:tabs>
                <w:tab w:val="left" w:pos="387"/>
              </w:tabs>
              <w:jc w:val="both"/>
              <w:rPr>
                <w:sz w:val="22"/>
                <w:szCs w:val="22"/>
              </w:rPr>
            </w:pPr>
            <w:r w:rsidRPr="00E01082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 xml:space="preserve">оценочные </w:t>
            </w:r>
            <w:r w:rsidRPr="00E01082">
              <w:rPr>
                <w:sz w:val="22"/>
                <w:szCs w:val="22"/>
              </w:rPr>
              <w:t xml:space="preserve">отчеты </w:t>
            </w:r>
            <w:r>
              <w:rPr>
                <w:sz w:val="22"/>
                <w:szCs w:val="22"/>
              </w:rPr>
              <w:t>о рыночной стоимости арендной платы на объекты с разбивкой по районам на бумажном носителе в 1 экз.</w:t>
            </w:r>
          </w:p>
          <w:p w:rsidR="00E30944" w:rsidRPr="00A546ED" w:rsidRDefault="00E30944" w:rsidP="000333D4">
            <w:pPr>
              <w:tabs>
                <w:tab w:val="left" w:pos="387"/>
              </w:tabs>
              <w:jc w:val="both"/>
              <w:rPr>
                <w:sz w:val="22"/>
                <w:szCs w:val="22"/>
              </w:rPr>
            </w:pPr>
            <w:r w:rsidRPr="00E01082">
              <w:rPr>
                <w:sz w:val="22"/>
                <w:szCs w:val="22"/>
              </w:rPr>
              <w:t>2) положительное экспертное заключение на каждый оцен</w:t>
            </w:r>
            <w:r>
              <w:rPr>
                <w:sz w:val="22"/>
                <w:szCs w:val="22"/>
              </w:rPr>
              <w:t>очный отчет, подготовленное Экспертом.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723" w:type="dxa"/>
            <w:shd w:val="clear" w:color="auto" w:fill="FFFFFF"/>
          </w:tcPr>
          <w:p w:rsidR="00E30944" w:rsidRPr="004A6795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A6795">
              <w:rPr>
                <w:rFonts w:ascii="Times New Roman" w:hAnsi="Times New Roman" w:cs="Times New Roman"/>
                <w:bCs/>
                <w:sz w:val="22"/>
                <w:szCs w:val="22"/>
              </w:rPr>
              <w:t>Департ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амент имущественных отношений </w:t>
            </w:r>
          </w:p>
          <w:p w:rsidR="00E30944" w:rsidRPr="00654ACC" w:rsidRDefault="00E30944" w:rsidP="000333D4">
            <w:pPr>
              <w:pStyle w:val="a3"/>
              <w:jc w:val="left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администрации города </w:t>
            </w:r>
            <w:r w:rsidRPr="004A6795">
              <w:rPr>
                <w:bCs/>
                <w:sz w:val="22"/>
                <w:szCs w:val="22"/>
              </w:rPr>
              <w:t xml:space="preserve">Перми (Заказчик), </w:t>
            </w:r>
            <w:r w:rsidRPr="004A6795">
              <w:rPr>
                <w:bCs/>
                <w:sz w:val="22"/>
                <w:szCs w:val="22"/>
              </w:rPr>
              <w:br/>
              <w:t>г. Пермь</w:t>
            </w:r>
            <w:r>
              <w:rPr>
                <w:bCs/>
                <w:sz w:val="22"/>
                <w:szCs w:val="22"/>
              </w:rPr>
              <w:t xml:space="preserve">, ул. Сибирская,14, </w:t>
            </w:r>
            <w:r w:rsidRPr="004A6795">
              <w:rPr>
                <w:bCs/>
                <w:sz w:val="22"/>
                <w:szCs w:val="22"/>
              </w:rPr>
              <w:t>каб.</w:t>
            </w:r>
            <w:r>
              <w:rPr>
                <w:bCs/>
                <w:sz w:val="22"/>
                <w:szCs w:val="22"/>
              </w:rPr>
              <w:t xml:space="preserve">2 (отдел договорных отношений), </w:t>
            </w:r>
            <w:r>
              <w:rPr>
                <w:bCs/>
                <w:sz w:val="22"/>
                <w:szCs w:val="22"/>
              </w:rPr>
              <w:br/>
              <w:t xml:space="preserve">тел. 212 </w:t>
            </w:r>
            <w:r w:rsidRPr="004A6795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2 6</w:t>
            </w:r>
            <w:r w:rsidRPr="004A6795">
              <w:rPr>
                <w:bCs/>
                <w:sz w:val="22"/>
                <w:szCs w:val="22"/>
              </w:rPr>
              <w:t>4.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оказания услуг</w:t>
            </w:r>
          </w:p>
        </w:tc>
        <w:tc>
          <w:tcPr>
            <w:tcW w:w="7723" w:type="dxa"/>
            <w:shd w:val="clear" w:color="auto" w:fill="FFFFFF"/>
          </w:tcPr>
          <w:p w:rsidR="00E30944" w:rsidRPr="002B4E3F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Срок проведения оценки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в течение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 дней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момента</w:t>
            </w:r>
            <w:r w:rsidRPr="00A546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предоставления Заказчиком всех необходимых материалов, связанных с выполнением муниципального контракта на оказание услуг по оценке 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услуг</w:t>
            </w:r>
          </w:p>
        </w:tc>
        <w:tc>
          <w:tcPr>
            <w:tcW w:w="7723" w:type="dxa"/>
            <w:shd w:val="clear" w:color="auto" w:fill="FFFFFF"/>
          </w:tcPr>
          <w:p w:rsidR="00E30944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лата по контракту 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производится </w:t>
            </w:r>
            <w:r w:rsidRPr="00DE5D90">
              <w:rPr>
                <w:rFonts w:ascii="Times New Roman" w:hAnsi="Times New Roman" w:cs="Times New Roman"/>
                <w:sz w:val="22"/>
                <w:szCs w:val="22"/>
              </w:rPr>
              <w:t xml:space="preserve">путем перечисления денежных средств на расчетный 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счет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сполнителя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указанный в контракте. </w:t>
            </w:r>
          </w:p>
          <w:p w:rsidR="00E30944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проведение оценки Заказчик выплачивает Исполнителю сумму в размере, определенном по результатам аукциона.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Оплата за оказанные услуги производится в </w:t>
            </w:r>
            <w:r w:rsidRPr="00DE5D90">
              <w:rPr>
                <w:rFonts w:ascii="Times New Roman" w:hAnsi="Times New Roman" w:cs="Times New Roman"/>
                <w:sz w:val="22"/>
                <w:szCs w:val="22"/>
              </w:rPr>
              <w:t xml:space="preserve">течение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DE5D90">
              <w:rPr>
                <w:rFonts w:ascii="Times New Roman" w:hAnsi="Times New Roman" w:cs="Times New Roman"/>
                <w:sz w:val="22"/>
                <w:szCs w:val="22"/>
              </w:rPr>
              <w:t xml:space="preserve"> (д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есяти</w:t>
            </w:r>
            <w:r w:rsidRPr="00DE5D90">
              <w:rPr>
                <w:rFonts w:ascii="Times New Roman" w:hAnsi="Times New Roman" w:cs="Times New Roman"/>
                <w:sz w:val="22"/>
                <w:szCs w:val="22"/>
              </w:rPr>
              <w:t>) банковских дней с момента подписания акта оказанных услуг на основании счета (счета-фактуры) с предоставлением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отчетов об оценке и положительных экспертных заключений. </w:t>
            </w:r>
          </w:p>
          <w:p w:rsidR="00E30944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 третьим лицам не допускается.</w:t>
            </w:r>
          </w:p>
          <w:p w:rsidR="00E30944" w:rsidRPr="00DE5D90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E30944" w:rsidRPr="00D43C02" w:rsidRDefault="00E30944" w:rsidP="000333D4">
            <w:pPr>
              <w:pStyle w:val="a3"/>
              <w:rPr>
                <w:sz w:val="22"/>
                <w:szCs w:val="22"/>
              </w:rPr>
            </w:pP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23" w:type="dxa"/>
            <w:shd w:val="clear" w:color="auto" w:fill="FFFFFF"/>
          </w:tcPr>
          <w:p w:rsidR="00E30944" w:rsidRPr="00880FF1" w:rsidRDefault="00E30944" w:rsidP="000333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0FF1">
              <w:rPr>
                <w:sz w:val="22"/>
                <w:szCs w:val="22"/>
              </w:rPr>
              <w:t>Цена контракта должна включать расходы на перевозку, страхование, уплату таможенных пошлин, налогов</w:t>
            </w:r>
            <w:r>
              <w:rPr>
                <w:sz w:val="22"/>
                <w:szCs w:val="22"/>
              </w:rPr>
              <w:t>, сборов и других обязательных платежей</w:t>
            </w:r>
            <w:r w:rsidRPr="00880FF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стоимость оплаты услуг по экспертному заключению отчета об оценке, стоимость расходных материалов, прочие расходы Исполнителя, </w:t>
            </w:r>
            <w:r w:rsidRPr="00880FF1">
              <w:rPr>
                <w:sz w:val="22"/>
                <w:szCs w:val="22"/>
              </w:rPr>
              <w:t>которые могут возникнуть при исполнении контракта.</w:t>
            </w:r>
          </w:p>
          <w:p w:rsidR="00E30944" w:rsidRPr="0079453C" w:rsidRDefault="00E30944" w:rsidP="000333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>Цена контракта является твердой и не может и</w:t>
            </w:r>
            <w:r>
              <w:rPr>
                <w:sz w:val="22"/>
                <w:szCs w:val="22"/>
              </w:rPr>
              <w:t>зменяться в ходе его исполнения.</w:t>
            </w:r>
          </w:p>
          <w:p w:rsidR="00E30944" w:rsidRPr="00D43C02" w:rsidRDefault="00E30944" w:rsidP="000333D4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</w:t>
            </w:r>
            <w:r w:rsidRPr="0079453C">
              <w:rPr>
                <w:sz w:val="22"/>
                <w:szCs w:val="22"/>
              </w:rPr>
              <w:t>оказываемых услуг осуществляется по цене, установленной контрактом.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уемой для формирования цены контракта и расчетов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исполнителями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Официальные курсы иностранной валюты к рублю Российской Федерации не применяются.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E30944" w:rsidRPr="00D43C02" w:rsidTr="000333D4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E30944" w:rsidRDefault="00E30944" w:rsidP="000333D4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30944" w:rsidRPr="00D43C02" w:rsidRDefault="00E30944" w:rsidP="000333D4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Участники размещения заказов имеют право выступать в отношениях, связанных с оказанием услуг </w:t>
            </w:r>
            <w:r>
              <w:rPr>
                <w:sz w:val="22"/>
                <w:szCs w:val="22"/>
              </w:rPr>
              <w:br/>
              <w:t xml:space="preserve">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</w:t>
            </w:r>
            <w:r>
              <w:rPr>
                <w:sz w:val="22"/>
                <w:szCs w:val="22"/>
              </w:rPr>
              <w:br/>
              <w:t>с гражданским законодательством, или ее нотариально заверенной копией.</w:t>
            </w:r>
          </w:p>
        </w:tc>
      </w:tr>
      <w:tr w:rsidR="00E30944" w:rsidRPr="00D43C02" w:rsidTr="000333D4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E30944" w:rsidRPr="00D43C02" w:rsidRDefault="00E30944" w:rsidP="000333D4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E30944" w:rsidRPr="00D43C02" w:rsidTr="000333D4">
        <w:trPr>
          <w:trHeight w:val="768"/>
          <w:tblCellSpacing w:w="20" w:type="dxa"/>
        </w:trPr>
        <w:tc>
          <w:tcPr>
            <w:tcW w:w="458" w:type="dxa"/>
            <w:tcBorders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E30944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68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0333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 законодательством Российской Федерации к лицам, осуществляющим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E30944" w:rsidRPr="00D43C02" w:rsidTr="000333D4">
        <w:trPr>
          <w:trHeight w:val="816"/>
          <w:tblCellSpacing w:w="20" w:type="dxa"/>
        </w:trPr>
        <w:tc>
          <w:tcPr>
            <w:tcW w:w="45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E30944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6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0333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30944" w:rsidRPr="00D43C02" w:rsidTr="000333D4">
        <w:trPr>
          <w:trHeight w:val="840"/>
          <w:tblCellSpacing w:w="20" w:type="dxa"/>
        </w:trPr>
        <w:tc>
          <w:tcPr>
            <w:tcW w:w="45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E30944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6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0333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 аукционе;</w:t>
            </w:r>
          </w:p>
        </w:tc>
      </w:tr>
      <w:tr w:rsidR="00E30944" w:rsidRPr="00D43C02" w:rsidTr="000333D4">
        <w:trPr>
          <w:trHeight w:val="2076"/>
          <w:tblCellSpacing w:w="20" w:type="dxa"/>
        </w:trPr>
        <w:tc>
          <w:tcPr>
            <w:tcW w:w="45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E30944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6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0333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E30944" w:rsidRPr="00D43C02" w:rsidTr="000333D4">
        <w:trPr>
          <w:trHeight w:val="216"/>
          <w:tblCellSpacing w:w="20" w:type="dxa"/>
        </w:trPr>
        <w:tc>
          <w:tcPr>
            <w:tcW w:w="45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E30944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68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30944" w:rsidRPr="00D43C02" w:rsidRDefault="00E30944" w:rsidP="000333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26F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30944" w:rsidRPr="00725697" w:rsidRDefault="00E30944" w:rsidP="00E3094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содержать: 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30944" w:rsidRPr="00F36F19" w:rsidRDefault="00E30944" w:rsidP="00E309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оказание услуг на условиях, предусмотренных документацией об открытом аукционе в электронной форме, при условии разм</w:t>
            </w:r>
            <w:r>
              <w:rPr>
                <w:sz w:val="22"/>
                <w:szCs w:val="22"/>
              </w:rPr>
              <w:t>ещения заказа на оказание услуг.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30944" w:rsidRPr="00D43C02" w:rsidRDefault="00E30944" w:rsidP="00E3094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458" w:type="dxa"/>
            <w:shd w:val="clear" w:color="auto" w:fill="FFFFFF"/>
          </w:tcPr>
          <w:p w:rsidR="00E30944" w:rsidRPr="00D43C02" w:rsidRDefault="00E30944" w:rsidP="00E30944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68" w:type="dxa"/>
            <w:gridSpan w:val="2"/>
            <w:shd w:val="clear" w:color="auto" w:fill="FFFFFF"/>
          </w:tcPr>
          <w:p w:rsidR="00E30944" w:rsidRPr="00D43C02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 </w:t>
            </w:r>
            <w:proofErr w:type="gramEnd"/>
          </w:p>
        </w:tc>
      </w:tr>
      <w:tr w:rsidR="00E30944" w:rsidRPr="00D43C02" w:rsidTr="000333D4">
        <w:trPr>
          <w:tblCellSpacing w:w="20" w:type="dxa"/>
        </w:trPr>
        <w:tc>
          <w:tcPr>
            <w:tcW w:w="458" w:type="dxa"/>
            <w:shd w:val="clear" w:color="auto" w:fill="FFFFFF"/>
          </w:tcPr>
          <w:p w:rsidR="00E30944" w:rsidRPr="00D43C02" w:rsidRDefault="00E30944" w:rsidP="00E30944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68" w:type="dxa"/>
            <w:gridSpan w:val="2"/>
            <w:shd w:val="clear" w:color="auto" w:fill="FFFFFF"/>
          </w:tcPr>
          <w:p w:rsidR="00E30944" w:rsidRDefault="00E30944" w:rsidP="000333D4">
            <w:pPr>
              <w:pStyle w:val="a3"/>
              <w:rPr>
                <w:color w:val="000000"/>
                <w:sz w:val="22"/>
                <w:szCs w:val="22"/>
              </w:rPr>
            </w:pPr>
            <w:proofErr w:type="gramStart"/>
            <w:r w:rsidRPr="00C44815">
              <w:rPr>
                <w:sz w:val="22"/>
                <w:szCs w:val="22"/>
              </w:rPr>
              <w:t>К</w:t>
            </w:r>
            <w:r w:rsidRPr="00C44815">
              <w:rPr>
                <w:color w:val="000000"/>
                <w:sz w:val="22"/>
                <w:szCs w:val="22"/>
              </w:rPr>
              <w:t>опии документов,</w:t>
            </w:r>
            <w:r w:rsidRPr="00C44815">
              <w:rPr>
                <w:sz w:val="22"/>
                <w:szCs w:val="22"/>
              </w:rPr>
              <w:t xml:space="preserve"> </w:t>
            </w:r>
            <w:r w:rsidRPr="00C44815">
              <w:rPr>
                <w:color w:val="000000"/>
                <w:sz w:val="22"/>
                <w:szCs w:val="22"/>
              </w:rPr>
              <w:t>подтверждающих соответствие участника разме</w:t>
            </w:r>
            <w:r>
              <w:rPr>
                <w:color w:val="000000"/>
                <w:sz w:val="22"/>
                <w:szCs w:val="22"/>
              </w:rPr>
              <w:t>щения заказа требованиям, устано</w:t>
            </w:r>
            <w:r w:rsidRPr="00C44815">
              <w:rPr>
                <w:color w:val="000000"/>
                <w:sz w:val="22"/>
                <w:szCs w:val="22"/>
              </w:rPr>
              <w:t>вл</w:t>
            </w:r>
            <w:r>
              <w:rPr>
                <w:color w:val="000000"/>
                <w:sz w:val="22"/>
                <w:szCs w:val="22"/>
              </w:rPr>
              <w:t>енным п.1 части 1 ст.11 Федерального закона от 21.07.2005 № 94-ФЗ</w:t>
            </w:r>
            <w:r w:rsidRPr="00C4481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(в частности в соответствии с Федеральным законом от 29.07.1998 №135-ФЗ «Об оценочной деятельности в Российской Федерации»:</w:t>
            </w:r>
            <w:proofErr w:type="gramEnd"/>
          </w:p>
          <w:p w:rsidR="00E30944" w:rsidRDefault="00E30944" w:rsidP="000333D4">
            <w:pPr>
              <w:pStyle w:val="a3"/>
              <w:jc w:val="left"/>
              <w:rPr>
                <w:b/>
                <w:sz w:val="22"/>
                <w:szCs w:val="22"/>
              </w:rPr>
            </w:pPr>
            <w:r w:rsidRPr="001579DB">
              <w:rPr>
                <w:b/>
                <w:sz w:val="22"/>
                <w:szCs w:val="22"/>
              </w:rPr>
              <w:t>Для юридических лиц</w:t>
            </w:r>
            <w:r>
              <w:rPr>
                <w:b/>
                <w:sz w:val="22"/>
                <w:szCs w:val="22"/>
              </w:rPr>
              <w:t>:</w:t>
            </w:r>
          </w:p>
          <w:p w:rsidR="00E30944" w:rsidRDefault="00E30944" w:rsidP="000333D4">
            <w:pPr>
              <w:pStyle w:val="a3"/>
              <w:rPr>
                <w:sz w:val="22"/>
                <w:szCs w:val="22"/>
              </w:rPr>
            </w:pPr>
            <w:r w:rsidRPr="001579DB">
              <w:rPr>
                <w:sz w:val="22"/>
                <w:szCs w:val="22"/>
              </w:rPr>
              <w:t xml:space="preserve">- копии </w:t>
            </w:r>
            <w:r>
              <w:rPr>
                <w:sz w:val="22"/>
                <w:szCs w:val="22"/>
              </w:rPr>
              <w:t>документов, подтверждающих наличие в штате не менее двух специалистов-оценщиков (копия  штатного расписания или копии трудовых книжек, либо выписок из трудовых книжек);</w:t>
            </w:r>
          </w:p>
          <w:p w:rsidR="00E30944" w:rsidRDefault="00E30944" w:rsidP="000333D4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копию выписки из реестра членов саморегулируемой организации оценщиков, членом  которой он является, заверенную саморегулируемой организацией оценщиков, на оценщиков (сотрудников участника размещения заказа) (ст.15 и ст. 15.1 </w:t>
            </w:r>
            <w:r>
              <w:rPr>
                <w:color w:val="000000"/>
                <w:sz w:val="22"/>
                <w:szCs w:val="22"/>
              </w:rPr>
              <w:t>№135-ФЗ «Об оценочной деятельности в Российской Федерации»);</w:t>
            </w:r>
          </w:p>
          <w:p w:rsidR="00E30944" w:rsidRPr="00880FC2" w:rsidRDefault="00E30944" w:rsidP="000333D4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копии страховых полисов участника размещения заказа и оценщиков (сотрудников участника размещения заказа) (ст.15 и ст. 15.1 </w:t>
            </w:r>
            <w:r>
              <w:rPr>
                <w:color w:val="000000"/>
                <w:sz w:val="22"/>
                <w:szCs w:val="22"/>
              </w:rPr>
              <w:t>№135-ФЗ «Об оценочной деятельности в Российской Федерации»).</w:t>
            </w:r>
          </w:p>
          <w:p w:rsidR="00E30944" w:rsidRDefault="00E30944" w:rsidP="000333D4">
            <w:pPr>
              <w:pStyle w:val="a3"/>
              <w:rPr>
                <w:b/>
                <w:sz w:val="22"/>
                <w:szCs w:val="22"/>
              </w:rPr>
            </w:pPr>
            <w:r w:rsidRPr="001579DB">
              <w:rPr>
                <w:b/>
                <w:sz w:val="22"/>
                <w:szCs w:val="22"/>
              </w:rPr>
              <w:t>Для физических лиц:</w:t>
            </w:r>
          </w:p>
          <w:p w:rsidR="00E30944" w:rsidRDefault="00E30944" w:rsidP="000333D4">
            <w:pPr>
              <w:pStyle w:val="a3"/>
              <w:rPr>
                <w:sz w:val="22"/>
                <w:szCs w:val="22"/>
              </w:rPr>
            </w:pPr>
            <w:r w:rsidRPr="001579DB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копию выписки из реестра членов саморегулируемой организации оценщиков, членом которой он является, заверенную саморегулируемой организацией оценщиков;</w:t>
            </w:r>
          </w:p>
          <w:p w:rsidR="00E30944" w:rsidRPr="001579DB" w:rsidRDefault="00E30944" w:rsidP="000333D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копию страхового полиса оценщика.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458" w:type="dxa"/>
            <w:shd w:val="clear" w:color="auto" w:fill="FFFFFF"/>
          </w:tcPr>
          <w:p w:rsidR="00E30944" w:rsidRPr="00D43C02" w:rsidRDefault="00E30944" w:rsidP="00E30944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68" w:type="dxa"/>
            <w:gridSpan w:val="2"/>
            <w:shd w:val="clear" w:color="auto" w:fill="FFFFFF"/>
          </w:tcPr>
          <w:p w:rsidR="00E30944" w:rsidRPr="00D43C02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оказание услуг, являющихся предметом контракта,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>
              <w:rPr>
                <w:sz w:val="22"/>
                <w:szCs w:val="22"/>
              </w:rPr>
              <w:t xml:space="preserve"> исполнения контракта являются крупной сделкой. Предоставление указанного решения не требуется </w:t>
            </w:r>
            <w:r>
              <w:rPr>
                <w:sz w:val="22"/>
                <w:szCs w:val="22"/>
              </w:rPr>
              <w:br/>
              <w:t>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23" w:type="dxa"/>
            <w:shd w:val="clear" w:color="auto" w:fill="FFFFFF"/>
          </w:tcPr>
          <w:p w:rsidR="00E30944" w:rsidRDefault="00E30944" w:rsidP="000333D4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E30944" w:rsidRDefault="00E30944" w:rsidP="000333D4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</w:t>
            </w:r>
            <w:r>
              <w:rPr>
                <w:sz w:val="22"/>
                <w:szCs w:val="22"/>
              </w:rPr>
              <w:lastRenderedPageBreak/>
              <w:t>одновременно.</w:t>
            </w:r>
          </w:p>
          <w:p w:rsidR="00E30944" w:rsidRPr="00631AD7" w:rsidRDefault="00E30944" w:rsidP="000333D4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E30944" w:rsidRPr="00D43C02" w:rsidRDefault="00E30944" w:rsidP="000333D4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</w:t>
            </w:r>
            <w:r>
              <w:rPr>
                <w:sz w:val="22"/>
                <w:szCs w:val="22"/>
              </w:rPr>
              <w:br/>
              <w:t xml:space="preserve">в открытых аукционах в электронной форме, в качестве платы за участие </w:t>
            </w:r>
            <w:r>
              <w:rPr>
                <w:sz w:val="22"/>
                <w:szCs w:val="22"/>
              </w:rPr>
              <w:br/>
              <w:t>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944" w:rsidRPr="001826F1" w:rsidRDefault="00E30944" w:rsidP="000333D4">
            <w:pPr>
              <w:autoSpaceDE w:val="0"/>
              <w:autoSpaceDN w:val="0"/>
              <w:adjustRightInd w:val="0"/>
              <w:outlineLvl w:val="1"/>
              <w:rPr>
                <w:bCs/>
                <w:sz w:val="22"/>
                <w:szCs w:val="22"/>
              </w:rPr>
            </w:pPr>
            <w:r w:rsidRPr="00CD16FE">
              <w:rPr>
                <w:bCs/>
                <w:sz w:val="22"/>
                <w:szCs w:val="22"/>
              </w:rPr>
              <w:t xml:space="preserve">5 % начальной (максимальной) цены контракта (цены лота), что составляет </w:t>
            </w:r>
            <w:r>
              <w:rPr>
                <w:bCs/>
                <w:sz w:val="22"/>
                <w:szCs w:val="22"/>
              </w:rPr>
              <w:t>20 295</w:t>
            </w:r>
            <w:r w:rsidRPr="00CD16FE">
              <w:rPr>
                <w:bCs/>
                <w:sz w:val="22"/>
                <w:szCs w:val="22"/>
              </w:rPr>
              <w:t xml:space="preserve"> рублей</w:t>
            </w:r>
            <w:r>
              <w:rPr>
                <w:bCs/>
                <w:sz w:val="22"/>
                <w:szCs w:val="22"/>
              </w:rPr>
              <w:t xml:space="preserve"> 74 коп.</w:t>
            </w:r>
          </w:p>
          <w:p w:rsidR="00E30944" w:rsidRPr="00755220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 xml:space="preserve">Требование обеспечения заявки на участие в открытом аукционе </w:t>
            </w:r>
            <w:r>
              <w:rPr>
                <w:bCs/>
                <w:sz w:val="22"/>
                <w:szCs w:val="22"/>
              </w:rPr>
              <w:t xml:space="preserve">в электронной форме </w:t>
            </w:r>
            <w:r w:rsidRPr="00880FF1">
              <w:rPr>
                <w:bCs/>
                <w:sz w:val="22"/>
                <w:szCs w:val="22"/>
              </w:rPr>
              <w:t>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944" w:rsidRPr="00D43C02" w:rsidRDefault="00E30944" w:rsidP="000333D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окончания срока подачи заявок на участие </w:t>
            </w:r>
            <w:r>
              <w:rPr>
                <w:sz w:val="22"/>
                <w:szCs w:val="22"/>
              </w:rPr>
              <w:br/>
              <w:t xml:space="preserve">в открытом аукционе </w:t>
            </w:r>
            <w:r>
              <w:rPr>
                <w:sz w:val="22"/>
                <w:szCs w:val="22"/>
              </w:rPr>
              <w:br/>
              <w:t>в электронной форме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944" w:rsidRPr="001826F1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26F1">
              <w:rPr>
                <w:rFonts w:ascii="Times New Roman" w:hAnsi="Times New Roman" w:cs="Times New Roman"/>
                <w:sz w:val="22"/>
                <w:szCs w:val="22"/>
              </w:rPr>
              <w:t>«___» ____________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826F1">
              <w:rPr>
                <w:rFonts w:ascii="Times New Roman" w:hAnsi="Times New Roman" w:cs="Times New Roman"/>
                <w:sz w:val="22"/>
                <w:szCs w:val="22"/>
              </w:rPr>
              <w:t xml:space="preserve"> года </w:t>
            </w:r>
          </w:p>
          <w:p w:rsidR="00E30944" w:rsidRPr="001826F1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Pr="001826F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Pr="001826F1">
              <w:rPr>
                <w:rFonts w:ascii="Times New Roman" w:hAnsi="Times New Roman" w:cs="Times New Roman"/>
                <w:sz w:val="22"/>
                <w:szCs w:val="22"/>
              </w:rPr>
              <w:t xml:space="preserve"> (время местное)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944" w:rsidRDefault="00E30944" w:rsidP="000333D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E30944" w:rsidRPr="00D43C02" w:rsidRDefault="00E30944" w:rsidP="000333D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944" w:rsidRPr="001826F1" w:rsidRDefault="00E30944" w:rsidP="000333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26F1">
              <w:rPr>
                <w:rFonts w:ascii="Times New Roman" w:hAnsi="Times New Roman" w:cs="Times New Roman"/>
                <w:sz w:val="22"/>
                <w:szCs w:val="22"/>
              </w:rPr>
              <w:t>«___» ____________ 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826F1">
              <w:rPr>
                <w:rFonts w:ascii="Times New Roman" w:hAnsi="Times New Roman" w:cs="Times New Roman"/>
                <w:sz w:val="22"/>
                <w:szCs w:val="22"/>
              </w:rPr>
              <w:t xml:space="preserve"> года </w:t>
            </w:r>
          </w:p>
        </w:tc>
      </w:tr>
      <w:tr w:rsidR="00E30944" w:rsidRPr="00D43C02" w:rsidTr="000333D4">
        <w:trPr>
          <w:tblCellSpacing w:w="20" w:type="dxa"/>
        </w:trPr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944" w:rsidRPr="00D43C02" w:rsidRDefault="00E30944" w:rsidP="000333D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«___» ____________ 2012 года</w:t>
            </w:r>
          </w:p>
          <w:p w:rsidR="00E30944" w:rsidRPr="005C0CF1" w:rsidRDefault="00E30944" w:rsidP="000333D4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i/>
                <w:sz w:val="22"/>
                <w:szCs w:val="22"/>
              </w:rPr>
            </w:pPr>
          </w:p>
        </w:tc>
      </w:tr>
      <w:tr w:rsidR="00E30944" w:rsidRPr="00D43C02" w:rsidTr="000333D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30944" w:rsidRPr="00D43C02" w:rsidRDefault="00E30944" w:rsidP="000333D4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E30944" w:rsidRPr="000B7B0E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3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CD16FE">
              <w:rPr>
                <w:sz w:val="22"/>
                <w:szCs w:val="22"/>
              </w:rPr>
              <w:t xml:space="preserve">30 % начальной (максимальной) цены контракта, </w:t>
            </w:r>
            <w:r w:rsidRPr="00CD16FE">
              <w:rPr>
                <w:sz w:val="22"/>
                <w:szCs w:val="22"/>
              </w:rPr>
              <w:br/>
              <w:t xml:space="preserve">что составляет </w:t>
            </w:r>
            <w:r>
              <w:rPr>
                <w:sz w:val="22"/>
                <w:szCs w:val="22"/>
              </w:rPr>
              <w:t>121 774 рублей 45 коп</w:t>
            </w:r>
            <w:r w:rsidRPr="00CD16FE">
              <w:rPr>
                <w:sz w:val="22"/>
                <w:szCs w:val="22"/>
              </w:rPr>
              <w:t>.</w:t>
            </w:r>
          </w:p>
        </w:tc>
      </w:tr>
      <w:tr w:rsidR="00E30944" w:rsidRPr="000B7B0E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05031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723" w:type="dxa"/>
            <w:shd w:val="clear" w:color="auto" w:fill="FFFFFF"/>
          </w:tcPr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E30944" w:rsidRPr="00D05031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30944" w:rsidRPr="000B7B0E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723" w:type="dxa"/>
            <w:shd w:val="clear" w:color="auto" w:fill="FFFFFF"/>
          </w:tcPr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безотзывной банковской гарантии, выданной банком или иной кредитной организацией, </w:t>
            </w:r>
          </w:p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договора поручительства,</w:t>
            </w:r>
          </w:p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30944" w:rsidRDefault="00E30944" w:rsidP="000333D4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E30944" w:rsidRDefault="00E30944" w:rsidP="000333D4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 xml:space="preserve">Если участником открытого аукциона в электронной форме, с которым </w:t>
            </w:r>
            <w:r w:rsidRPr="004D4A81">
              <w:rPr>
                <w:sz w:val="22"/>
                <w:szCs w:val="22"/>
              </w:rPr>
              <w:lastRenderedPageBreak/>
              <w:t>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30944" w:rsidRPr="00BB41C2" w:rsidRDefault="00E30944" w:rsidP="000333D4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 xml:space="preserve">) банковских дней предоставить заказчику иное (новое) обеспечение исполнения контракта </w:t>
            </w:r>
            <w:r>
              <w:rPr>
                <w:sz w:val="22"/>
                <w:szCs w:val="22"/>
              </w:rPr>
              <w:br/>
            </w:r>
            <w:r w:rsidRPr="008447B3">
              <w:rPr>
                <w:sz w:val="22"/>
                <w:szCs w:val="22"/>
              </w:rPr>
              <w:t>на тех</w:t>
            </w:r>
            <w:r>
              <w:rPr>
                <w:sz w:val="22"/>
                <w:szCs w:val="22"/>
              </w:rPr>
              <w:t xml:space="preserve"> же условиях и в том же размере.</w:t>
            </w:r>
            <w:proofErr w:type="gramEnd"/>
          </w:p>
        </w:tc>
      </w:tr>
      <w:tr w:rsidR="00E30944" w:rsidRPr="000B7B0E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pStyle w:val="3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>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</w:tc>
      </w:tr>
      <w:tr w:rsidR="00E30944" w:rsidRPr="000B7B0E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723" w:type="dxa"/>
            <w:shd w:val="clear" w:color="auto" w:fill="FFFFFF"/>
          </w:tcPr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</w:t>
            </w:r>
            <w:r>
              <w:rPr>
                <w:sz w:val="22"/>
                <w:szCs w:val="22"/>
              </w:rPr>
              <w:br/>
              <w:t>в десять раз;</w:t>
            </w:r>
          </w:p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E30944" w:rsidRDefault="00E30944" w:rsidP="000333D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E30944" w:rsidRPr="00D43C02" w:rsidRDefault="00E30944" w:rsidP="000333D4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E30944" w:rsidRPr="000B7B0E" w:rsidTr="000333D4">
        <w:trPr>
          <w:tblCellSpacing w:w="20" w:type="dxa"/>
        </w:trPr>
        <w:tc>
          <w:tcPr>
            <w:tcW w:w="2903" w:type="dxa"/>
            <w:gridSpan w:val="2"/>
            <w:shd w:val="clear" w:color="auto" w:fill="FFFFFF"/>
          </w:tcPr>
          <w:p w:rsidR="00E30944" w:rsidRPr="00D43C02" w:rsidRDefault="00E30944" w:rsidP="000333D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723" w:type="dxa"/>
            <w:shd w:val="clear" w:color="auto" w:fill="FFFFFF"/>
          </w:tcPr>
          <w:p w:rsidR="00E30944" w:rsidRPr="00D43C02" w:rsidRDefault="00E30944" w:rsidP="000333D4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>ачестве 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tbl>
            <w:tblPr>
              <w:tblW w:w="7477" w:type="dxa"/>
              <w:tblLook w:val="01E0" w:firstRow="1" w:lastRow="1" w:firstColumn="1" w:lastColumn="1" w:noHBand="0" w:noVBand="0"/>
            </w:tblPr>
            <w:tblGrid>
              <w:gridCol w:w="1302"/>
              <w:gridCol w:w="6175"/>
            </w:tblGrid>
            <w:tr w:rsidR="00E30944" w:rsidRPr="00072271" w:rsidTr="000333D4">
              <w:tc>
                <w:tcPr>
                  <w:tcW w:w="1302" w:type="dxa"/>
                  <w:shd w:val="clear" w:color="auto" w:fill="auto"/>
                </w:tcPr>
                <w:p w:rsidR="00E30944" w:rsidRPr="00D43C02" w:rsidRDefault="00E30944" w:rsidP="000333D4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</w:t>
                  </w:r>
                  <w:r w:rsidRPr="00D43C02">
                    <w:rPr>
                      <w:b/>
                    </w:rPr>
                    <w:t>лучатель</w:t>
                  </w:r>
                </w:p>
              </w:tc>
              <w:tc>
                <w:tcPr>
                  <w:tcW w:w="61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30944" w:rsidRPr="00E4297A" w:rsidRDefault="00E30944" w:rsidP="000333D4">
                  <w:pPr>
                    <w:ind w:left="-196" w:firstLine="196"/>
                    <w:jc w:val="both"/>
                    <w:rPr>
                      <w:sz w:val="22"/>
                      <w:szCs w:val="22"/>
                      <w:u w:val="single"/>
                    </w:rPr>
                  </w:pPr>
                  <w:r w:rsidRPr="00E4297A">
                    <w:rPr>
                      <w:sz w:val="22"/>
                      <w:szCs w:val="22"/>
                      <w:u w:val="single"/>
                    </w:rPr>
                    <w:t>Департамент финансов администрации города Перми</w:t>
                  </w:r>
                </w:p>
                <w:p w:rsidR="00E30944" w:rsidRPr="00E4297A" w:rsidRDefault="00E30944" w:rsidP="000333D4">
                  <w:pPr>
                    <w:jc w:val="both"/>
                    <w:rPr>
                      <w:sz w:val="22"/>
                      <w:szCs w:val="22"/>
                    </w:rPr>
                  </w:pPr>
                  <w:r w:rsidRPr="00E4297A">
                    <w:rPr>
                      <w:sz w:val="22"/>
                      <w:szCs w:val="22"/>
                      <w:u w:val="single"/>
                    </w:rPr>
                    <w:t xml:space="preserve">(департамент имущественных отношений администрации </w:t>
                  </w:r>
                  <w:r w:rsidRPr="00E4297A">
                    <w:rPr>
                      <w:sz w:val="22"/>
                      <w:szCs w:val="22"/>
                    </w:rPr>
                    <w:t>г.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E4297A">
                    <w:rPr>
                      <w:sz w:val="22"/>
                      <w:szCs w:val="22"/>
                    </w:rPr>
                    <w:t>Перми</w:t>
                  </w:r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gramStart"/>
                  <w:r>
                    <w:rPr>
                      <w:sz w:val="22"/>
                      <w:szCs w:val="22"/>
                    </w:rPr>
                    <w:t>л</w:t>
                  </w:r>
                  <w:proofErr w:type="gramEnd"/>
                  <w:r w:rsidRPr="00E4297A">
                    <w:rPr>
                      <w:sz w:val="22"/>
                      <w:szCs w:val="22"/>
                    </w:rPr>
                    <w:t>/</w:t>
                  </w:r>
                  <w:r>
                    <w:rPr>
                      <w:sz w:val="22"/>
                      <w:szCs w:val="22"/>
                      <w:lang w:val="en-US"/>
                    </w:rPr>
                    <w:t>c</w:t>
                  </w:r>
                  <w:r w:rsidRPr="00E4297A">
                    <w:rPr>
                      <w:sz w:val="22"/>
                      <w:szCs w:val="22"/>
                    </w:rPr>
                    <w:t xml:space="preserve"> 04163010041)</w:t>
                  </w:r>
                </w:p>
              </w:tc>
            </w:tr>
            <w:tr w:rsidR="00E30944" w:rsidRPr="00072271" w:rsidTr="000333D4">
              <w:tc>
                <w:tcPr>
                  <w:tcW w:w="1302" w:type="dxa"/>
                  <w:shd w:val="clear" w:color="auto" w:fill="auto"/>
                </w:tcPr>
                <w:p w:rsidR="00E30944" w:rsidRPr="00D43C02" w:rsidRDefault="00E30944" w:rsidP="000333D4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61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30944" w:rsidRPr="00E4297A" w:rsidRDefault="00E30944" w:rsidP="000333D4">
                  <w:pPr>
                    <w:jc w:val="both"/>
                    <w:rPr>
                      <w:sz w:val="22"/>
                      <w:szCs w:val="22"/>
                    </w:rPr>
                  </w:pPr>
                  <w:r w:rsidRPr="00E4297A">
                    <w:rPr>
                      <w:sz w:val="22"/>
                      <w:szCs w:val="22"/>
                    </w:rPr>
                    <w:t>5902502248</w:t>
                  </w:r>
                </w:p>
              </w:tc>
            </w:tr>
            <w:tr w:rsidR="00E30944" w:rsidRPr="00072271" w:rsidTr="000333D4">
              <w:tc>
                <w:tcPr>
                  <w:tcW w:w="1302" w:type="dxa"/>
                  <w:shd w:val="clear" w:color="auto" w:fill="auto"/>
                </w:tcPr>
                <w:p w:rsidR="00E30944" w:rsidRPr="00D43C02" w:rsidRDefault="00E30944" w:rsidP="000333D4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61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30944" w:rsidRPr="00E4297A" w:rsidRDefault="00E30944" w:rsidP="000333D4">
                  <w:pPr>
                    <w:jc w:val="both"/>
                    <w:rPr>
                      <w:sz w:val="22"/>
                      <w:szCs w:val="22"/>
                    </w:rPr>
                  </w:pPr>
                  <w:r w:rsidRPr="00E4297A">
                    <w:rPr>
                      <w:sz w:val="22"/>
                      <w:szCs w:val="22"/>
                    </w:rPr>
                    <w:t>590201001</w:t>
                  </w:r>
                </w:p>
              </w:tc>
            </w:tr>
            <w:tr w:rsidR="00E30944" w:rsidRPr="00072271" w:rsidTr="000333D4">
              <w:tc>
                <w:tcPr>
                  <w:tcW w:w="1302" w:type="dxa"/>
                  <w:shd w:val="clear" w:color="auto" w:fill="auto"/>
                </w:tcPr>
                <w:p w:rsidR="00E30944" w:rsidRPr="00D43C02" w:rsidRDefault="00E30944" w:rsidP="000333D4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61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30944" w:rsidRPr="00E4297A" w:rsidRDefault="00E30944" w:rsidP="000333D4">
                  <w:pPr>
                    <w:jc w:val="both"/>
                    <w:rPr>
                      <w:sz w:val="22"/>
                      <w:szCs w:val="22"/>
                    </w:rPr>
                  </w:pPr>
                  <w:r w:rsidRPr="00E4297A">
                    <w:rPr>
                      <w:sz w:val="22"/>
                      <w:szCs w:val="22"/>
                    </w:rPr>
                    <w:t>№ 40302810000005000009</w:t>
                  </w:r>
                  <w:r>
                    <w:rPr>
                      <w:sz w:val="22"/>
                      <w:szCs w:val="22"/>
                    </w:rPr>
                    <w:t xml:space="preserve"> в РКЦ </w:t>
                  </w:r>
                  <w:r w:rsidRPr="00E4297A">
                    <w:rPr>
                      <w:sz w:val="22"/>
                      <w:szCs w:val="22"/>
                    </w:rPr>
                    <w:t>Пермь г.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E4297A">
                    <w:rPr>
                      <w:sz w:val="22"/>
                      <w:szCs w:val="22"/>
                    </w:rPr>
                    <w:t>Пермь</w:t>
                  </w:r>
                </w:p>
              </w:tc>
            </w:tr>
            <w:tr w:rsidR="00E30944" w:rsidRPr="00072271" w:rsidTr="000333D4">
              <w:tc>
                <w:tcPr>
                  <w:tcW w:w="1302" w:type="dxa"/>
                  <w:shd w:val="clear" w:color="auto" w:fill="auto"/>
                </w:tcPr>
                <w:p w:rsidR="00E30944" w:rsidRPr="00D43C02" w:rsidRDefault="00E30944" w:rsidP="000333D4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lastRenderedPageBreak/>
                    <w:t xml:space="preserve">БИК </w:t>
                  </w:r>
                </w:p>
              </w:tc>
              <w:tc>
                <w:tcPr>
                  <w:tcW w:w="617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30944" w:rsidRPr="00E4297A" w:rsidRDefault="00E30944" w:rsidP="000333D4">
                  <w:pPr>
                    <w:jc w:val="both"/>
                    <w:rPr>
                      <w:sz w:val="22"/>
                      <w:szCs w:val="22"/>
                    </w:rPr>
                  </w:pPr>
                  <w:r w:rsidRPr="00E4297A">
                    <w:rPr>
                      <w:sz w:val="22"/>
                      <w:szCs w:val="22"/>
                    </w:rPr>
                    <w:t>045744000</w:t>
                  </w:r>
                </w:p>
              </w:tc>
            </w:tr>
            <w:tr w:rsidR="00E30944" w:rsidRPr="00072271" w:rsidTr="000333D4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E30944" w:rsidRPr="00D43C02" w:rsidRDefault="00E30944" w:rsidP="000333D4">
                  <w:pPr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</w:t>
                  </w:r>
                  <w:r w:rsidRPr="00D43C02">
                    <w:rPr>
                      <w:b/>
                      <w:color w:val="000000"/>
                    </w:rPr>
                    <w:t>зна</w:t>
                  </w:r>
                  <w:r>
                    <w:rPr>
                      <w:b/>
                      <w:color w:val="000000"/>
                    </w:rPr>
                    <w:t>ч</w:t>
                  </w:r>
                  <w:r w:rsidRPr="00D43C02">
                    <w:rPr>
                      <w:b/>
                      <w:color w:val="000000"/>
                    </w:rPr>
                    <w:t>ение платежа</w:t>
                  </w:r>
                </w:p>
              </w:tc>
              <w:tc>
                <w:tcPr>
                  <w:tcW w:w="61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30944" w:rsidRPr="00E4297A" w:rsidRDefault="00E30944" w:rsidP="000333D4">
                  <w:pPr>
                    <w:jc w:val="both"/>
                    <w:rPr>
                      <w:sz w:val="22"/>
                      <w:szCs w:val="22"/>
                    </w:rPr>
                  </w:pPr>
                  <w:r w:rsidRPr="00E4297A">
                    <w:rPr>
                      <w:sz w:val="22"/>
                      <w:szCs w:val="22"/>
                    </w:rPr>
                    <w:t>О</w:t>
                  </w:r>
                  <w:r>
                    <w:rPr>
                      <w:sz w:val="22"/>
                      <w:szCs w:val="22"/>
                    </w:rPr>
                    <w:t>б</w:t>
                  </w:r>
                  <w:r w:rsidRPr="00E4297A">
                    <w:rPr>
                      <w:sz w:val="22"/>
                      <w:szCs w:val="22"/>
                    </w:rPr>
                    <w:t>еспечен</w:t>
                  </w:r>
                  <w:r>
                    <w:rPr>
                      <w:sz w:val="22"/>
                      <w:szCs w:val="22"/>
                    </w:rPr>
                    <w:t>и</w:t>
                  </w:r>
                  <w:r w:rsidRPr="00E4297A">
                    <w:rPr>
                      <w:sz w:val="22"/>
                      <w:szCs w:val="22"/>
                    </w:rPr>
                    <w:t>е исполнения ко</w:t>
                  </w:r>
                  <w:r>
                    <w:rPr>
                      <w:sz w:val="22"/>
                      <w:szCs w:val="22"/>
                    </w:rPr>
                    <w:t>н</w:t>
                  </w:r>
                  <w:r w:rsidRPr="00E4297A">
                    <w:rPr>
                      <w:sz w:val="22"/>
                      <w:szCs w:val="22"/>
                    </w:rPr>
                    <w:t>тракта, изве</w:t>
                  </w:r>
                  <w:r>
                    <w:rPr>
                      <w:sz w:val="22"/>
                      <w:szCs w:val="22"/>
                    </w:rPr>
                    <w:t>щ</w:t>
                  </w:r>
                  <w:r w:rsidRPr="00E4297A">
                    <w:rPr>
                      <w:sz w:val="22"/>
                      <w:szCs w:val="22"/>
                    </w:rPr>
                    <w:t xml:space="preserve">ение </w:t>
                  </w:r>
                  <w:r w:rsidRPr="00E4297A">
                    <w:rPr>
                      <w:sz w:val="22"/>
                      <w:szCs w:val="22"/>
                    </w:rPr>
                    <w:br/>
                    <w:t>о</w:t>
                  </w:r>
                  <w:r>
                    <w:rPr>
                      <w:sz w:val="22"/>
                      <w:szCs w:val="22"/>
                    </w:rPr>
                    <w:t>т «___» ________ 2012 года № _____</w:t>
                  </w:r>
                  <w:r w:rsidRPr="00E4297A">
                    <w:rPr>
                      <w:sz w:val="22"/>
                      <w:szCs w:val="22"/>
                    </w:rPr>
                    <w:t>_.</w:t>
                  </w:r>
                </w:p>
              </w:tc>
            </w:tr>
          </w:tbl>
          <w:p w:rsidR="00E30944" w:rsidRPr="00D43C02" w:rsidRDefault="00E30944" w:rsidP="000333D4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E30944" w:rsidRPr="006271F8" w:rsidRDefault="00E30944" w:rsidP="00E30944">
      <w:pPr>
        <w:pStyle w:val="a3"/>
      </w:pPr>
    </w:p>
    <w:p w:rsidR="00B8596F" w:rsidRDefault="00B8596F">
      <w:bookmarkStart w:id="0" w:name="_GoBack"/>
      <w:bookmarkEnd w:id="0"/>
    </w:p>
    <w:sectPr w:rsidR="00B8596F" w:rsidSect="00AF40D4">
      <w:headerReference w:type="default" r:id="rId6"/>
      <w:footerReference w:type="even" r:id="rId7"/>
      <w:footerReference w:type="default" r:id="rId8"/>
      <w:pgSz w:w="11906" w:h="16838"/>
      <w:pgMar w:top="360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CB" w:rsidRDefault="00E3094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2ACB" w:rsidRDefault="00E3094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CB" w:rsidRDefault="00E3094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D02ACB" w:rsidRDefault="00E30944"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CB" w:rsidRDefault="00E3094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75pt;height:10.75pt" o:bullet="t">
        <v:imagedata r:id="rId1" o:title="BD10297_"/>
      </v:shape>
    </w:pict>
  </w:numPicBullet>
  <w:abstractNum w:abstractNumId="0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654"/>
    <w:rsid w:val="00B8596F"/>
    <w:rsid w:val="00D41654"/>
    <w:rsid w:val="00E3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094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309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3094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30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309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E30944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E30944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E30944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a7">
    <w:name w:val="footer"/>
    <w:basedOn w:val="a"/>
    <w:link w:val="a8"/>
    <w:rsid w:val="00E309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309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30944"/>
  </w:style>
  <w:style w:type="paragraph" w:styleId="aa">
    <w:name w:val="header"/>
    <w:basedOn w:val="a"/>
    <w:link w:val="ab"/>
    <w:rsid w:val="00E309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30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Number 2"/>
    <w:basedOn w:val="a"/>
    <w:uiPriority w:val="99"/>
    <w:semiHidden/>
    <w:unhideWhenUsed/>
    <w:rsid w:val="00E30944"/>
    <w:pPr>
      <w:numPr>
        <w:numId w:val="1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E309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309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0944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309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3094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30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309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E30944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E30944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E30944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a7">
    <w:name w:val="footer"/>
    <w:basedOn w:val="a"/>
    <w:link w:val="a8"/>
    <w:rsid w:val="00E309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309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30944"/>
  </w:style>
  <w:style w:type="paragraph" w:styleId="aa">
    <w:name w:val="header"/>
    <w:basedOn w:val="a"/>
    <w:link w:val="ab"/>
    <w:rsid w:val="00E309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30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Number 2"/>
    <w:basedOn w:val="a"/>
    <w:uiPriority w:val="99"/>
    <w:semiHidden/>
    <w:unhideWhenUsed/>
    <w:rsid w:val="00E30944"/>
    <w:pPr>
      <w:numPr>
        <w:numId w:val="1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E309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309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2018</Words>
  <Characters>15359</Characters>
  <Application>Microsoft Office Word</Application>
  <DocSecurity>0</DocSecurity>
  <Lines>731</Lines>
  <Paragraphs>263</Paragraphs>
  <ScaleCrop>false</ScaleCrop>
  <Company/>
  <LinksUpToDate>false</LinksUpToDate>
  <CharactersWithSpaces>17114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2012-05-31T11:23:00Z</dcterms:created>
  <dcterms:modified xsi:type="dcterms:W3CDTF">2012-05-31T11:23:00Z</dcterms:modified>
</cp:coreProperties>
</file>