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w:t>
      </w:r>
      <w:proofErr w:type="gramStart"/>
      <w:r w:rsidRPr="00B76065">
        <w:rPr>
          <w:rFonts w:ascii="Times New Roman" w:eastAsia="Times New Roman" w:hAnsi="Times New Roman" w:cs="Times New Roman"/>
          <w:sz w:val="24"/>
          <w:szCs w:val="24"/>
          <w:lang w:eastAsia="ru-RU"/>
        </w:rPr>
        <w:t xml:space="preserve">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6A16C9">
        <w:rPr>
          <w:rFonts w:ascii="Times New Roman" w:eastAsia="Times New Roman" w:hAnsi="Times New Roman" w:cs="Times New Roman"/>
          <w:b/>
          <w:sz w:val="24"/>
          <w:szCs w:val="24"/>
          <w:lang w:eastAsia="ru-RU"/>
        </w:rPr>
        <w:t>: электрокардиографы</w:t>
      </w:r>
      <w:r w:rsidRPr="00B76065">
        <w:rPr>
          <w:rFonts w:ascii="Times New Roman" w:eastAsia="Times New Roman" w:hAnsi="Times New Roman" w:cs="Times New Roman"/>
          <w:sz w:val="24"/>
          <w:szCs w:val="24"/>
          <w:lang w:eastAsia="ru-RU"/>
        </w:rPr>
        <w:t xml:space="preserve"> (далее - «</w:t>
      </w:r>
      <w:r w:rsidR="006A16C9">
        <w:rPr>
          <w:rFonts w:ascii="Times New Roman" w:eastAsia="Times New Roman" w:hAnsi="Times New Roman" w:cs="Times New Roman"/>
          <w:sz w:val="24"/>
          <w:szCs w:val="24"/>
          <w:lang w:eastAsia="ru-RU"/>
        </w:rPr>
        <w:t>т</w:t>
      </w:r>
      <w:r w:rsidRPr="00B76065">
        <w:rPr>
          <w:rFonts w:ascii="Times New Roman" w:eastAsia="Times New Roman" w:hAnsi="Times New Roman" w:cs="Times New Roman"/>
          <w:sz w:val="24"/>
          <w:szCs w:val="24"/>
          <w:lang w:eastAsia="ru-RU"/>
        </w:rPr>
        <w:t xml:space="preserve">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w:t>
      </w:r>
      <w:r w:rsidRPr="00B76065">
        <w:rPr>
          <w:rFonts w:ascii="Times New Roman" w:eastAsia="Times New Roman" w:hAnsi="Times New Roman" w:cs="Times New Roman"/>
          <w:b/>
          <w:sz w:val="24"/>
          <w:szCs w:val="24"/>
          <w:lang w:eastAsia="ru-RU"/>
        </w:rPr>
        <w:t>__________ (__</w:t>
      </w:r>
      <w:r w:rsidR="00F24B65">
        <w:rPr>
          <w:rFonts w:ascii="Times New Roman" w:eastAsia="Times New Roman" w:hAnsi="Times New Roman" w:cs="Times New Roman"/>
          <w:b/>
          <w:sz w:val="24"/>
          <w:szCs w:val="24"/>
          <w:lang w:eastAsia="ru-RU"/>
        </w:rPr>
        <w:t>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C783F">
        <w:rPr>
          <w:rFonts w:ascii="Times New Roman" w:eastAsia="Times New Roman" w:hAnsi="Times New Roman" w:cs="Times New Roman"/>
          <w:sz w:val="24"/>
          <w:szCs w:val="24"/>
          <w:lang w:eastAsia="ru-RU"/>
        </w:rPr>
        <w:t>1</w:t>
      </w:r>
      <w:bookmarkStart w:id="0" w:name="_GoBack"/>
      <w:bookmarkEnd w:id="0"/>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7C562B"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w:t>
      </w:r>
      <w:r w:rsidR="006A2070" w:rsidRPr="007C562B">
        <w:rPr>
          <w:rFonts w:ascii="Times New Roman" w:eastAsia="Times New Roman" w:hAnsi="Times New Roman" w:cs="Times New Roman"/>
          <w:sz w:val="24"/>
          <w:szCs w:val="24"/>
          <w:lang w:eastAsia="ru-RU"/>
        </w:rPr>
        <w:t>поставки товара: в течение 45</w:t>
      </w:r>
      <w:r w:rsidR="006A2070" w:rsidRPr="007C562B">
        <w:rPr>
          <w:rFonts w:ascii="Times New Roman" w:eastAsia="Times New Roman" w:hAnsi="Times New Roman" w:cs="Times New Roman"/>
          <w:b/>
          <w:sz w:val="24"/>
          <w:szCs w:val="24"/>
          <w:lang w:eastAsia="ru-RU"/>
        </w:rPr>
        <w:t xml:space="preserve"> </w:t>
      </w:r>
      <w:r w:rsidR="006A2070" w:rsidRPr="007C562B">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7C562B"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.4.1.</w:t>
      </w:r>
      <w:r w:rsidR="006A2070" w:rsidRPr="007C562B">
        <w:rPr>
          <w:rFonts w:ascii="Times New Roman" w:eastAsia="Times New Roman" w:hAnsi="Times New Roman" w:cs="Times New Roman"/>
          <w:sz w:val="24"/>
          <w:szCs w:val="24"/>
          <w:lang w:eastAsia="ru-RU"/>
        </w:rPr>
        <w:t xml:space="preserve"> Срок предоставления вспомогательных услуг – в течение 45 (сорока пяти) календарных дней с момента заключения договора. </w:t>
      </w:r>
    </w:p>
    <w:p w:rsidR="006A2070" w:rsidRPr="007C562B" w:rsidRDefault="00EF0303" w:rsidP="009D654F">
      <w:pPr>
        <w:spacing w:after="0" w:line="240" w:lineRule="auto"/>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.5.</w:t>
      </w:r>
      <w:r w:rsidR="00F001E7" w:rsidRPr="007C562B">
        <w:rPr>
          <w:rFonts w:ascii="Times New Roman" w:eastAsia="Times New Roman" w:hAnsi="Times New Roman" w:cs="Times New Roman"/>
          <w:b/>
          <w:sz w:val="24"/>
          <w:szCs w:val="24"/>
          <w:lang w:eastAsia="ru-RU"/>
        </w:rPr>
        <w:t xml:space="preserve"> </w:t>
      </w:r>
      <w:r w:rsidR="006A2070" w:rsidRPr="007C562B">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.6.</w:t>
      </w:r>
      <w:r w:rsidR="006A2070" w:rsidRPr="007C562B">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w:t>
      </w:r>
      <w:r w:rsidR="006A2070" w:rsidRPr="00B76065">
        <w:rPr>
          <w:rFonts w:ascii="Times New Roman" w:eastAsia="Times New Roman" w:hAnsi="Times New Roman" w:cs="Times New Roman"/>
          <w:sz w:val="24"/>
          <w:szCs w:val="24"/>
          <w:lang w:eastAsia="ru-RU"/>
        </w:rPr>
        <w:t>,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006A2070" w:rsidRPr="00B76065">
        <w:rPr>
          <w:rFonts w:ascii="Times New Roman" w:eastAsia="Times New Roman" w:hAnsi="Times New Roman" w:cs="Times New Roman"/>
          <w:sz w:val="24"/>
          <w:szCs w:val="24"/>
          <w:lang w:eastAsia="ru-RU"/>
        </w:rPr>
        <w:t>недоукомплектации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lastRenderedPageBreak/>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7C562B" w:rsidRDefault="007C562B" w:rsidP="009D654F">
      <w:pPr>
        <w:spacing w:after="0" w:line="240" w:lineRule="auto"/>
        <w:jc w:val="center"/>
        <w:rPr>
          <w:rFonts w:ascii="Times New Roman" w:eastAsia="Times New Roman" w:hAnsi="Times New Roman" w:cs="Times New Roman"/>
          <w:b/>
          <w:sz w:val="24"/>
          <w:szCs w:val="24"/>
          <w:lang w:eastAsia="ru-RU"/>
        </w:rPr>
      </w:pPr>
    </w:p>
    <w:p w:rsidR="007C562B" w:rsidRDefault="007C562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4E63B1">
        <w:rPr>
          <w:rFonts w:ascii="Times New Roman" w:hAnsi="Times New Roman" w:cs="Times New Roman"/>
          <w:sz w:val="24"/>
          <w:szCs w:val="24"/>
        </w:rPr>
        <w:t>.</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AC783F"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AC783F">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F24B65" w:rsidRDefault="00F24B65" w:rsidP="009D654F">
      <w:pPr>
        <w:ind w:firstLine="9000"/>
        <w:jc w:val="right"/>
        <w:rPr>
          <w:b/>
        </w:rPr>
      </w:pPr>
    </w:p>
    <w:p w:rsidR="00F24B65" w:rsidRDefault="00F24B65" w:rsidP="009D654F">
      <w:pPr>
        <w:ind w:firstLine="9000"/>
        <w:jc w:val="right"/>
        <w:rPr>
          <w:b/>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Pr="009D654F" w:rsidRDefault="009D654F" w:rsidP="00F24B65">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sidR="00F24B65">
        <w:rPr>
          <w:rFonts w:ascii="Times New Roman" w:hAnsi="Times New Roman" w:cs="Times New Roman"/>
          <w:sz w:val="20"/>
          <w:szCs w:val="20"/>
        </w:rPr>
        <w:t>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C783F" w:rsidRPr="00AF6CDF" w:rsidTr="007A11A8">
        <w:tc>
          <w:tcPr>
            <w:tcW w:w="363"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c>
          <w:tcPr>
            <w:tcW w:w="2737"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c>
          <w:tcPr>
            <w:tcW w:w="1900"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F06F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910BA"/>
    <w:rsid w:val="002A0503"/>
    <w:rsid w:val="002C5D7C"/>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7B72"/>
    <w:rsid w:val="004C4C12"/>
    <w:rsid w:val="004D371F"/>
    <w:rsid w:val="004D5D5E"/>
    <w:rsid w:val="004E56DE"/>
    <w:rsid w:val="004E63B1"/>
    <w:rsid w:val="004F2D00"/>
    <w:rsid w:val="004F3B68"/>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139C"/>
    <w:rsid w:val="00643BD0"/>
    <w:rsid w:val="0064443B"/>
    <w:rsid w:val="006468C4"/>
    <w:rsid w:val="00663697"/>
    <w:rsid w:val="006A16C9"/>
    <w:rsid w:val="006A2070"/>
    <w:rsid w:val="006A20FE"/>
    <w:rsid w:val="006B26E3"/>
    <w:rsid w:val="006B2704"/>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C562B"/>
    <w:rsid w:val="007E421B"/>
    <w:rsid w:val="007E4757"/>
    <w:rsid w:val="007E53FF"/>
    <w:rsid w:val="008009AD"/>
    <w:rsid w:val="00823DDD"/>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A09DA"/>
    <w:rsid w:val="00AA17EF"/>
    <w:rsid w:val="00AB6755"/>
    <w:rsid w:val="00AC350C"/>
    <w:rsid w:val="00AC40A0"/>
    <w:rsid w:val="00AC783F"/>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06F90"/>
    <w:rsid w:val="00F117D5"/>
    <w:rsid w:val="00F24B6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90"/>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4E63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1830</Words>
  <Characters>10431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26</cp:revision>
  <cp:lastPrinted>2012-07-11T09:22:00Z</cp:lastPrinted>
  <dcterms:created xsi:type="dcterms:W3CDTF">2012-07-11T02:42:00Z</dcterms:created>
  <dcterms:modified xsi:type="dcterms:W3CDTF">2012-07-13T09:24:00Z</dcterms:modified>
</cp:coreProperties>
</file>