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035290">
        <w:rPr>
          <w:rFonts w:ascii="Times New Roman" w:eastAsia="Times New Roman" w:hAnsi="Times New Roman"/>
          <w:b/>
          <w:lang w:eastAsia="ru-RU"/>
        </w:rPr>
        <w:t>52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035290">
        <w:rPr>
          <w:rFonts w:ascii="Times New Roman" w:eastAsia="Times New Roman" w:hAnsi="Times New Roman"/>
          <w:b/>
          <w:lang w:eastAsia="ru-RU"/>
        </w:rPr>
        <w:t>27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августа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7428E0" w:rsidRPr="00B17CA4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="00417303">
        <w:rPr>
          <w:rFonts w:ascii="Times New Roman" w:hAnsi="Times New Roman" w:cs="Times New Roman"/>
          <w:color w:val="000000"/>
          <w:sz w:val="22"/>
          <w:szCs w:val="22"/>
        </w:rPr>
        <w:t xml:space="preserve">выполнение работ по </w:t>
      </w:r>
      <w:r>
        <w:rPr>
          <w:rFonts w:ascii="Times New Roman" w:hAnsi="Times New Roman" w:cs="Times New Roman"/>
          <w:color w:val="000000"/>
          <w:sz w:val="22"/>
          <w:szCs w:val="22"/>
        </w:rPr>
        <w:t>изготовлени</w:t>
      </w:r>
      <w:r w:rsidR="00417303">
        <w:rPr>
          <w:rFonts w:ascii="Times New Roman" w:hAnsi="Times New Roman" w:cs="Times New Roman"/>
          <w:color w:val="000000"/>
          <w:sz w:val="22"/>
          <w:szCs w:val="22"/>
        </w:rPr>
        <w:t>ю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и установк</w:t>
      </w:r>
      <w:r w:rsidR="00417303">
        <w:rPr>
          <w:rFonts w:ascii="Times New Roman" w:hAnsi="Times New Roman" w:cs="Times New Roman"/>
          <w:color w:val="000000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035290">
        <w:rPr>
          <w:rFonts w:ascii="Times New Roman" w:hAnsi="Times New Roman" w:cs="Times New Roman"/>
          <w:color w:val="000000"/>
          <w:sz w:val="22"/>
          <w:szCs w:val="22"/>
        </w:rPr>
        <w:t>бетонных полусфер (надолбов)</w:t>
      </w:r>
    </w:p>
    <w:p w:rsidR="00B17CA4" w:rsidRPr="00B17CA4" w:rsidRDefault="00B17CA4" w:rsidP="00B17F63">
      <w:pPr>
        <w:pStyle w:val="a3"/>
        <w:jc w:val="center"/>
        <w:rPr>
          <w:rFonts w:ascii="Times New Roman" w:hAnsi="Times New Roman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  <w:bookmarkStart w:id="0" w:name="_GoBack"/>
            <w:bookmarkEnd w:id="0"/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Default="00094DEE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hyperlink r:id="rId8" w:history="1">
              <w:r w:rsidRPr="00977A54">
                <w:rPr>
                  <w:rStyle w:val="af0"/>
                  <w:rFonts w:ascii="Times New Roman" w:eastAsia="Times New Roman" w:hAnsi="Times New Roman"/>
                  <w:lang w:eastAsia="ru-RU"/>
                </w:rPr>
                <w:t>mku-permddd@yandex.ru</w:t>
              </w:r>
            </w:hyperlink>
          </w:p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417303" w:rsidP="00417303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Выполнение работ по и</w:t>
            </w:r>
            <w:r w:rsidR="007428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зготовлени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</w:t>
            </w:r>
            <w:r w:rsidR="007428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установк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="007428E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035290" w:rsidRPr="0003529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бетонных полусфер (надолбов)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035290" w:rsidP="000352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 w:rsidR="007428E0">
              <w:rPr>
                <w:rFonts w:ascii="Times New Roman" w:eastAsia="Times New Roman" w:hAnsi="Times New Roman"/>
                <w:b/>
                <w:lang w:eastAsia="ru-RU"/>
              </w:rPr>
              <w:t>00 (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Двести</w:t>
            </w:r>
            <w:r w:rsidR="007428E0">
              <w:rPr>
                <w:rFonts w:ascii="Times New Roman" w:eastAsia="Times New Roman" w:hAnsi="Times New Roman"/>
                <w:b/>
                <w:lang w:eastAsia="ru-RU"/>
              </w:rPr>
              <w:t>) штук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137022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37022">
              <w:rPr>
                <w:rFonts w:ascii="Times New Roman" w:eastAsia="Times New Roman" w:hAnsi="Times New Roman"/>
                <w:lang w:eastAsia="ru-RU"/>
              </w:rPr>
              <w:t>Места выполнения работ указываются Заказчиком в заявках, передаваемых Подрядчику после заключения контракта. Одновременно с заявкой Заказчик передает Подрядчику проект организации дорожного движения на участке производства работ.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035290" w:rsidP="00035290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528 497,11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Пятьсот двадцать восемь тысяч четыреста девяносто семь рублей</w:t>
            </w:r>
            <w:r w:rsidR="007428E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ресурсный сметный расчет 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035290">
              <w:rPr>
                <w:rFonts w:ascii="Times New Roman" w:eastAsia="Times New Roman" w:hAnsi="Times New Roman"/>
                <w:lang w:eastAsia="ru-RU"/>
              </w:rPr>
              <w:t>04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035290">
              <w:rPr>
                <w:rFonts w:ascii="Times New Roman" w:eastAsia="Times New Roman" w:hAnsi="Times New Roman"/>
                <w:lang w:eastAsia="ru-RU"/>
              </w:rPr>
              <w:t>сентября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29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035290">
              <w:rPr>
                <w:rFonts w:ascii="Times New Roman" w:eastAsia="Times New Roman" w:hAnsi="Times New Roman"/>
                <w:lang w:eastAsia="ru-RU"/>
              </w:rPr>
              <w:t>10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035290">
              <w:rPr>
                <w:rFonts w:ascii="Times New Roman" w:eastAsia="Times New Roman" w:hAnsi="Times New Roman"/>
                <w:lang w:eastAsia="ru-RU"/>
              </w:rPr>
              <w:t>сентября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035290">
              <w:rPr>
                <w:rFonts w:ascii="Times New Roman" w:eastAsia="Times New Roman" w:hAnsi="Times New Roman"/>
                <w:lang w:eastAsia="ru-RU"/>
              </w:rPr>
              <w:t>13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035290">
              <w:rPr>
                <w:rFonts w:ascii="Times New Roman" w:eastAsia="Times New Roman" w:hAnsi="Times New Roman"/>
                <w:lang w:eastAsia="ru-RU"/>
              </w:rPr>
              <w:t>сентября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9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7428E0" w:rsidRPr="00417303" w:rsidRDefault="007428E0" w:rsidP="007428E0">
      <w:pPr>
        <w:pStyle w:val="a3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="00417303"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>выполнение работ по</w:t>
      </w:r>
      <w:r w:rsidR="00417303" w:rsidRPr="00417303">
        <w:rPr>
          <w:rStyle w:val="a4"/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Pr="00417303">
        <w:rPr>
          <w:rFonts w:ascii="Times New Roman" w:hAnsi="Times New Roman" w:cs="Times New Roman"/>
          <w:b/>
          <w:color w:val="000000"/>
          <w:sz w:val="22"/>
          <w:szCs w:val="22"/>
        </w:rPr>
        <w:t>изготовлени</w:t>
      </w:r>
      <w:r w:rsidR="00417303" w:rsidRPr="00417303">
        <w:rPr>
          <w:rFonts w:ascii="Times New Roman" w:hAnsi="Times New Roman" w:cs="Times New Roman"/>
          <w:b/>
          <w:color w:val="000000"/>
          <w:sz w:val="22"/>
          <w:szCs w:val="22"/>
        </w:rPr>
        <w:t>ю</w:t>
      </w:r>
      <w:r w:rsidRPr="0041730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и установк</w:t>
      </w:r>
      <w:r w:rsidR="00417303" w:rsidRPr="00417303">
        <w:rPr>
          <w:rFonts w:ascii="Times New Roman" w:hAnsi="Times New Roman" w:cs="Times New Roman"/>
          <w:b/>
          <w:color w:val="000000"/>
          <w:sz w:val="22"/>
          <w:szCs w:val="22"/>
        </w:rPr>
        <w:t>е</w:t>
      </w:r>
      <w:r w:rsidRPr="0041730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="00035290" w:rsidRPr="00035290">
        <w:rPr>
          <w:rFonts w:ascii="Times New Roman" w:hAnsi="Times New Roman" w:cs="Times New Roman"/>
          <w:b/>
          <w:color w:val="000000"/>
          <w:sz w:val="22"/>
          <w:szCs w:val="22"/>
        </w:rPr>
        <w:t>бетонных полусфер (надолбов)</w:t>
      </w:r>
    </w:p>
    <w:p w:rsidR="00B17CA4" w:rsidRPr="00B17CA4" w:rsidRDefault="00B17CA4" w:rsidP="00B17F63">
      <w:pPr>
        <w:pStyle w:val="a3"/>
        <w:jc w:val="center"/>
        <w:rPr>
          <w:rFonts w:ascii="Times New Roman" w:hAnsi="Times New Roman"/>
          <w:b/>
          <w:i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4"/>
        <w:gridCol w:w="81"/>
        <w:gridCol w:w="366"/>
        <w:gridCol w:w="7765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Default="00094DEE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hyperlink r:id="rId10" w:history="1">
              <w:r w:rsidRPr="00977A54">
                <w:rPr>
                  <w:rStyle w:val="af0"/>
                  <w:rFonts w:ascii="Times New Roman" w:eastAsia="Times New Roman" w:hAnsi="Times New Roman"/>
                  <w:lang w:eastAsia="ru-RU"/>
                </w:rPr>
                <w:t>mku-permddd@yandex.ru</w:t>
              </w:r>
            </w:hyperlink>
          </w:p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417303" w:rsidP="007E1FE1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Выполнение работ по изготовлению и установке </w:t>
            </w:r>
            <w:r w:rsidR="00035290" w:rsidRPr="000268B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бетонных полусфер (надолбов)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F91CD9" w:rsidP="007E1FE1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b/>
                <w:sz w:val="22"/>
                <w:szCs w:val="22"/>
              </w:rPr>
              <w:t>528 497,11 (Пятьсот двадцать восемь тысяч четыреста девяносто семь рублей 11 копеек)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локальный ресурсный сметный расчет  </w:t>
            </w:r>
            <w:r w:rsidRPr="000268B6">
              <w:rPr>
                <w:rFonts w:ascii="Times New Roman" w:hAnsi="Times New Roman"/>
              </w:rPr>
              <w:t>(Приложение №2 к документации об открытом аукционе в электронной форме)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F91CD9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200 (Двести) штук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по изготовлению и установке </w:t>
            </w:r>
            <w:r w:rsidR="00F91CD9" w:rsidRPr="000268B6">
              <w:rPr>
                <w:rFonts w:ascii="Times New Roman" w:hAnsi="Times New Roman"/>
                <w:color w:val="000000"/>
              </w:rPr>
              <w:t xml:space="preserve">бетонных полусфер (надолбов)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0268B6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5B5D06" w:rsidRPr="000268B6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FB3AC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7E1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>Установлены в Техническом задании (Приложение № 1 к документации об открытом аукционе в электронной форме, Приложение № 3 к муниципальному контракту)</w:t>
            </w:r>
            <w:proofErr w:type="gramEnd"/>
          </w:p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137022" w:rsidP="007E1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Места выполнения работ указываются Заказчиком в заявках, передаваемых Подрядчику после заключения контракта. Одновременно с заявкой Заказчик передает Подрядчику проект организации дорожного движения на участке производства работ.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Условия и сроки (периоды) выполнения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1CD9" w:rsidRPr="000268B6" w:rsidRDefault="00F91CD9" w:rsidP="00F91C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Подрядчик обязуется выполнить весь объем работ, являющихся предметом настоящего контракта, в срок до 15.10.2012 г.</w:t>
            </w:r>
          </w:p>
          <w:p w:rsidR="007428E0" w:rsidRPr="000268B6" w:rsidRDefault="00F91CD9" w:rsidP="00F91C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F91CD9" w:rsidRPr="000268B6" w:rsidRDefault="00F91CD9" w:rsidP="00F91CD9">
            <w:pPr>
              <w:pStyle w:val="ae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Подрядчик устанавливает гарантийный срок на выполненные работы по изготовлению и установке надолбов – 12 (Двенадцать) месяцев со дня подписания Заказчиком акта приемки выполненных работ.</w:t>
            </w:r>
          </w:p>
          <w:p w:rsidR="007428E0" w:rsidRPr="000268B6" w:rsidRDefault="00F91CD9" w:rsidP="00F91CD9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 появления дефектов и недостатков в выполненной работе в течение гарантийного срока, Подрядчик за свой счет устраняет их в сроки, установленные Заказчиком в предписании.</w:t>
            </w:r>
          </w:p>
        </w:tc>
      </w:tr>
      <w:tr w:rsidR="007428E0" w:rsidRPr="000268B6" w:rsidTr="00DD45E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91CD9" w:rsidRPr="000268B6" w:rsidRDefault="00F91CD9" w:rsidP="00F91C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акты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 </w:t>
            </w:r>
          </w:p>
          <w:p w:rsidR="00F91CD9" w:rsidRPr="000268B6" w:rsidRDefault="00F91CD9" w:rsidP="00F91C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Оплата производится по факту приемки выполнения работ по каждой заявке.</w:t>
            </w:r>
          </w:p>
          <w:p w:rsidR="00F91CD9" w:rsidRPr="000268B6" w:rsidRDefault="00F91CD9" w:rsidP="00F91C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      </w:r>
          </w:p>
          <w:p w:rsidR="00F91CD9" w:rsidRPr="000268B6" w:rsidRDefault="00F91CD9" w:rsidP="00F91C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Оплата работ осуществляется путем безналичного перечисления денежных средств на расчетный счет Подрядчика в следующем порядке:</w:t>
            </w:r>
          </w:p>
          <w:p w:rsidR="00F91CD9" w:rsidRPr="000268B6" w:rsidRDefault="00F91CD9" w:rsidP="00F91C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- Выплата аванса в размере 30 % от общей стоимости </w:t>
            </w:r>
            <w:proofErr w:type="gramStart"/>
            <w:r w:rsidRPr="000268B6">
              <w:rPr>
                <w:rFonts w:ascii="Times New Roman" w:hAnsi="Times New Roman"/>
              </w:rPr>
              <w:t>работ</w:t>
            </w:r>
            <w:proofErr w:type="gramEnd"/>
            <w:r w:rsidRPr="000268B6">
              <w:rPr>
                <w:rFonts w:ascii="Times New Roman" w:hAnsi="Times New Roman"/>
              </w:rPr>
              <w:t xml:space="preserve"> на основании выставленного Подрядчиком счета в течение 15 (пятнадцати) календарных дней с момента заключения контракта.</w:t>
            </w:r>
          </w:p>
          <w:p w:rsidR="00F91CD9" w:rsidRPr="000268B6" w:rsidRDefault="00F91CD9" w:rsidP="00F91C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Сумма выплаченного аванса подлежит зачету в стоимость выполненных работ, начиная с выполнения работ по первой заявке. При недостаточности суммы выплаченного аванса для оплаты выполненных работ по первой заявке оплате подлежит разница между стоимостью выполненных работ по заявке и суммой (оставшейся суммой) авансового платежа.</w:t>
            </w:r>
          </w:p>
          <w:p w:rsidR="00F91CD9" w:rsidRPr="000268B6" w:rsidRDefault="00F91CD9" w:rsidP="00F91C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- Оплата выполненных по заявкам 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по заявке работы.</w:t>
            </w:r>
          </w:p>
          <w:p w:rsidR="007428E0" w:rsidRPr="000268B6" w:rsidRDefault="00F91CD9" w:rsidP="00F91C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Финансирование контракта осуществляется за счет бюджета города Перми.</w:t>
            </w:r>
          </w:p>
        </w:tc>
      </w:tr>
      <w:tr w:rsidR="007428E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0268B6" w:rsidP="00DD45E7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Стоимость работ, являющихся предметом настоящего Контракта, включает в себя стоимость изготовления надолбов, транспортные расходы по доставке, разгрузке/загрузке надолбов к месту их установки, затраты на подготовку площадок под установку, установку надолбов, получение необходимых согласований при выполнении работ по установке, все налоги и сборы (выплаченные и подлежащие выплате), страхование и прочие расходы, которые могут возникнуть при исполнении контракта.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1467C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268B6">
              <w:rPr>
                <w:rFonts w:ascii="Times New Roman" w:hAnsi="Times New Roman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940D27">
        <w:trPr>
          <w:tblCellSpacing w:w="20" w:type="dxa"/>
        </w:trPr>
        <w:tc>
          <w:tcPr>
            <w:tcW w:w="2807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7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DD45E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F91CD9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26 424,86</w:t>
            </w:r>
            <w:r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Двадцать шесть тысяч четыреста двадцать четыре рубля 86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3C499B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ек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03529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290" w:rsidRPr="000268B6" w:rsidRDefault="00035290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290" w:rsidRPr="000268B6" w:rsidRDefault="00035290" w:rsidP="00F67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«04» сентября 2012 года </w:t>
            </w:r>
          </w:p>
          <w:p w:rsidR="00035290" w:rsidRPr="000268B6" w:rsidRDefault="00035290" w:rsidP="00F67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09-00 час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03529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290" w:rsidRPr="000268B6" w:rsidRDefault="00035290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290" w:rsidRPr="000268B6" w:rsidRDefault="00035290" w:rsidP="00F67160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«10» сентября 2012 года</w:t>
            </w:r>
          </w:p>
        </w:tc>
      </w:tr>
      <w:tr w:rsidR="00035290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290" w:rsidRPr="000268B6" w:rsidRDefault="0003529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8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290" w:rsidRPr="000268B6" w:rsidRDefault="00035290" w:rsidP="00F671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«13» сентября 2012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0268B6" w:rsidRDefault="00DD45E7" w:rsidP="00E23B9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91CD9" w:rsidRPr="000268B6">
              <w:rPr>
                <w:rFonts w:ascii="Times New Roman" w:eastAsia="Times New Roman" w:hAnsi="Times New Roman"/>
                <w:b/>
                <w:lang w:eastAsia="ru-RU"/>
              </w:rPr>
              <w:t>158 549,13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>Сто пятьдесят восемь тысяч пятьсот сорок девять рублей 13 копеек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  <w:p w:rsidR="00FF40E7" w:rsidRPr="000268B6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244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61419" w:rsidRDefault="0086141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C499B" w:rsidRDefault="003C499B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8B6" w:rsidRDefault="000268B6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8B6" w:rsidRDefault="000268B6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8B6" w:rsidRDefault="000268B6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8B6" w:rsidRDefault="000268B6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68B6" w:rsidRDefault="000268B6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67C" w:rsidRDefault="00A1467C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592169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59C" w:rsidRDefault="007E259C" w:rsidP="00665C35">
      <w:pPr>
        <w:spacing w:after="0" w:line="240" w:lineRule="auto"/>
      </w:pPr>
      <w:r>
        <w:separator/>
      </w:r>
    </w:p>
  </w:endnote>
  <w:endnote w:type="continuationSeparator" w:id="0">
    <w:p w:rsidR="007E259C" w:rsidRDefault="007E259C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73" w:rsidRDefault="0046317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1D24DD">
      <w:rPr>
        <w:noProof/>
      </w:rPr>
      <w:t>1</w:t>
    </w:r>
    <w:r>
      <w:fldChar w:fldCharType="end"/>
    </w:r>
  </w:p>
  <w:p w:rsidR="00463173" w:rsidRDefault="004631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59C" w:rsidRDefault="007E259C" w:rsidP="00665C35">
      <w:pPr>
        <w:spacing w:after="0" w:line="240" w:lineRule="auto"/>
      </w:pPr>
      <w:r>
        <w:separator/>
      </w:r>
    </w:p>
  </w:footnote>
  <w:footnote w:type="continuationSeparator" w:id="0">
    <w:p w:rsidR="007E259C" w:rsidRDefault="007E259C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52E75"/>
    <w:rsid w:val="00094DEE"/>
    <w:rsid w:val="000D35AF"/>
    <w:rsid w:val="00124240"/>
    <w:rsid w:val="00137022"/>
    <w:rsid w:val="0014516B"/>
    <w:rsid w:val="00154012"/>
    <w:rsid w:val="001A5FE0"/>
    <w:rsid w:val="001C1223"/>
    <w:rsid w:val="001D24DD"/>
    <w:rsid w:val="00212503"/>
    <w:rsid w:val="00217C5D"/>
    <w:rsid w:val="00240C33"/>
    <w:rsid w:val="00262EF9"/>
    <w:rsid w:val="002D3798"/>
    <w:rsid w:val="002D614C"/>
    <w:rsid w:val="002F1F4B"/>
    <w:rsid w:val="00315857"/>
    <w:rsid w:val="003731A3"/>
    <w:rsid w:val="00385F89"/>
    <w:rsid w:val="00393057"/>
    <w:rsid w:val="00396E8E"/>
    <w:rsid w:val="003C00FF"/>
    <w:rsid w:val="003C499B"/>
    <w:rsid w:val="003E78E9"/>
    <w:rsid w:val="003F4514"/>
    <w:rsid w:val="00417303"/>
    <w:rsid w:val="00463173"/>
    <w:rsid w:val="004F1AB2"/>
    <w:rsid w:val="00505466"/>
    <w:rsid w:val="0058263E"/>
    <w:rsid w:val="00592169"/>
    <w:rsid w:val="005B5D06"/>
    <w:rsid w:val="005E3B7C"/>
    <w:rsid w:val="00626341"/>
    <w:rsid w:val="00646595"/>
    <w:rsid w:val="00665C35"/>
    <w:rsid w:val="0066619B"/>
    <w:rsid w:val="00736B84"/>
    <w:rsid w:val="007428E0"/>
    <w:rsid w:val="007A4ABE"/>
    <w:rsid w:val="007E259C"/>
    <w:rsid w:val="00802D6E"/>
    <w:rsid w:val="00853611"/>
    <w:rsid w:val="00861419"/>
    <w:rsid w:val="00913471"/>
    <w:rsid w:val="0093707F"/>
    <w:rsid w:val="00940D27"/>
    <w:rsid w:val="0095358D"/>
    <w:rsid w:val="00955458"/>
    <w:rsid w:val="00991230"/>
    <w:rsid w:val="00995F0D"/>
    <w:rsid w:val="009C4DCB"/>
    <w:rsid w:val="009D6F37"/>
    <w:rsid w:val="00A1467C"/>
    <w:rsid w:val="00A219B1"/>
    <w:rsid w:val="00A300B5"/>
    <w:rsid w:val="00A33006"/>
    <w:rsid w:val="00A61D94"/>
    <w:rsid w:val="00A9180F"/>
    <w:rsid w:val="00AA508A"/>
    <w:rsid w:val="00AA7804"/>
    <w:rsid w:val="00AB1E69"/>
    <w:rsid w:val="00AC7C0E"/>
    <w:rsid w:val="00AE7187"/>
    <w:rsid w:val="00B16FD7"/>
    <w:rsid w:val="00B17CA4"/>
    <w:rsid w:val="00B17F63"/>
    <w:rsid w:val="00B43DFD"/>
    <w:rsid w:val="00B6399D"/>
    <w:rsid w:val="00BF0824"/>
    <w:rsid w:val="00C51512"/>
    <w:rsid w:val="00C52180"/>
    <w:rsid w:val="00C75A5B"/>
    <w:rsid w:val="00C93592"/>
    <w:rsid w:val="00C93A13"/>
    <w:rsid w:val="00CF4201"/>
    <w:rsid w:val="00D0407E"/>
    <w:rsid w:val="00D45219"/>
    <w:rsid w:val="00D505C9"/>
    <w:rsid w:val="00D774F2"/>
    <w:rsid w:val="00DA5452"/>
    <w:rsid w:val="00DC66F8"/>
    <w:rsid w:val="00DC6C79"/>
    <w:rsid w:val="00DD45E7"/>
    <w:rsid w:val="00DF074D"/>
    <w:rsid w:val="00DF2AE0"/>
    <w:rsid w:val="00DF4503"/>
    <w:rsid w:val="00E23B91"/>
    <w:rsid w:val="00E8685C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u-permddd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ku-permddd@yandex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8</Pages>
  <Words>2980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12</cp:revision>
  <cp:lastPrinted>2012-08-24T08:05:00Z</cp:lastPrinted>
  <dcterms:created xsi:type="dcterms:W3CDTF">2012-08-10T14:07:00Z</dcterms:created>
  <dcterms:modified xsi:type="dcterms:W3CDTF">2012-08-24T09:09:00Z</dcterms:modified>
</cp:coreProperties>
</file>