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F1723"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34145C"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D25A59" w:rsidRPr="00D25A59" w:rsidRDefault="00D25A59" w:rsidP="00D25A59">
      <w:pPr>
        <w:spacing w:after="0" w:line="240" w:lineRule="auto"/>
        <w:jc w:val="center"/>
        <w:outlineLvl w:val="0"/>
        <w:rPr>
          <w:rFonts w:ascii="Times New Roman" w:hAnsi="Times New Roman" w:cs="Times New Roman"/>
          <w:b/>
          <w:sz w:val="40"/>
          <w:szCs w:val="40"/>
        </w:rPr>
      </w:pPr>
      <w:r w:rsidRPr="00D25A59">
        <w:rPr>
          <w:rFonts w:ascii="Times New Roman" w:hAnsi="Times New Roman" w:cs="Times New Roman"/>
          <w:b/>
          <w:sz w:val="40"/>
          <w:szCs w:val="40"/>
        </w:rPr>
        <w:t xml:space="preserve">На право заключить муниципальный контракт  </w:t>
      </w:r>
    </w:p>
    <w:p w:rsidR="000A1F8E" w:rsidRPr="00D25A59" w:rsidRDefault="00D25A59" w:rsidP="00D25A59">
      <w:pPr>
        <w:spacing w:after="0" w:line="240" w:lineRule="auto"/>
        <w:jc w:val="center"/>
        <w:outlineLvl w:val="0"/>
        <w:rPr>
          <w:rFonts w:ascii="Times New Roman" w:hAnsi="Times New Roman" w:cs="Times New Roman"/>
          <w:b/>
          <w:sz w:val="40"/>
          <w:szCs w:val="40"/>
        </w:rPr>
      </w:pPr>
      <w:r w:rsidRPr="00D25A59">
        <w:rPr>
          <w:rFonts w:ascii="Times New Roman" w:hAnsi="Times New Roman" w:cs="Times New Roman"/>
          <w:b/>
          <w:sz w:val="40"/>
          <w:szCs w:val="40"/>
        </w:rPr>
        <w:t>на оказание услуг по проведению праздничного мероприятия, посвященного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D25A59"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D25A59" w:rsidRDefault="00D25A5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BC3F90" w:rsidRDefault="00D25A59" w:rsidP="00942AA0">
            <w:pPr>
              <w:spacing w:after="0" w:line="240" w:lineRule="auto"/>
              <w:jc w:val="both"/>
              <w:outlineLvl w:val="0"/>
              <w:rPr>
                <w:rFonts w:ascii="Times New Roman" w:hAnsi="Times New Roman" w:cs="Times New Roman"/>
                <w:sz w:val="28"/>
                <w:szCs w:val="28"/>
              </w:rPr>
            </w:pPr>
            <w:r w:rsidRPr="00D25A59">
              <w:rPr>
                <w:rFonts w:ascii="Times New Roman" w:hAnsi="Times New Roman" w:cs="Times New Roman"/>
                <w:sz w:val="28"/>
                <w:szCs w:val="28"/>
              </w:rPr>
              <w:t>оказание услуг по проведению праздничного мероприятия, посвященного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BC3F90" w:rsidP="00BC3F9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123</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 двадцать три</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Pr>
                <w:rFonts w:ascii="Times New Roman" w:hAnsi="Times New Roman" w:cs="Times New Roman"/>
                <w:sz w:val="28"/>
                <w:szCs w:val="28"/>
              </w:rPr>
              <w:t>и</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BC3F90">
              <w:rPr>
                <w:rFonts w:ascii="Times New Roman" w:hAnsi="Times New Roman" w:cs="Times New Roman"/>
                <w:sz w:val="28"/>
                <w:szCs w:val="28"/>
              </w:rPr>
              <w:t>п. 36.4.1</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0A1F8E" w:rsidRPr="00743CFE" w:rsidRDefault="000A1F8E" w:rsidP="00942AA0">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BC3F90" w:rsidRPr="00BC3F90">
              <w:rPr>
                <w:rFonts w:ascii="Times New Roman" w:hAnsi="Times New Roman" w:cs="Times New Roman"/>
                <w:sz w:val="28"/>
                <w:szCs w:val="28"/>
              </w:rPr>
              <w:t>оказание услуг</w:t>
            </w:r>
            <w:r w:rsidR="00942AA0">
              <w:t xml:space="preserve"> </w:t>
            </w:r>
            <w:r w:rsidR="00942AA0" w:rsidRPr="00942AA0">
              <w:rPr>
                <w:rFonts w:ascii="Times New Roman" w:hAnsi="Times New Roman" w:cs="Times New Roman"/>
                <w:sz w:val="28"/>
                <w:szCs w:val="28"/>
              </w:rPr>
              <w:t>по проведению праздничного мероприятия, посвященного Дню пожилых людей</w:t>
            </w:r>
            <w:r w:rsidR="00BC3F90" w:rsidRPr="00BC3F90">
              <w:rPr>
                <w:rFonts w:ascii="Times New Roman" w:hAnsi="Times New Roman" w:cs="Times New Roman"/>
                <w:sz w:val="28"/>
                <w:szCs w:val="28"/>
              </w:rPr>
              <w:t xml:space="preserve">, для </w:t>
            </w:r>
            <w:r w:rsidR="00BC3F90" w:rsidRPr="00BC3F90">
              <w:rPr>
                <w:rFonts w:ascii="Times New Roman" w:hAnsi="Times New Roman" w:cs="Times New Roman"/>
                <w:sz w:val="28"/>
                <w:szCs w:val="28"/>
              </w:rPr>
              <w:lastRenderedPageBreak/>
              <w:t>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lastRenderedPageBreak/>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942AA0">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D32B8" w:rsidRPr="00743CFE">
              <w:rPr>
                <w:rFonts w:ascii="Times New Roman" w:hAnsi="Times New Roman" w:cs="Times New Roman"/>
                <w:sz w:val="28"/>
                <w:szCs w:val="28"/>
              </w:rPr>
              <w:t xml:space="preserve"> </w:t>
            </w:r>
            <w:r w:rsidR="00BC3F90" w:rsidRPr="00BC3F90">
              <w:rPr>
                <w:rFonts w:ascii="Times New Roman" w:hAnsi="Times New Roman" w:cs="Times New Roman"/>
                <w:sz w:val="28"/>
                <w:szCs w:val="28"/>
              </w:rPr>
              <w:t>оказание услуг</w:t>
            </w:r>
            <w:r w:rsidR="00942AA0">
              <w:t xml:space="preserve"> </w:t>
            </w:r>
            <w:r w:rsidR="00942AA0" w:rsidRPr="00942AA0">
              <w:rPr>
                <w:rFonts w:ascii="Times New Roman" w:hAnsi="Times New Roman" w:cs="Times New Roman"/>
                <w:sz w:val="28"/>
                <w:szCs w:val="28"/>
              </w:rPr>
              <w:t>по проведению праздничного мероприятия, посвященного Дню пожилых людей</w:t>
            </w:r>
            <w:r w:rsidR="00BC3F90" w:rsidRPr="00BC3F90">
              <w:rPr>
                <w:rFonts w:ascii="Times New Roman" w:hAnsi="Times New Roman" w:cs="Times New Roman"/>
                <w:sz w:val="28"/>
                <w:szCs w:val="28"/>
              </w:rPr>
              <w:t>,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r w:rsidR="00BC3F90"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43CFE" w:rsidRDefault="00CD25C8" w:rsidP="00BC3F90">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 </w:t>
            </w:r>
            <w:r w:rsidR="00BC3F90">
              <w:rPr>
                <w:rFonts w:ascii="Times New Roman" w:hAnsi="Times New Roman" w:cs="Times New Roman"/>
                <w:sz w:val="28"/>
                <w:szCs w:val="28"/>
              </w:rPr>
              <w:t>микрорайон «Юбилейный» (город Пермь, Свердловский район</w:t>
            </w:r>
            <w:r w:rsidR="00C27C1B">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BC3F90">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 xml:space="preserve">С </w:t>
            </w:r>
            <w:r w:rsidR="00743CFE">
              <w:rPr>
                <w:rFonts w:ascii="Times New Roman" w:hAnsi="Times New Roman" w:cs="Times New Roman"/>
                <w:sz w:val="28"/>
                <w:szCs w:val="28"/>
              </w:rPr>
              <w:t xml:space="preserve">момента заключения муниципального контракта по  </w:t>
            </w:r>
            <w:r w:rsidR="00BC3F90">
              <w:rPr>
                <w:rFonts w:ascii="Times New Roman" w:hAnsi="Times New Roman" w:cs="Times New Roman"/>
                <w:sz w:val="28"/>
                <w:szCs w:val="28"/>
              </w:rPr>
              <w:t>30</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D25A59">
            <w:pPr>
              <w:numPr>
                <w:ilvl w:val="0"/>
                <w:numId w:val="4"/>
              </w:numPr>
              <w:autoSpaceDE w:val="0"/>
              <w:autoSpaceDN w:val="0"/>
              <w:adjustRightInd w:val="0"/>
              <w:spacing w:after="0" w:line="240" w:lineRule="auto"/>
              <w:ind w:left="0" w:firstLine="93"/>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EA527B">
              <w:rPr>
                <w:rFonts w:ascii="Times New Roman" w:hAnsi="Times New Roman" w:cs="Times New Roman"/>
                <w:sz w:val="26"/>
                <w:szCs w:val="26"/>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035453" w:rsidRDefault="0097433D" w:rsidP="00335905">
            <w:pPr>
              <w:autoSpaceDE w:val="0"/>
              <w:autoSpaceDN w:val="0"/>
              <w:adjustRightInd w:val="0"/>
              <w:spacing w:after="0" w:line="240" w:lineRule="auto"/>
              <w:jc w:val="both"/>
              <w:outlineLvl w:val="1"/>
              <w:rPr>
                <w:rFonts w:ascii="Times New Roman" w:hAnsi="Times New Roman" w:cs="Times New Roman"/>
                <w:sz w:val="26"/>
                <w:szCs w:val="26"/>
              </w:rPr>
            </w:pPr>
            <w:r w:rsidRPr="00035453">
              <w:rPr>
                <w:rFonts w:ascii="Times New Roman" w:hAnsi="Times New Roman" w:cs="Times New Roman"/>
                <w:sz w:val="26"/>
                <w:szCs w:val="26"/>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w:t>
            </w:r>
            <w:r w:rsidRPr="00035453">
              <w:rPr>
                <w:rFonts w:ascii="Times New Roman" w:hAnsi="Times New Roman" w:cs="Times New Roman"/>
                <w:sz w:val="26"/>
                <w:szCs w:val="26"/>
              </w:rPr>
              <w:lastRenderedPageBreak/>
              <w:t>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BC3F90">
              <w:rPr>
                <w:rFonts w:ascii="Times New Roman" w:hAnsi="Times New Roman" w:cs="Times New Roman"/>
                <w:bCs/>
                <w:sz w:val="28"/>
                <w:szCs w:val="28"/>
              </w:rPr>
              <w:t>615</w:t>
            </w:r>
            <w:r w:rsidR="00B93441">
              <w:rPr>
                <w:rFonts w:ascii="Times New Roman" w:hAnsi="Times New Roman" w:cs="Times New Roman"/>
                <w:bCs/>
                <w:sz w:val="28"/>
                <w:szCs w:val="28"/>
              </w:rPr>
              <w:t>0,00</w:t>
            </w:r>
            <w:r w:rsidRPr="00BA5417">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Шесть </w:t>
            </w:r>
            <w:r w:rsidR="008D32B8">
              <w:rPr>
                <w:rFonts w:ascii="Times New Roman" w:hAnsi="Times New Roman" w:cs="Times New Roman"/>
                <w:bCs/>
                <w:sz w:val="28"/>
                <w:szCs w:val="28"/>
              </w:rPr>
              <w:t>тысяч</w:t>
            </w:r>
            <w:r w:rsidR="00BC6A79">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сто пятьдесят) 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участие в открытом аукционе в электронной </w:t>
            </w:r>
            <w:r w:rsidRPr="00850351">
              <w:rPr>
                <w:rFonts w:ascii="Times New Roman" w:hAnsi="Times New Roman" w:cs="Times New Roman"/>
                <w:sz w:val="28"/>
                <w:szCs w:val="28"/>
              </w:rPr>
              <w:lastRenderedPageBreak/>
              <w:t>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E8456C"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25</w:t>
            </w:r>
            <w:r w:rsidR="00BC3F90">
              <w:rPr>
                <w:rFonts w:ascii="Times New Roman" w:hAnsi="Times New Roman" w:cs="Times New Roman"/>
                <w:sz w:val="28"/>
                <w:szCs w:val="28"/>
              </w:rPr>
              <w:t xml:space="preserve"> </w:t>
            </w:r>
            <w:r w:rsidR="00516DFB">
              <w:rPr>
                <w:rFonts w:ascii="Times New Roman" w:hAnsi="Times New Roman" w:cs="Times New Roman"/>
                <w:sz w:val="28"/>
                <w:szCs w:val="28"/>
              </w:rPr>
              <w:t>.09</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E8456C"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26</w:t>
            </w:r>
            <w:r w:rsidR="004F2D36">
              <w:rPr>
                <w:rFonts w:ascii="Times New Roman" w:hAnsi="Times New Roman" w:cs="Times New Roman"/>
                <w:sz w:val="28"/>
                <w:szCs w:val="28"/>
              </w:rPr>
              <w:t>.0</w:t>
            </w:r>
            <w:r w:rsidR="00516DFB">
              <w:rPr>
                <w:rFonts w:ascii="Times New Roman" w:hAnsi="Times New Roman" w:cs="Times New Roman"/>
                <w:sz w:val="28"/>
                <w:szCs w:val="28"/>
              </w:rPr>
              <w:t>9</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E8456C"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01.10</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C3F90">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BC3F90">
              <w:rPr>
                <w:sz w:val="28"/>
                <w:szCs w:val="28"/>
              </w:rPr>
              <w:t xml:space="preserve"> 12 3</w:t>
            </w:r>
            <w:r w:rsidR="00A00DB8">
              <w:rPr>
                <w:sz w:val="28"/>
                <w:szCs w:val="28"/>
              </w:rPr>
              <w:t>00</w:t>
            </w:r>
            <w:r w:rsidRPr="00850351">
              <w:rPr>
                <w:sz w:val="28"/>
                <w:szCs w:val="28"/>
              </w:rPr>
              <w:t xml:space="preserve"> (</w:t>
            </w:r>
            <w:r w:rsidR="00853616">
              <w:rPr>
                <w:sz w:val="28"/>
                <w:szCs w:val="28"/>
              </w:rPr>
              <w:t>Двен</w:t>
            </w:r>
            <w:r w:rsidR="00BC3F90">
              <w:rPr>
                <w:sz w:val="28"/>
                <w:szCs w:val="28"/>
              </w:rPr>
              <w:t>адцать</w:t>
            </w:r>
            <w:r w:rsidR="005D0743">
              <w:rPr>
                <w:sz w:val="28"/>
                <w:szCs w:val="28"/>
              </w:rPr>
              <w:t xml:space="preserve"> </w:t>
            </w:r>
            <w:r w:rsidRPr="00850351">
              <w:rPr>
                <w:sz w:val="28"/>
                <w:szCs w:val="28"/>
              </w:rPr>
              <w:t>тысяч</w:t>
            </w:r>
            <w:r w:rsidR="00BC3F90">
              <w:rPr>
                <w:sz w:val="28"/>
                <w:szCs w:val="28"/>
              </w:rPr>
              <w:t xml:space="preserve"> триста</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 xml:space="preserve">Если участником открытого аукциона в электронной форме, с которым заключается контракт, является </w:t>
            </w:r>
            <w:r w:rsidRPr="00850351">
              <w:rPr>
                <w:sz w:val="28"/>
                <w:szCs w:val="28"/>
              </w:rPr>
              <w:lastRenderedPageBreak/>
              <w:t>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D25A59">
        <w:trPr>
          <w:trHeight w:val="14465"/>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B77BE6" w:rsidRDefault="00B77BE6" w:rsidP="000B197C">
      <w:pPr>
        <w:spacing w:after="0" w:line="240" w:lineRule="auto"/>
        <w:rPr>
          <w:rFonts w:ascii="Times New Roman" w:hAnsi="Times New Roman" w:cs="Times New Roman"/>
          <w:sz w:val="28"/>
          <w:szCs w:val="28"/>
        </w:rPr>
      </w:pPr>
    </w:p>
    <w:p w:rsidR="000B197C" w:rsidRPr="000B197C" w:rsidRDefault="000B197C" w:rsidP="000B197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B77BE6" w:rsidRPr="004C1C15" w:rsidRDefault="004C1C15" w:rsidP="004C1C15">
      <w:pPr>
        <w:spacing w:after="0" w:line="240" w:lineRule="auto"/>
        <w:jc w:val="center"/>
        <w:rPr>
          <w:rFonts w:ascii="Times New Roman" w:hAnsi="Times New Roman" w:cs="Times New Roman"/>
          <w:b/>
          <w:sz w:val="28"/>
          <w:szCs w:val="28"/>
        </w:rPr>
      </w:pPr>
      <w:r w:rsidRPr="004C1C15">
        <w:rPr>
          <w:rFonts w:ascii="Times New Roman" w:hAnsi="Times New Roman" w:cs="Times New Roman"/>
          <w:b/>
          <w:sz w:val="28"/>
          <w:szCs w:val="28"/>
        </w:rPr>
        <w:t>оказание услуг</w:t>
      </w:r>
      <w:r w:rsidR="00942AA0" w:rsidRPr="00942AA0">
        <w:t xml:space="preserve"> </w:t>
      </w:r>
      <w:r w:rsidR="00942AA0" w:rsidRPr="00942AA0">
        <w:rPr>
          <w:rFonts w:ascii="Times New Roman" w:hAnsi="Times New Roman" w:cs="Times New Roman"/>
          <w:b/>
          <w:sz w:val="28"/>
          <w:szCs w:val="28"/>
        </w:rPr>
        <w:t>по проведению праздничного мероприятия, посвященного Дню пожилых людей</w:t>
      </w:r>
      <w:r w:rsidRPr="004C1C15">
        <w:rPr>
          <w:rFonts w:ascii="Times New Roman" w:hAnsi="Times New Roman" w:cs="Times New Roman"/>
          <w:b/>
          <w:sz w:val="28"/>
          <w:szCs w:val="28"/>
        </w:rPr>
        <w:t>,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p>
    <w:p w:rsidR="004C1C15" w:rsidRDefault="004C1C15" w:rsidP="004C1C15">
      <w:pPr>
        <w:spacing w:after="0" w:line="240" w:lineRule="auto"/>
        <w:jc w:val="center"/>
        <w:rPr>
          <w:rFonts w:ascii="Times New Roman" w:hAnsi="Times New Roman" w:cs="Times New Roman"/>
          <w:b/>
          <w:sz w:val="24"/>
          <w:szCs w:val="24"/>
        </w:rPr>
      </w:pPr>
    </w:p>
    <w:p w:rsidR="00D25A59" w:rsidRPr="00D25A59" w:rsidRDefault="00D25A59" w:rsidP="00D25A59">
      <w:pPr>
        <w:spacing w:line="0" w:lineRule="atLeast"/>
        <w:jc w:val="both"/>
        <w:rPr>
          <w:rFonts w:ascii="Times New Roman" w:hAnsi="Times New Roman" w:cs="Times New Roman"/>
          <w:sz w:val="28"/>
          <w:szCs w:val="28"/>
        </w:rPr>
      </w:pP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1.Проведение  праздничного  мероприятия, посвященного Дню пожилых людей, для жителей микрорайонов Южный, Юбилейный в  период с момента заключения контракта  по 30 октября 2012 года. Время проведения мероприятия по  согласованию с заказчиком. Продолжительность мероприятия не менее 2,5 часов. </w:t>
      </w:r>
    </w:p>
    <w:p w:rsidR="00C27C1B"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2.Проведение праздничного мероприятия, посвященного Дню пожилых людей, для жителей микрорайонов Южный, Юбилейный  по адресу: </w:t>
      </w:r>
      <w:r w:rsidR="00C27C1B">
        <w:rPr>
          <w:rFonts w:ascii="Times New Roman" w:hAnsi="Times New Roman" w:cs="Times New Roman"/>
          <w:sz w:val="28"/>
          <w:szCs w:val="28"/>
        </w:rPr>
        <w:t>город Пермь, Свердловский район (по согласованию с заказчиком).</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3. Техническое обеспечение мероприятия и предоставление звукового оборудования мощностью не менее 2 кВт с полным комплектом аппаратуры, предоставление не менее 5- радиомикрофонов.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4. Подбор и трансляция  фонограмм для создания музыкальных композиций, объединенных тематикой, посвящённой Дню пожилых людей, обеспечение работы звукооператора в период проведения мероприятия.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5. Предоставление программы праздничного мероприятия, посвященного Дню пожилых людей, для жителей микрорайонов Южный, Юбилейный на момент заключения контракта. </w:t>
      </w:r>
    </w:p>
    <w:p w:rsid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6.Обеспечение участия в праздничном мероприятии, посвященном Дню пожилых людей, для жителей микрорайонов Южный, Юбилейный, не менее трех  творческих разножанровых коллективов (в том числе ансамбля народной музыки и танца в количестве не менее 10 исполнителей, вокального ансамбля в количестве не менее 5 исполнителей, фолк-фьюжн группы в количестве не менее 4 исполнителей), не менее трех солистов. Согласование данных коллективов и сольных исполнителей, а также  их репертуара  с заказчиком.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7.Обеспечение  работы  ведущего  на  праздничном  мероприятии, посвященном Дню пожилых людей, для жителей микрорайонов Южный, Юбилейный.</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lastRenderedPageBreak/>
        <w:t>8.Наличие сценических костюмов у участников каждого творческого коллектива и солистов.</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9.Подготовка и организация программы с учетом возрастной категории зрителей и обеспечение массового характера мероприятия.</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10.Предоставление пригласительных  билетов в количестве  не менее 300 штук на  праздничное мероприятие, посвященное Дню пожилых людей пожилого человека, для жителей микрорайонов Южный,  Юбилейный.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11.Художественное оформление сцены на праздничном мероприятии, посвященном Дню пожилых людей, для жителей микрорайонов Южный,  Юбилейный.</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12. Обеспечение безопасности зрителей и участников при проведении мероприятия.</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13.Обеспечение соблюдения санитарных норм  до и после проведения мероприятия.</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14. Предоставление помещений для размещения творческих коллективов.</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15. Приобретение подарочной   сувенирной  продукции на сумму не менее 23000(двадцать три тысячи) рублей. Срок поставки  и ассортимент продукции  устанавливается по согласованию с заказчиком.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16.Приобретение подарочной   продукции для ветеранов  округа №36   на сумму не менее 12000 рублей. Срок поставки  и ассортимент продукции  устанавливается по согласованию с заказчиком.</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17. Предоставление пригласительных билетов  в количестве не менее 300 штук для ветеранов округа №36.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18.Изготовление афиш (формат А4),  в количестве не менее 100 штук (ста штук) и о согласование текста  с заказчиком.</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 19 Проведение конкурсной тематической программы с организацией не менее 4 мини-площадок и работой не менее 4 аниматоров в период проведения праздничного мероприятия (время по согласованию с заказчиком).</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20. Организация тематической выставки, посвященной Дню пожилых людей, для ветеранов  округа №36 . Место и время  проведения  по согласованию с заказчиком. На выставке должны быть представлены изделия  и образцы по  различным жанрам народного творчества.</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21.Подготовка и проведение  выставок  с учетом возрастной категории зрителей.</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22.Обеспечение работы  на  выставке  консультантов из числа  членов любительских клубов и студий района.</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lastRenderedPageBreak/>
        <w:t xml:space="preserve">23. Обеспечение  участия  ведущего в формате проведения выставки.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24.Обязательное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25.Оценочные показатели качества услуг:</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-техническое обеспечение праздничного мероприятия, посвященного Дню пожилых людей, для жителей микрорайонов Южный, Юбилейный и предоставление  звукового оборудования мощностью не менее 2 кВт с полным комплектом аппаратуры ;</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-обеспечение участия в праздничном  мероприятии, посвященном  Дню пожилых людей, для жителей микрорайонов Южный, Юбилейный не менее трех творческих разножанровых коллективов г. Перми; не менее трех солистов;</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-обеспечение  работы  ведущего;</w:t>
      </w:r>
    </w:p>
    <w:p w:rsidR="00D25A59" w:rsidRPr="00D25A59"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-приобретение подарочной  и  сувенирной  продукции для ветеранов  округа №36.</w:t>
      </w:r>
    </w:p>
    <w:p w:rsidR="004C1C15" w:rsidRPr="004C1C15" w:rsidRDefault="00D25A59" w:rsidP="00D25A59">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26.В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55DCD" w:rsidRPr="000B197C" w:rsidRDefault="00B55DCD" w:rsidP="000B197C">
      <w:pPr>
        <w:spacing w:after="0" w:line="240" w:lineRule="auto"/>
        <w:ind w:firstLine="567"/>
        <w:jc w:val="both"/>
        <w:rPr>
          <w:rFonts w:ascii="Times New Roman" w:hAnsi="Times New Roman" w:cs="Times New Roman"/>
          <w:sz w:val="28"/>
          <w:szCs w:val="28"/>
        </w:rPr>
      </w:pPr>
    </w:p>
    <w:p w:rsidR="0083464F" w:rsidRPr="000B197C" w:rsidRDefault="0083464F" w:rsidP="000B197C">
      <w:pPr>
        <w:spacing w:after="0" w:line="240" w:lineRule="auto"/>
        <w:ind w:firstLine="567"/>
        <w:jc w:val="both"/>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D25A59" w:rsidRDefault="00D25A59" w:rsidP="0040209A">
      <w:pPr>
        <w:spacing w:after="0" w:line="240" w:lineRule="auto"/>
        <w:ind w:firstLine="567"/>
        <w:jc w:val="right"/>
        <w:rPr>
          <w:rFonts w:ascii="Times New Roman" w:hAnsi="Times New Roman" w:cs="Times New Roman"/>
          <w:sz w:val="28"/>
          <w:szCs w:val="28"/>
        </w:rPr>
      </w:pPr>
    </w:p>
    <w:p w:rsidR="00D25A59" w:rsidRDefault="00D25A59" w:rsidP="0040209A">
      <w:pPr>
        <w:spacing w:after="0" w:line="240" w:lineRule="auto"/>
        <w:ind w:firstLine="567"/>
        <w:jc w:val="right"/>
        <w:rPr>
          <w:rFonts w:ascii="Times New Roman" w:hAnsi="Times New Roman" w:cs="Times New Roman"/>
          <w:sz w:val="28"/>
          <w:szCs w:val="28"/>
        </w:rPr>
      </w:pPr>
    </w:p>
    <w:p w:rsidR="00D25A59" w:rsidRDefault="00D25A59" w:rsidP="0040209A">
      <w:pPr>
        <w:spacing w:after="0" w:line="240" w:lineRule="auto"/>
        <w:ind w:firstLine="567"/>
        <w:jc w:val="right"/>
        <w:rPr>
          <w:rFonts w:ascii="Times New Roman" w:hAnsi="Times New Roman" w:cs="Times New Roman"/>
          <w:sz w:val="28"/>
          <w:szCs w:val="28"/>
        </w:rPr>
      </w:pPr>
    </w:p>
    <w:p w:rsidR="00D25A59" w:rsidRDefault="00D25A59" w:rsidP="0040209A">
      <w:pPr>
        <w:spacing w:after="0" w:line="240" w:lineRule="auto"/>
        <w:ind w:firstLine="567"/>
        <w:jc w:val="right"/>
        <w:rPr>
          <w:rFonts w:ascii="Times New Roman" w:hAnsi="Times New Roman" w:cs="Times New Roman"/>
          <w:sz w:val="28"/>
          <w:szCs w:val="28"/>
        </w:rPr>
      </w:pPr>
    </w:p>
    <w:p w:rsidR="00D25A59" w:rsidRDefault="00D25A59"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3C4643" w:rsidRDefault="003C464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401ECD" w:rsidRPr="0083464F" w:rsidRDefault="00401ECD" w:rsidP="0083464F">
      <w:pPr>
        <w:spacing w:after="0" w:line="240" w:lineRule="auto"/>
        <w:jc w:val="right"/>
        <w:rPr>
          <w:rFonts w:ascii="Times New Roman" w:hAnsi="Times New Roman" w:cs="Times New Roman"/>
          <w:sz w:val="28"/>
          <w:szCs w:val="28"/>
        </w:rPr>
      </w:pPr>
    </w:p>
    <w:p w:rsidR="00D25A59" w:rsidRDefault="00D25A59" w:rsidP="00D25A59">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D25A59" w:rsidRDefault="00D25A59" w:rsidP="00D25A59">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проведению праздничного мероприятия, посвященного Дню пожилых людей, для жителей микрорайона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36.4.1.)</w:t>
      </w:r>
    </w:p>
    <w:p w:rsidR="00D25A59" w:rsidRDefault="00D25A59" w:rsidP="00D25A59">
      <w:pPr>
        <w:pStyle w:val="a3"/>
        <w:jc w:val="center"/>
        <w:rPr>
          <w:bCs/>
          <w:iCs/>
          <w:sz w:val="28"/>
          <w:szCs w:val="28"/>
        </w:rPr>
      </w:pP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 xml:space="preserve">  </w:t>
      </w:r>
    </w:p>
    <w:p w:rsidR="00D25A59" w:rsidRDefault="00D25A59" w:rsidP="00D25A59">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D25A59" w:rsidRDefault="00D25A59" w:rsidP="00D25A59">
      <w:pPr>
        <w:spacing w:after="0" w:line="240" w:lineRule="auto"/>
        <w:ind w:firstLine="567"/>
        <w:jc w:val="both"/>
        <w:rPr>
          <w:rFonts w:ascii="Times New Roman" w:hAnsi="Times New Roman"/>
          <w:sz w:val="28"/>
          <w:szCs w:val="28"/>
        </w:rPr>
      </w:pPr>
    </w:p>
    <w:p w:rsidR="00D25A59" w:rsidRDefault="00D25A59" w:rsidP="00D25A5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D25A59" w:rsidRDefault="00D25A59" w:rsidP="00D25A59">
      <w:pPr>
        <w:pStyle w:val="ae"/>
        <w:shd w:val="clear" w:color="auto" w:fill="FFFFFF"/>
        <w:spacing w:after="0" w:line="240" w:lineRule="auto"/>
        <w:ind w:left="0"/>
        <w:rPr>
          <w:rFonts w:ascii="Times New Roman" w:hAnsi="Times New Roman"/>
          <w:b/>
          <w:color w:val="000000"/>
          <w:sz w:val="28"/>
          <w:szCs w:val="28"/>
        </w:rPr>
      </w:pPr>
    </w:p>
    <w:p w:rsidR="00D25A59" w:rsidRPr="00E95C49" w:rsidRDefault="00D25A59" w:rsidP="00D25A59">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36.4.1</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города Перми от 28.08.2012 г. № СЭД-01-08-131 «О размещении</w:t>
      </w:r>
      <w:r w:rsidRPr="004F5FCC">
        <w:rPr>
          <w:rFonts w:ascii="Times New Roman" w:hAnsi="Times New Roman"/>
          <w:b/>
          <w:sz w:val="28"/>
          <w:szCs w:val="28"/>
        </w:rPr>
        <w:t xml:space="preserve"> муниципального заказа»</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w:t>
      </w:r>
      <w:r w:rsidRPr="0002386F">
        <w:rPr>
          <w:rFonts w:ascii="Times New Roman" w:hAnsi="Times New Roman"/>
          <w:sz w:val="28"/>
          <w:szCs w:val="28"/>
        </w:rPr>
        <w:t>аукционной</w:t>
      </w:r>
      <w:r>
        <w:rPr>
          <w:rFonts w:ascii="Times New Roman" w:hAnsi="Times New Roman"/>
          <w:sz w:val="28"/>
          <w:szCs w:val="28"/>
        </w:rPr>
        <w:t>)</w:t>
      </w:r>
      <w:r w:rsidRPr="0002386F">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D25A59" w:rsidRDefault="00D25A59" w:rsidP="00D25A59">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проведению праздничного мероприятия, посвященного Дню пожилых людей, для жителей микрорайона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36.4.1.),</w:t>
      </w:r>
      <w:r>
        <w:rPr>
          <w:sz w:val="28"/>
          <w:szCs w:val="28"/>
        </w:rPr>
        <w:t xml:space="preserve"> представить ЗАКАЗЧИКУ результаты оказанных </w:t>
      </w:r>
      <w:r>
        <w:rPr>
          <w:sz w:val="28"/>
          <w:szCs w:val="28"/>
        </w:rPr>
        <w:lastRenderedPageBreak/>
        <w:t>услуг, а ЗАКАЗЧИК обязуется принять оказанные услуги и своевременно оплатить их согласно настоящему контракту.</w:t>
      </w:r>
    </w:p>
    <w:p w:rsidR="00D25A59" w:rsidRDefault="00D25A59" w:rsidP="00D25A59">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w:t>
      </w:r>
      <w:r>
        <w:rPr>
          <w:b/>
          <w:bCs/>
          <w:sz w:val="28"/>
          <w:szCs w:val="28"/>
        </w:rPr>
        <w:t>прове</w:t>
      </w:r>
      <w:r w:rsidR="00B2503C">
        <w:rPr>
          <w:b/>
          <w:bCs/>
          <w:sz w:val="28"/>
          <w:szCs w:val="28"/>
        </w:rPr>
        <w:t>дению праздничного мероприятия, посвященного</w:t>
      </w:r>
      <w:r>
        <w:rPr>
          <w:b/>
          <w:bCs/>
          <w:sz w:val="28"/>
          <w:szCs w:val="28"/>
        </w:rPr>
        <w:t xml:space="preserve"> Дню пожилых людей</w:t>
      </w:r>
      <w:r w:rsidRPr="00A0674E">
        <w:rPr>
          <w:b/>
          <w:bCs/>
          <w:sz w:val="28"/>
          <w:szCs w:val="28"/>
        </w:rPr>
        <w:t xml:space="preserve"> </w:t>
      </w:r>
      <w:r>
        <w:rPr>
          <w:b/>
          <w:bCs/>
          <w:sz w:val="28"/>
          <w:szCs w:val="28"/>
        </w:rPr>
        <w:t>для жителей микрорайона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36.4.1.))</w:t>
      </w:r>
      <w:r>
        <w:rPr>
          <w:sz w:val="28"/>
          <w:szCs w:val="28"/>
        </w:rPr>
        <w:t xml:space="preserve">. </w:t>
      </w:r>
    </w:p>
    <w:p w:rsidR="00D25A59" w:rsidRPr="006213EB" w:rsidRDefault="00D25A59" w:rsidP="00D25A59">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D25A59" w:rsidRPr="006213EB" w:rsidRDefault="00D25A59" w:rsidP="00D25A59">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D25A59" w:rsidRDefault="00D25A59" w:rsidP="00D25A59">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D25A59" w:rsidRDefault="00D25A59" w:rsidP="00D25A59">
      <w:pPr>
        <w:pStyle w:val="ae"/>
        <w:spacing w:after="0" w:line="240" w:lineRule="auto"/>
        <w:rPr>
          <w:rFonts w:ascii="Times New Roman" w:hAnsi="Times New Roman"/>
          <w:b/>
          <w:sz w:val="28"/>
          <w:szCs w:val="28"/>
        </w:rPr>
      </w:pPr>
    </w:p>
    <w:p w:rsidR="00D25A59" w:rsidRDefault="00D25A59" w:rsidP="00D25A59">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30 октября 2012г.</w:t>
      </w:r>
    </w:p>
    <w:p w:rsidR="00D25A59" w:rsidRDefault="00D25A59" w:rsidP="00D25A59">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D25A59" w:rsidRDefault="00D25A59" w:rsidP="00D25A59">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25A59" w:rsidRDefault="00D25A59" w:rsidP="00D25A59">
      <w:pPr>
        <w:pStyle w:val="ae"/>
        <w:tabs>
          <w:tab w:val="left" w:pos="426"/>
        </w:tabs>
        <w:spacing w:after="0" w:line="240" w:lineRule="auto"/>
        <w:ind w:left="0"/>
        <w:jc w:val="both"/>
        <w:rPr>
          <w:rFonts w:ascii="Times New Roman" w:hAnsi="Times New Roman"/>
          <w:color w:val="000000"/>
          <w:sz w:val="28"/>
          <w:szCs w:val="28"/>
        </w:rPr>
      </w:pPr>
    </w:p>
    <w:p w:rsidR="00D25A59" w:rsidRDefault="00D25A59" w:rsidP="00D25A59">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D25A59" w:rsidRDefault="00D25A59" w:rsidP="00D25A59">
      <w:pPr>
        <w:shd w:val="clear" w:color="auto" w:fill="FFFFFF"/>
        <w:spacing w:after="0"/>
        <w:ind w:left="720"/>
        <w:rPr>
          <w:rFonts w:ascii="Times New Roman" w:hAnsi="Times New Roman"/>
          <w:b/>
          <w:color w:val="000000"/>
          <w:sz w:val="28"/>
          <w:szCs w:val="28"/>
        </w:rPr>
      </w:pPr>
    </w:p>
    <w:p w:rsidR="00D25A59" w:rsidRDefault="00D25A59" w:rsidP="00D25A59">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D25A59" w:rsidRDefault="00D25A59" w:rsidP="00D25A59">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25A59"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D25A59" w:rsidRPr="00843276" w:rsidRDefault="00D25A59" w:rsidP="00D25A59">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D25A59" w:rsidRPr="00843276" w:rsidRDefault="00D25A59" w:rsidP="00D25A59">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D25A59" w:rsidRPr="00843276" w:rsidRDefault="00D25A59" w:rsidP="00D25A59">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D25A59" w:rsidRPr="00843276" w:rsidRDefault="00D25A59" w:rsidP="00D25A59">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D25A59" w:rsidRPr="00161B13" w:rsidRDefault="00D25A59" w:rsidP="00D25A59">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D25A59"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25A59"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25A59"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D25A59"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D25A59" w:rsidRPr="00161B13" w:rsidRDefault="00D25A59" w:rsidP="00D25A59">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D25A59" w:rsidRDefault="00D25A59" w:rsidP="00D25A59">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25A59" w:rsidRDefault="00D25A59" w:rsidP="00D25A59">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D25A59" w:rsidRDefault="00D25A59" w:rsidP="00D25A59">
      <w:pPr>
        <w:pStyle w:val="ae"/>
        <w:shd w:val="clear" w:color="auto" w:fill="FFFFFF"/>
        <w:spacing w:after="0" w:line="240" w:lineRule="auto"/>
        <w:ind w:left="0"/>
        <w:rPr>
          <w:rFonts w:ascii="Times New Roman" w:hAnsi="Times New Roman"/>
          <w:b/>
          <w:color w:val="000000"/>
          <w:sz w:val="28"/>
          <w:szCs w:val="28"/>
        </w:rPr>
      </w:pP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D25A59" w:rsidRDefault="00D25A59" w:rsidP="00D25A59">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25A59" w:rsidRDefault="00D25A59" w:rsidP="00D25A59">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D25A59" w:rsidRDefault="00D25A59" w:rsidP="00D25A59">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25A59" w:rsidRDefault="00D25A59" w:rsidP="00D25A5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D25A59" w:rsidRDefault="00D25A59" w:rsidP="00D25A59">
      <w:pPr>
        <w:pStyle w:val="ae"/>
        <w:shd w:val="clear" w:color="auto" w:fill="FFFFFF"/>
        <w:spacing w:after="0" w:line="240" w:lineRule="auto"/>
        <w:ind w:left="0"/>
        <w:rPr>
          <w:rFonts w:ascii="Times New Roman" w:hAnsi="Times New Roman"/>
          <w:b/>
          <w:color w:val="000000"/>
          <w:sz w:val="28"/>
          <w:szCs w:val="28"/>
        </w:rPr>
      </w:pPr>
    </w:p>
    <w:p w:rsidR="00D25A59" w:rsidRPr="00084AA4" w:rsidRDefault="00D25A59" w:rsidP="00D25A59">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D25A59" w:rsidRPr="00084AA4" w:rsidRDefault="00D25A59" w:rsidP="00D25A59">
      <w:pPr>
        <w:pStyle w:val="ae"/>
        <w:shd w:val="clear" w:color="auto" w:fill="FFFFFF"/>
        <w:spacing w:after="0" w:line="240" w:lineRule="auto"/>
        <w:ind w:left="712"/>
        <w:jc w:val="both"/>
        <w:rPr>
          <w:rFonts w:ascii="Times New Roman" w:hAnsi="Times New Roman"/>
          <w:color w:val="000000"/>
          <w:sz w:val="28"/>
          <w:szCs w:val="28"/>
        </w:rPr>
      </w:pPr>
    </w:p>
    <w:p w:rsidR="00D25A59" w:rsidRDefault="00D25A59" w:rsidP="00D25A59">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D25A59" w:rsidRDefault="00D25A59" w:rsidP="00D25A59">
      <w:pPr>
        <w:pStyle w:val="ae"/>
        <w:shd w:val="clear" w:color="auto" w:fill="FFFFFF"/>
        <w:spacing w:after="0" w:line="240" w:lineRule="auto"/>
        <w:ind w:left="0"/>
        <w:rPr>
          <w:rFonts w:ascii="Times New Roman" w:hAnsi="Times New Roman"/>
          <w:b/>
          <w:color w:val="000000"/>
          <w:sz w:val="28"/>
          <w:szCs w:val="28"/>
        </w:rPr>
      </w:pPr>
    </w:p>
    <w:p w:rsidR="00D25A59" w:rsidRDefault="00D25A59" w:rsidP="00D25A59">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Pr>
          <w:rFonts w:ascii="Times New Roman" w:hAnsi="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D25A59" w:rsidRDefault="00D25A59" w:rsidP="00D25A59">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25A59" w:rsidRDefault="00D25A59" w:rsidP="00D25A59">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D25A59" w:rsidRDefault="00D25A59" w:rsidP="00D25A59">
      <w:pPr>
        <w:shd w:val="clear" w:color="auto" w:fill="FFFFFF"/>
        <w:tabs>
          <w:tab w:val="left" w:pos="1018"/>
        </w:tabs>
        <w:spacing w:after="0" w:line="240" w:lineRule="auto"/>
        <w:jc w:val="both"/>
        <w:rPr>
          <w:rFonts w:ascii="Times New Roman" w:hAnsi="Times New Roman"/>
          <w:color w:val="000000"/>
          <w:sz w:val="28"/>
          <w:szCs w:val="28"/>
        </w:rPr>
      </w:pPr>
    </w:p>
    <w:p w:rsidR="00D25A59" w:rsidRDefault="00D25A59" w:rsidP="00D25A59">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D25A59" w:rsidRDefault="00D25A59" w:rsidP="00D25A59">
      <w:pPr>
        <w:pStyle w:val="ae"/>
        <w:shd w:val="clear" w:color="auto" w:fill="FFFFFF"/>
        <w:tabs>
          <w:tab w:val="left" w:pos="284"/>
        </w:tabs>
        <w:spacing w:after="0" w:line="240" w:lineRule="auto"/>
        <w:ind w:left="0"/>
        <w:rPr>
          <w:rFonts w:ascii="Times New Roman" w:hAnsi="Times New Roman"/>
          <w:b/>
          <w:color w:val="000000"/>
          <w:sz w:val="28"/>
          <w:szCs w:val="28"/>
        </w:rPr>
      </w:pPr>
    </w:p>
    <w:p w:rsidR="00D25A59" w:rsidRDefault="00D25A59" w:rsidP="00D25A59">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D25A59" w:rsidRDefault="00D25A59" w:rsidP="00D25A59">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D25A59" w:rsidRDefault="00D25A59" w:rsidP="00D25A59">
      <w:pPr>
        <w:spacing w:after="0" w:line="240" w:lineRule="auto"/>
        <w:jc w:val="both"/>
        <w:rPr>
          <w:rFonts w:ascii="Times New Roman" w:hAnsi="Times New Roman"/>
          <w:sz w:val="28"/>
          <w:szCs w:val="28"/>
        </w:rPr>
      </w:pPr>
    </w:p>
    <w:p w:rsidR="00D25A59" w:rsidRDefault="00D25A59" w:rsidP="00D25A59">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D25A59" w:rsidRDefault="00D25A59" w:rsidP="00D25A59">
      <w:pPr>
        <w:pStyle w:val="ae"/>
        <w:shd w:val="clear" w:color="auto" w:fill="FFFFFF"/>
        <w:tabs>
          <w:tab w:val="left" w:pos="426"/>
        </w:tabs>
        <w:spacing w:after="0" w:line="240" w:lineRule="auto"/>
        <w:ind w:left="0"/>
        <w:rPr>
          <w:rFonts w:ascii="Times New Roman" w:hAnsi="Times New Roman"/>
          <w:b/>
          <w:color w:val="000000"/>
          <w:sz w:val="28"/>
          <w:szCs w:val="28"/>
        </w:rPr>
      </w:pPr>
    </w:p>
    <w:p w:rsidR="00D25A59" w:rsidRDefault="00D25A59" w:rsidP="00D25A59">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25A59" w:rsidRDefault="00D25A59" w:rsidP="00D25A59">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25A59" w:rsidRDefault="00D25A59" w:rsidP="00D25A59">
      <w:pPr>
        <w:shd w:val="clear" w:color="auto" w:fill="FFFFFF"/>
        <w:tabs>
          <w:tab w:val="left" w:pos="418"/>
        </w:tabs>
        <w:spacing w:after="0" w:line="240" w:lineRule="auto"/>
        <w:jc w:val="both"/>
        <w:rPr>
          <w:rFonts w:ascii="Times New Roman" w:hAnsi="Times New Roman"/>
          <w:color w:val="000000"/>
          <w:sz w:val="28"/>
          <w:szCs w:val="28"/>
        </w:rPr>
      </w:pPr>
    </w:p>
    <w:p w:rsidR="00D25A59" w:rsidRDefault="00D25A59" w:rsidP="00D25A59">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D25A59" w:rsidRDefault="00D25A59" w:rsidP="00D25A59">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D25A59" w:rsidRDefault="00D25A59" w:rsidP="00D25A59">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25A59" w:rsidRDefault="00D25A59" w:rsidP="00D25A59">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5A251E">
        <w:rPr>
          <w:rFonts w:ascii="Times New Roman" w:hAnsi="Times New Roman"/>
          <w:color w:val="000000"/>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D25A59" w:rsidRPr="008D67BA" w:rsidRDefault="00D25A59" w:rsidP="00D25A59">
      <w:pPr>
        <w:shd w:val="clear" w:color="auto" w:fill="FFFFFF"/>
        <w:spacing w:after="0" w:line="240" w:lineRule="auto"/>
        <w:jc w:val="both"/>
        <w:rPr>
          <w:rFonts w:ascii="Times New Roman" w:hAnsi="Times New Roman"/>
          <w:sz w:val="28"/>
          <w:szCs w:val="28"/>
        </w:rPr>
      </w:pPr>
    </w:p>
    <w:p w:rsidR="00D25A59" w:rsidRDefault="00D25A59" w:rsidP="00D25A59">
      <w:pPr>
        <w:numPr>
          <w:ilvl w:val="0"/>
          <w:numId w:val="20"/>
        </w:num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D25A59" w:rsidRPr="008D67BA" w:rsidRDefault="00D25A59" w:rsidP="00D25A59">
      <w:pPr>
        <w:shd w:val="clear" w:color="auto" w:fill="FFFFFF"/>
        <w:spacing w:after="0" w:line="240" w:lineRule="auto"/>
        <w:ind w:left="720"/>
        <w:rPr>
          <w:rFonts w:ascii="Times New Roman" w:hAnsi="Times New Roman"/>
          <w:b/>
          <w:sz w:val="28"/>
          <w:szCs w:val="28"/>
        </w:rPr>
      </w:pPr>
    </w:p>
    <w:p w:rsidR="00D25A59" w:rsidRPr="008D67BA" w:rsidRDefault="00D25A59" w:rsidP="00D25A59">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D25A59" w:rsidRPr="008D67BA" w:rsidRDefault="00D25A59" w:rsidP="00D25A59">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D25A59" w:rsidRPr="008D67BA" w:rsidRDefault="00D25A59" w:rsidP="00D25A59">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D25A59" w:rsidRPr="008D67BA" w:rsidRDefault="00D25A59" w:rsidP="00D25A59">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D25A59" w:rsidRDefault="00D25A59" w:rsidP="00D25A59">
      <w:pPr>
        <w:shd w:val="clear" w:color="auto" w:fill="FFFFFF"/>
        <w:spacing w:after="0" w:line="240" w:lineRule="auto"/>
        <w:jc w:val="both"/>
        <w:rPr>
          <w:rFonts w:ascii="Times New Roman" w:hAnsi="Times New Roman"/>
          <w:sz w:val="28"/>
          <w:szCs w:val="28"/>
        </w:rPr>
      </w:pPr>
    </w:p>
    <w:p w:rsidR="00D25A59" w:rsidRDefault="00D25A59" w:rsidP="00D25A59">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D25A59" w:rsidRDefault="00D25A59" w:rsidP="00D25A59">
      <w:pPr>
        <w:pStyle w:val="ae"/>
        <w:spacing w:after="0" w:line="240" w:lineRule="auto"/>
        <w:ind w:left="735"/>
        <w:rPr>
          <w:rFonts w:ascii="Times New Roman" w:hAnsi="Times New Roman"/>
          <w:b/>
          <w:sz w:val="28"/>
          <w:szCs w:val="28"/>
        </w:rPr>
      </w:pPr>
    </w:p>
    <w:p w:rsidR="00D25A59" w:rsidRDefault="00D25A59" w:rsidP="00D25A59">
      <w:pPr>
        <w:pStyle w:val="a3"/>
        <w:rPr>
          <w:b/>
          <w:bCs/>
          <w:iCs/>
          <w:sz w:val="28"/>
          <w:szCs w:val="28"/>
        </w:rPr>
      </w:pPr>
      <w:r>
        <w:rPr>
          <w:sz w:val="28"/>
          <w:szCs w:val="28"/>
        </w:rPr>
        <w:t xml:space="preserve">11.1. Приложение № 1 –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w:t>
      </w:r>
      <w:r w:rsidR="00B2503C">
        <w:rPr>
          <w:b/>
          <w:bCs/>
          <w:sz w:val="28"/>
          <w:szCs w:val="28"/>
        </w:rPr>
        <w:t>проведению праздничного мероприятия, посвященного</w:t>
      </w:r>
      <w:r>
        <w:rPr>
          <w:b/>
          <w:bCs/>
          <w:sz w:val="28"/>
          <w:szCs w:val="28"/>
        </w:rPr>
        <w:t xml:space="preserve"> Дню пожилых людей</w:t>
      </w:r>
      <w:r w:rsidRPr="00A0674E">
        <w:rPr>
          <w:b/>
          <w:bCs/>
          <w:sz w:val="28"/>
          <w:szCs w:val="28"/>
        </w:rPr>
        <w:t xml:space="preserve"> </w:t>
      </w:r>
      <w:r>
        <w:rPr>
          <w:b/>
          <w:bCs/>
          <w:sz w:val="28"/>
          <w:szCs w:val="28"/>
        </w:rPr>
        <w:t>для жителей микрорайона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36.4.1.)</w:t>
      </w:r>
    </w:p>
    <w:p w:rsidR="00D25A59" w:rsidRDefault="00D25A59" w:rsidP="00D25A59">
      <w:pPr>
        <w:pStyle w:val="a3"/>
        <w:rPr>
          <w:sz w:val="28"/>
          <w:szCs w:val="28"/>
        </w:rPr>
      </w:pPr>
    </w:p>
    <w:p w:rsidR="00D25A59" w:rsidRDefault="00D25A59" w:rsidP="00D25A59">
      <w:pPr>
        <w:pStyle w:val="a3"/>
        <w:rPr>
          <w:sz w:val="28"/>
          <w:szCs w:val="28"/>
        </w:rPr>
      </w:pPr>
      <w:r>
        <w:rPr>
          <w:sz w:val="28"/>
          <w:szCs w:val="28"/>
        </w:rPr>
        <w:t>Приложение №1 к настоящему контракту является его неотъемлемой частью.</w:t>
      </w:r>
    </w:p>
    <w:p w:rsidR="00D25A59" w:rsidRDefault="00D25A59" w:rsidP="00D25A59">
      <w:pPr>
        <w:pStyle w:val="ConsPlusNormal"/>
        <w:widowControl/>
        <w:ind w:firstLine="0"/>
        <w:jc w:val="center"/>
        <w:rPr>
          <w:rFonts w:ascii="Times New Roman" w:hAnsi="Times New Roman" w:cs="Times New Roman"/>
          <w:b/>
          <w:sz w:val="28"/>
          <w:szCs w:val="28"/>
        </w:rPr>
      </w:pPr>
    </w:p>
    <w:p w:rsidR="00D25A59" w:rsidRDefault="00D25A59" w:rsidP="00D25A59">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12. Адреса, банковские реквизиты и подписи сторон </w:t>
      </w:r>
    </w:p>
    <w:p w:rsidR="00D25A59" w:rsidRDefault="00D25A59" w:rsidP="00D25A59">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D25A59" w:rsidRPr="00E316D6" w:rsidTr="00525A5D">
        <w:tc>
          <w:tcPr>
            <w:tcW w:w="4786" w:type="dxa"/>
          </w:tcPr>
          <w:p w:rsidR="00D25A59" w:rsidRDefault="00D25A59" w:rsidP="00525A5D">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D25A59" w:rsidRDefault="00D25A59" w:rsidP="00525A5D">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D25A59" w:rsidRDefault="00D25A59" w:rsidP="00525A5D">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D25A59" w:rsidRDefault="00D25A59" w:rsidP="00525A5D">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D25A59" w:rsidRDefault="00D25A59" w:rsidP="00525A5D">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D25A59" w:rsidRDefault="00D25A59" w:rsidP="00525A5D">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D25A59" w:rsidRDefault="00D25A59" w:rsidP="00525A5D">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D25A59" w:rsidRDefault="00D25A59" w:rsidP="00525A5D">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D25A59" w:rsidRDefault="00D25A59" w:rsidP="00525A5D">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D25A59" w:rsidRDefault="00D25A59" w:rsidP="00525A5D">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D25A59" w:rsidRDefault="00D25A59" w:rsidP="00525A5D">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D25A59" w:rsidRDefault="00D25A59" w:rsidP="00525A5D">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D25A59" w:rsidRDefault="00D25A59" w:rsidP="00525A5D">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D25A59" w:rsidRDefault="00D25A59" w:rsidP="00525A5D">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D25A59" w:rsidRDefault="00D25A59" w:rsidP="00525A5D">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D25A59" w:rsidRDefault="00D25A59" w:rsidP="00525A5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D25A59" w:rsidRDefault="00D25A59" w:rsidP="00525A5D">
            <w:pPr>
              <w:pStyle w:val="ConsNormal"/>
              <w:spacing w:line="276" w:lineRule="auto"/>
              <w:ind w:firstLine="0"/>
              <w:jc w:val="both"/>
              <w:rPr>
                <w:rFonts w:ascii="Times New Roman" w:hAnsi="Times New Roman"/>
                <w:sz w:val="28"/>
                <w:szCs w:val="28"/>
              </w:rPr>
            </w:pPr>
          </w:p>
        </w:tc>
      </w:tr>
    </w:tbl>
    <w:p w:rsidR="00D25A59" w:rsidRDefault="00D25A59" w:rsidP="00D25A59">
      <w:pPr>
        <w:spacing w:after="0"/>
        <w:jc w:val="both"/>
        <w:rPr>
          <w:rFonts w:ascii="Times New Roman" w:hAnsi="Times New Roman"/>
          <w:b/>
          <w:sz w:val="28"/>
          <w:szCs w:val="28"/>
        </w:rPr>
      </w:pPr>
    </w:p>
    <w:p w:rsidR="002D4A13" w:rsidRPr="006213EB" w:rsidRDefault="002D4A13"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color w:val="000000"/>
          <w:sz w:val="28"/>
          <w:szCs w:val="28"/>
        </w:rPr>
      </w:pPr>
    </w:p>
    <w:p w:rsidR="002D4A13" w:rsidRDefault="002D4A13"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2D4A13" w:rsidRDefault="002D4A13" w:rsidP="0083464F">
      <w:pPr>
        <w:shd w:val="clear" w:color="auto" w:fill="FFFFFF"/>
        <w:tabs>
          <w:tab w:val="left" w:pos="1032"/>
        </w:tabs>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sz w:val="28"/>
          <w:szCs w:val="28"/>
        </w:rPr>
      </w:pPr>
    </w:p>
    <w:p w:rsidR="002D4A13" w:rsidRDefault="002D4A13" w:rsidP="0083464F">
      <w:pPr>
        <w:shd w:val="clear" w:color="auto" w:fill="FFFFFF"/>
        <w:tabs>
          <w:tab w:val="left" w:pos="499"/>
        </w:tabs>
        <w:spacing w:after="0" w:line="240" w:lineRule="auto"/>
        <w:jc w:val="both"/>
        <w:rPr>
          <w:rFonts w:ascii="Times New Roman" w:hAnsi="Times New Roman"/>
          <w:sz w:val="28"/>
          <w:szCs w:val="28"/>
        </w:rPr>
      </w:pPr>
    </w:p>
    <w:p w:rsidR="0083464F" w:rsidRDefault="0083464F" w:rsidP="0083464F">
      <w:pPr>
        <w:shd w:val="clear" w:color="auto" w:fill="FFFFFF"/>
        <w:spacing w:after="0" w:line="240" w:lineRule="auto"/>
        <w:jc w:val="both"/>
        <w:rPr>
          <w:rFonts w:ascii="Times New Roman" w:hAnsi="Times New Roman"/>
          <w:color w:val="000000"/>
          <w:sz w:val="28"/>
          <w:szCs w:val="28"/>
        </w:rPr>
      </w:pPr>
    </w:p>
    <w:p w:rsidR="002D4A13" w:rsidRPr="008D67BA" w:rsidRDefault="002D4A13" w:rsidP="0083464F">
      <w:pPr>
        <w:shd w:val="clear" w:color="auto" w:fill="FFFFFF"/>
        <w:spacing w:after="0" w:line="240" w:lineRule="auto"/>
        <w:jc w:val="both"/>
        <w:rPr>
          <w:rFonts w:ascii="Times New Roman" w:hAnsi="Times New Roman"/>
          <w:sz w:val="28"/>
          <w:szCs w:val="28"/>
        </w:rPr>
      </w:pP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b/>
          <w:sz w:val="28"/>
          <w:szCs w:val="28"/>
        </w:rPr>
      </w:pPr>
    </w:p>
    <w:p w:rsidR="002D4A13" w:rsidRDefault="002D4A13" w:rsidP="0083464F">
      <w:pPr>
        <w:spacing w:after="0"/>
        <w:jc w:val="both"/>
        <w:rPr>
          <w:rFonts w:ascii="Times New Roman" w:hAnsi="Times New Roman"/>
          <w:b/>
          <w:sz w:val="28"/>
          <w:szCs w:val="28"/>
        </w:rPr>
      </w:pPr>
    </w:p>
    <w:p w:rsidR="0083464F" w:rsidRDefault="0083464F" w:rsidP="0084079D">
      <w:pPr>
        <w:shd w:val="clear" w:color="auto" w:fill="FFFFFF"/>
        <w:spacing w:after="0" w:line="240" w:lineRule="auto"/>
        <w:jc w:val="both"/>
        <w:rPr>
          <w:rFonts w:ascii="Times New Roman" w:hAnsi="Times New Roman"/>
          <w:color w:val="000000"/>
          <w:sz w:val="28"/>
          <w:szCs w:val="28"/>
        </w:rPr>
      </w:pPr>
    </w:p>
    <w:p w:rsidR="00B7296A" w:rsidRDefault="00B7296A" w:rsidP="00B7296A">
      <w:pPr>
        <w:pStyle w:val="ae"/>
        <w:shd w:val="clear" w:color="auto" w:fill="FFFFFF"/>
        <w:spacing w:after="0" w:line="240" w:lineRule="auto"/>
        <w:ind w:left="0"/>
        <w:rPr>
          <w:rFonts w:ascii="Times New Roman" w:hAnsi="Times New Roman"/>
          <w:b/>
          <w:color w:val="000000"/>
          <w:sz w:val="28"/>
          <w:szCs w:val="28"/>
        </w:rPr>
      </w:pPr>
    </w:p>
    <w:p w:rsidR="0083464F" w:rsidRDefault="0083464F" w:rsidP="0084079D">
      <w:pPr>
        <w:spacing w:after="0" w:line="240" w:lineRule="auto"/>
        <w:jc w:val="both"/>
        <w:rPr>
          <w:rFonts w:ascii="Times New Roman" w:hAnsi="Times New Roman"/>
          <w:sz w:val="28"/>
          <w:szCs w:val="28"/>
        </w:rPr>
      </w:pPr>
    </w:p>
    <w:p w:rsidR="00FC5336" w:rsidRDefault="00FC5336" w:rsidP="00FC5336">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 1</w:t>
      </w:r>
    </w:p>
    <w:p w:rsidR="00FC5336" w:rsidRDefault="00FC5336" w:rsidP="00FC5336">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 муниципальному контракту № ______</w:t>
      </w:r>
    </w:p>
    <w:p w:rsidR="00FC5336" w:rsidRDefault="00FC5336" w:rsidP="00FC5336">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от ___________</w:t>
      </w:r>
    </w:p>
    <w:p w:rsidR="00FC5336" w:rsidRDefault="00FC5336" w:rsidP="00FC5336">
      <w:pPr>
        <w:spacing w:after="0" w:line="240" w:lineRule="auto"/>
        <w:jc w:val="right"/>
        <w:rPr>
          <w:rFonts w:ascii="Times New Roman" w:hAnsi="Times New Roman" w:cs="Times New Roman"/>
          <w:b/>
          <w:sz w:val="28"/>
          <w:szCs w:val="28"/>
        </w:rPr>
      </w:pPr>
    </w:p>
    <w:p w:rsidR="00FC5336" w:rsidRPr="000B197C" w:rsidRDefault="00FC5336" w:rsidP="00FC5336">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FC5336" w:rsidRPr="004C1C15" w:rsidRDefault="00FC5336" w:rsidP="00FC5336">
      <w:pPr>
        <w:spacing w:after="0" w:line="240" w:lineRule="auto"/>
        <w:jc w:val="center"/>
        <w:rPr>
          <w:rFonts w:ascii="Times New Roman" w:hAnsi="Times New Roman" w:cs="Times New Roman"/>
          <w:b/>
          <w:sz w:val="28"/>
          <w:szCs w:val="28"/>
        </w:rPr>
      </w:pPr>
      <w:r w:rsidRPr="004C1C15">
        <w:rPr>
          <w:rFonts w:ascii="Times New Roman" w:hAnsi="Times New Roman" w:cs="Times New Roman"/>
          <w:b/>
          <w:sz w:val="28"/>
          <w:szCs w:val="28"/>
        </w:rPr>
        <w:t>оказание услуг</w:t>
      </w:r>
      <w:r w:rsidRPr="00942AA0">
        <w:t xml:space="preserve"> </w:t>
      </w:r>
      <w:r w:rsidRPr="00942AA0">
        <w:rPr>
          <w:rFonts w:ascii="Times New Roman" w:hAnsi="Times New Roman" w:cs="Times New Roman"/>
          <w:b/>
          <w:sz w:val="28"/>
          <w:szCs w:val="28"/>
        </w:rPr>
        <w:t>по проведению праздничного мероприятия, посвященного Дню пожилых людей</w:t>
      </w:r>
      <w:r w:rsidRPr="004C1C15">
        <w:rPr>
          <w:rFonts w:ascii="Times New Roman" w:hAnsi="Times New Roman" w:cs="Times New Roman"/>
          <w:b/>
          <w:sz w:val="28"/>
          <w:szCs w:val="28"/>
        </w:rPr>
        <w:t>,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(п.36.4.1)</w:t>
      </w:r>
    </w:p>
    <w:p w:rsidR="00FC5336" w:rsidRDefault="00FC5336" w:rsidP="00FC5336">
      <w:pPr>
        <w:spacing w:after="0" w:line="240" w:lineRule="auto"/>
        <w:jc w:val="center"/>
        <w:rPr>
          <w:rFonts w:ascii="Times New Roman" w:hAnsi="Times New Roman" w:cs="Times New Roman"/>
          <w:b/>
          <w:sz w:val="24"/>
          <w:szCs w:val="24"/>
        </w:rPr>
      </w:pPr>
    </w:p>
    <w:p w:rsidR="00FC5336" w:rsidRPr="00D25A59" w:rsidRDefault="00FC5336" w:rsidP="00FC5336">
      <w:pPr>
        <w:spacing w:line="0" w:lineRule="atLeast"/>
        <w:jc w:val="both"/>
        <w:rPr>
          <w:rFonts w:ascii="Times New Roman" w:hAnsi="Times New Roman" w:cs="Times New Roman"/>
          <w:sz w:val="28"/>
          <w:szCs w:val="28"/>
        </w:rPr>
      </w:pP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1.Проведение  праздничного  мероприятия, посвященного Дню пожилых людей, для жителей микрорайонов Южный, Юбилейный в  период с момента заключения контракта  по 30 октября 2012 года. Время проведения мероприятия по  согласованию с заказчиком. Продолжительность мероприятия не менее 2,5 часов. </w:t>
      </w:r>
    </w:p>
    <w:p w:rsidR="00FC5336"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2.Проведение праздничного мероприятия, посвященного Дню пожилых людей, для жителей микрорайонов Южный, Юбилейный  по адресу: </w:t>
      </w:r>
      <w:r>
        <w:rPr>
          <w:rFonts w:ascii="Times New Roman" w:hAnsi="Times New Roman" w:cs="Times New Roman"/>
          <w:sz w:val="28"/>
          <w:szCs w:val="28"/>
        </w:rPr>
        <w:t>город Пермь, Свердловский район (по согласованию с заказчиком).</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3. Техническое обеспечение мероприятия и предоставление звукового оборудования мощностью не менее 2 кВт с полным комплектом аппаратуры, предоставление не менее 5- радиомикрофонов.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4. Подбор и трансляция  фонограмм для создания музыкальных композиций, объединенных тематикой, посвящённой Дню пожилых людей, обеспечение работы звукооператора в период проведения мероприятия.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5. Предоставление программы праздничного мероприятия, посвященного Дню пожилых людей, для жителей микрорайонов Южный, Юбилейный на момент заключения контракта. </w:t>
      </w:r>
    </w:p>
    <w:p w:rsidR="00FC5336"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6.Обеспечение участия в праздничном мероприятии, посвященном Дню пожилых людей, для жителей микрорайонов Южный, Юбилейный, не менее трех  творческих разножанровых коллективов (в том числе ансамбля народной музыки и танца в количестве не менее 10 исполнителей, вокального ансамбля в количестве не менее 5 исполнителей, фолк-фьюжн группы в количестве не менее 4 исполнителей), не менее трех солистов. Согласование данных коллективов и сольных исполнителей, а также  их репертуара  с заказчиком.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lastRenderedPageBreak/>
        <w:t>7.Обеспечение  работы  ведущего  на  праздничном  мероприятии, посвященном Дню пожилых людей, для жителей микрорайонов Южный, Юбилейный.</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8.Наличие сценических костюмов у участников каждого творческого коллектива и солистов.</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9.Подготовка и организация программы с учетом возрастной категории зрителей и обеспечение массового характера мероприятия.</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10.Предоставление пригласительных  билетов в количестве  не менее 300 штук на  праздничное мероприятие, посвященное Дню пожилых людей пожилого человека, для жителей микрорайонов Южный,  Юбилейный.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11.Художественное оформление сцены на праздничном мероприятии, посвященном Дню пожилых людей, для жителей микрорайонов Южный,  Юбилейный.</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12. Обеспечение безопасности зрителей и участников при проведении мероприятия.</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13.Обеспечение соблюдения санитарных норм  до и после проведения мероприятия.</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14. Предоставление помещений для размещения творческих коллективов.</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15. Приобретение подарочной   сувенирной  продукции на сумму не менее 23000(двадцать три тысячи) рублей. Срок поставки  и ассортимент продукции  устанавливается по согласованию с заказчиком.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16.Приобретение подарочной   продукции для ветеранов  округа №36   на сумму не менее 12000 рублей. Срок поставки  и ассортимент продукции  устанавливается по согласованию с заказчиком.</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17. Предоставление пригласительных билетов  в количестве не менее 300 штук для ветеранов округа №36.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18.Изготовление афиш (формат А4),  в количестве не менее 100 штук (ста штук) и о согласование текста  с заказчиком.</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 19 Проведение конкурсной тематической программы с организацией не менее 4 мини-площадок и работой не менее 4 аниматоров в период проведения праздничного мероприятия (время по согласованию с заказчиком).</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20. Организация тематической выставки, посвященной Дню пожилых людей, для ветеранов  округа №36 . Место и время  проведения  по согласованию с заказчиком. На выставке должны быть представлены изделия  и образцы по  различным жанрам народного творчества.</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lastRenderedPageBreak/>
        <w:t>21.Подготовка и проведение  выставок  с учетом возрастной категории зрителей.</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22.Обеспечение работы  на  выставке  консультантов из числа  членов любительских клубов и студий района.</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 xml:space="preserve">23. Обеспечение  участия  ведущего в формате проведения выставки.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24.Обязательное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25.Оценочные показатели качества услуг:</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-техническое обеспечение праздничного мероприятия, посвященного Дню пожилых людей, для жителей микрорайонов Южный, Юбилейный и предоставление  звукового оборудования мощностью не менее 2 кВт с полным комплектом аппаратуры ;</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-обеспечение участия в праздничном  мероприятии, посвященном  Дню пожилых людей, для жителей микрорайонов Южный, Юбилейный не менее трех творческих разножанровых коллективов г. Перми; не менее трех солистов;</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-обеспечение  работы  ведущего;</w:t>
      </w:r>
    </w:p>
    <w:p w:rsidR="00FC5336" w:rsidRPr="00D25A59"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-приобретение подарочной  и  сувенирной  продукции для ветеранов  округа №36.</w:t>
      </w:r>
    </w:p>
    <w:p w:rsidR="00FC5336" w:rsidRPr="004C1C15" w:rsidRDefault="00FC5336" w:rsidP="00FC5336">
      <w:pPr>
        <w:spacing w:line="0" w:lineRule="atLeast"/>
        <w:jc w:val="both"/>
        <w:rPr>
          <w:rFonts w:ascii="Times New Roman" w:hAnsi="Times New Roman" w:cs="Times New Roman"/>
          <w:sz w:val="28"/>
          <w:szCs w:val="28"/>
        </w:rPr>
      </w:pPr>
      <w:r w:rsidRPr="00D25A59">
        <w:rPr>
          <w:rFonts w:ascii="Times New Roman" w:hAnsi="Times New Roman" w:cs="Times New Roman"/>
          <w:sz w:val="28"/>
          <w:szCs w:val="28"/>
        </w:rPr>
        <w:t>26.В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FC5336" w:rsidRDefault="00FC5336" w:rsidP="000A1F8E">
      <w:pPr>
        <w:spacing w:after="0" w:line="240" w:lineRule="auto"/>
        <w:jc w:val="right"/>
        <w:rPr>
          <w:rFonts w:ascii="Times New Roman" w:hAnsi="Times New Roman" w:cs="Times New Roman"/>
          <w:sz w:val="28"/>
          <w:szCs w:val="28"/>
        </w:rPr>
      </w:pPr>
    </w:p>
    <w:p w:rsidR="000A1F8E" w:rsidRPr="00833A1C" w:rsidRDefault="00FC5336" w:rsidP="000A1F8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0A1F8E" w:rsidRPr="00833A1C">
        <w:rPr>
          <w:rFonts w:ascii="Times New Roman" w:hAnsi="Times New Roman" w:cs="Times New Roman"/>
          <w:sz w:val="28"/>
          <w:szCs w:val="28"/>
        </w:rPr>
        <w:t xml:space="preserve">риложение № </w:t>
      </w:r>
      <w:bookmarkEnd w:id="1"/>
      <w:r w:rsidR="000A1F8E"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lastRenderedPageBreak/>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D25A59">
      <w:headerReference w:type="default" r:id="rId10"/>
      <w:footerReference w:type="even" r:id="rId11"/>
      <w:footerReference w:type="default" r:id="rId12"/>
      <w:pgSz w:w="11906" w:h="16838"/>
      <w:pgMar w:top="0" w:right="851"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A10" w:rsidRDefault="00EB3A10" w:rsidP="00F85EA1">
      <w:pPr>
        <w:spacing w:after="0" w:line="240" w:lineRule="auto"/>
      </w:pPr>
      <w:r>
        <w:separator/>
      </w:r>
    </w:p>
  </w:endnote>
  <w:endnote w:type="continuationSeparator" w:id="1">
    <w:p w:rsidR="00EB3A10" w:rsidRDefault="00EB3A1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CF172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CF172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D25A59">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CF172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CF1723">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B2503C">
      <w:rPr>
        <w:rStyle w:val="a9"/>
        <w:noProof/>
      </w:rPr>
      <w:t>19</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A10" w:rsidRDefault="00EB3A10" w:rsidP="00F85EA1">
      <w:pPr>
        <w:spacing w:after="0" w:line="240" w:lineRule="auto"/>
      </w:pPr>
      <w:r>
        <w:separator/>
      </w:r>
    </w:p>
  </w:footnote>
  <w:footnote w:type="continuationSeparator" w:id="1">
    <w:p w:rsidR="00EB3A10" w:rsidRDefault="00EB3A1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69BA"/>
    <w:rsid w:val="00021993"/>
    <w:rsid w:val="00021E3E"/>
    <w:rsid w:val="00035453"/>
    <w:rsid w:val="0005674E"/>
    <w:rsid w:val="000617F0"/>
    <w:rsid w:val="000703D7"/>
    <w:rsid w:val="000746BC"/>
    <w:rsid w:val="00076B3F"/>
    <w:rsid w:val="000776BA"/>
    <w:rsid w:val="00094F39"/>
    <w:rsid w:val="000952C3"/>
    <w:rsid w:val="000A135C"/>
    <w:rsid w:val="000A1F8E"/>
    <w:rsid w:val="000B0FB2"/>
    <w:rsid w:val="000B197C"/>
    <w:rsid w:val="000E4A29"/>
    <w:rsid w:val="000F2037"/>
    <w:rsid w:val="001077A2"/>
    <w:rsid w:val="0011364D"/>
    <w:rsid w:val="0012229E"/>
    <w:rsid w:val="001225C4"/>
    <w:rsid w:val="00130C1E"/>
    <w:rsid w:val="001437F7"/>
    <w:rsid w:val="00162E47"/>
    <w:rsid w:val="0016527E"/>
    <w:rsid w:val="00176BD9"/>
    <w:rsid w:val="00186AEE"/>
    <w:rsid w:val="00191637"/>
    <w:rsid w:val="00197213"/>
    <w:rsid w:val="001C19BE"/>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5B82"/>
    <w:rsid w:val="0029610C"/>
    <w:rsid w:val="00297E71"/>
    <w:rsid w:val="002A3C3D"/>
    <w:rsid w:val="002A3F02"/>
    <w:rsid w:val="002A493A"/>
    <w:rsid w:val="002B212F"/>
    <w:rsid w:val="002D4A13"/>
    <w:rsid w:val="002E6936"/>
    <w:rsid w:val="003007A4"/>
    <w:rsid w:val="00312398"/>
    <w:rsid w:val="00316BB3"/>
    <w:rsid w:val="003176AB"/>
    <w:rsid w:val="003245C0"/>
    <w:rsid w:val="00332C47"/>
    <w:rsid w:val="00335905"/>
    <w:rsid w:val="00337C3E"/>
    <w:rsid w:val="00340199"/>
    <w:rsid w:val="0034145C"/>
    <w:rsid w:val="00343D0F"/>
    <w:rsid w:val="00355171"/>
    <w:rsid w:val="00356C74"/>
    <w:rsid w:val="003710CD"/>
    <w:rsid w:val="00377ABA"/>
    <w:rsid w:val="003857C4"/>
    <w:rsid w:val="00392206"/>
    <w:rsid w:val="003C064E"/>
    <w:rsid w:val="003C4643"/>
    <w:rsid w:val="003D3F32"/>
    <w:rsid w:val="003F1E42"/>
    <w:rsid w:val="003F3B52"/>
    <w:rsid w:val="00401ECD"/>
    <w:rsid w:val="0040209A"/>
    <w:rsid w:val="00406684"/>
    <w:rsid w:val="00406D3E"/>
    <w:rsid w:val="00426474"/>
    <w:rsid w:val="0042723C"/>
    <w:rsid w:val="0043018E"/>
    <w:rsid w:val="004340DC"/>
    <w:rsid w:val="00436FB9"/>
    <w:rsid w:val="00440CD7"/>
    <w:rsid w:val="004460CC"/>
    <w:rsid w:val="00454F09"/>
    <w:rsid w:val="004606A8"/>
    <w:rsid w:val="00460B1D"/>
    <w:rsid w:val="00460E7D"/>
    <w:rsid w:val="00463F00"/>
    <w:rsid w:val="00472F2D"/>
    <w:rsid w:val="004747E4"/>
    <w:rsid w:val="004808CD"/>
    <w:rsid w:val="00482438"/>
    <w:rsid w:val="004856DD"/>
    <w:rsid w:val="004917FF"/>
    <w:rsid w:val="0049573E"/>
    <w:rsid w:val="004A2E3D"/>
    <w:rsid w:val="004C1C15"/>
    <w:rsid w:val="004C2845"/>
    <w:rsid w:val="004D0076"/>
    <w:rsid w:val="004F2D36"/>
    <w:rsid w:val="00516DFB"/>
    <w:rsid w:val="00523A70"/>
    <w:rsid w:val="005250CB"/>
    <w:rsid w:val="0053408A"/>
    <w:rsid w:val="005360AE"/>
    <w:rsid w:val="005518A7"/>
    <w:rsid w:val="00554674"/>
    <w:rsid w:val="0055499C"/>
    <w:rsid w:val="00557F0F"/>
    <w:rsid w:val="00566121"/>
    <w:rsid w:val="00577F07"/>
    <w:rsid w:val="00592517"/>
    <w:rsid w:val="005947C7"/>
    <w:rsid w:val="00597192"/>
    <w:rsid w:val="005A0210"/>
    <w:rsid w:val="005A251E"/>
    <w:rsid w:val="005A43E1"/>
    <w:rsid w:val="005A6E72"/>
    <w:rsid w:val="005C098B"/>
    <w:rsid w:val="005C6012"/>
    <w:rsid w:val="005C61F8"/>
    <w:rsid w:val="005D0743"/>
    <w:rsid w:val="005D2CE6"/>
    <w:rsid w:val="005E6952"/>
    <w:rsid w:val="005F4971"/>
    <w:rsid w:val="006036E5"/>
    <w:rsid w:val="00617B22"/>
    <w:rsid w:val="006251F7"/>
    <w:rsid w:val="00626AC0"/>
    <w:rsid w:val="00633091"/>
    <w:rsid w:val="00643B77"/>
    <w:rsid w:val="00646C10"/>
    <w:rsid w:val="006526A1"/>
    <w:rsid w:val="00655D7F"/>
    <w:rsid w:val="006633D5"/>
    <w:rsid w:val="00664DCA"/>
    <w:rsid w:val="00666E4E"/>
    <w:rsid w:val="0068088A"/>
    <w:rsid w:val="006A671E"/>
    <w:rsid w:val="006A6CCF"/>
    <w:rsid w:val="006C26BB"/>
    <w:rsid w:val="006C4DBF"/>
    <w:rsid w:val="006D258C"/>
    <w:rsid w:val="006D3621"/>
    <w:rsid w:val="006D6221"/>
    <w:rsid w:val="006D7248"/>
    <w:rsid w:val="006E0575"/>
    <w:rsid w:val="006F1634"/>
    <w:rsid w:val="006F37D0"/>
    <w:rsid w:val="00704911"/>
    <w:rsid w:val="0070706E"/>
    <w:rsid w:val="00720DE5"/>
    <w:rsid w:val="0072349B"/>
    <w:rsid w:val="00735870"/>
    <w:rsid w:val="007409EA"/>
    <w:rsid w:val="00743CFE"/>
    <w:rsid w:val="00744410"/>
    <w:rsid w:val="007668D4"/>
    <w:rsid w:val="00772351"/>
    <w:rsid w:val="00780104"/>
    <w:rsid w:val="00785A22"/>
    <w:rsid w:val="00792F8E"/>
    <w:rsid w:val="007958C2"/>
    <w:rsid w:val="007B2625"/>
    <w:rsid w:val="007D39D1"/>
    <w:rsid w:val="007D57F7"/>
    <w:rsid w:val="007D7A21"/>
    <w:rsid w:val="007E5FAB"/>
    <w:rsid w:val="00800151"/>
    <w:rsid w:val="008017FA"/>
    <w:rsid w:val="008058DD"/>
    <w:rsid w:val="0083464F"/>
    <w:rsid w:val="0084079D"/>
    <w:rsid w:val="00846E17"/>
    <w:rsid w:val="00851A9E"/>
    <w:rsid w:val="00853616"/>
    <w:rsid w:val="008661C9"/>
    <w:rsid w:val="00872A24"/>
    <w:rsid w:val="0088535B"/>
    <w:rsid w:val="008A4389"/>
    <w:rsid w:val="008C0591"/>
    <w:rsid w:val="008C3332"/>
    <w:rsid w:val="008D06FF"/>
    <w:rsid w:val="008D2574"/>
    <w:rsid w:val="008D32B8"/>
    <w:rsid w:val="00902FFD"/>
    <w:rsid w:val="00922C56"/>
    <w:rsid w:val="00924112"/>
    <w:rsid w:val="00925940"/>
    <w:rsid w:val="00935619"/>
    <w:rsid w:val="00941D78"/>
    <w:rsid w:val="00942AA0"/>
    <w:rsid w:val="00950374"/>
    <w:rsid w:val="009633BC"/>
    <w:rsid w:val="00974120"/>
    <w:rsid w:val="0097433D"/>
    <w:rsid w:val="00976786"/>
    <w:rsid w:val="009973D3"/>
    <w:rsid w:val="009B686A"/>
    <w:rsid w:val="009B7440"/>
    <w:rsid w:val="009B74EE"/>
    <w:rsid w:val="009C6EED"/>
    <w:rsid w:val="009E17E5"/>
    <w:rsid w:val="009E3ED0"/>
    <w:rsid w:val="009E79C0"/>
    <w:rsid w:val="009F541B"/>
    <w:rsid w:val="00A009A9"/>
    <w:rsid w:val="00A00DB8"/>
    <w:rsid w:val="00A32CE1"/>
    <w:rsid w:val="00A45B42"/>
    <w:rsid w:val="00A4638A"/>
    <w:rsid w:val="00A66AEA"/>
    <w:rsid w:val="00A7103B"/>
    <w:rsid w:val="00A74A43"/>
    <w:rsid w:val="00A958A8"/>
    <w:rsid w:val="00A95EBA"/>
    <w:rsid w:val="00AB6EAF"/>
    <w:rsid w:val="00AC6068"/>
    <w:rsid w:val="00AC6A49"/>
    <w:rsid w:val="00AD4E1C"/>
    <w:rsid w:val="00AF6208"/>
    <w:rsid w:val="00AF6551"/>
    <w:rsid w:val="00B14B3C"/>
    <w:rsid w:val="00B1671F"/>
    <w:rsid w:val="00B2061C"/>
    <w:rsid w:val="00B24189"/>
    <w:rsid w:val="00B24EC1"/>
    <w:rsid w:val="00B2503C"/>
    <w:rsid w:val="00B27101"/>
    <w:rsid w:val="00B4162D"/>
    <w:rsid w:val="00B422E9"/>
    <w:rsid w:val="00B449ED"/>
    <w:rsid w:val="00B55DCD"/>
    <w:rsid w:val="00B70037"/>
    <w:rsid w:val="00B7296A"/>
    <w:rsid w:val="00B77BE6"/>
    <w:rsid w:val="00B8087A"/>
    <w:rsid w:val="00B841AA"/>
    <w:rsid w:val="00B85364"/>
    <w:rsid w:val="00B93441"/>
    <w:rsid w:val="00BA7DA0"/>
    <w:rsid w:val="00BB2950"/>
    <w:rsid w:val="00BB6A49"/>
    <w:rsid w:val="00BC1271"/>
    <w:rsid w:val="00BC3F90"/>
    <w:rsid w:val="00BC6A79"/>
    <w:rsid w:val="00BC74FA"/>
    <w:rsid w:val="00BF7392"/>
    <w:rsid w:val="00C017B3"/>
    <w:rsid w:val="00C15F8A"/>
    <w:rsid w:val="00C17A39"/>
    <w:rsid w:val="00C27C1B"/>
    <w:rsid w:val="00C42292"/>
    <w:rsid w:val="00C46AAF"/>
    <w:rsid w:val="00C60A90"/>
    <w:rsid w:val="00C655D2"/>
    <w:rsid w:val="00C74209"/>
    <w:rsid w:val="00C757CD"/>
    <w:rsid w:val="00C77D3A"/>
    <w:rsid w:val="00C868AD"/>
    <w:rsid w:val="00C9322A"/>
    <w:rsid w:val="00C95336"/>
    <w:rsid w:val="00CB1FF7"/>
    <w:rsid w:val="00CB4D4A"/>
    <w:rsid w:val="00CC3589"/>
    <w:rsid w:val="00CD08AF"/>
    <w:rsid w:val="00CD25C8"/>
    <w:rsid w:val="00CE227E"/>
    <w:rsid w:val="00CE48C9"/>
    <w:rsid w:val="00CE5B72"/>
    <w:rsid w:val="00CE60FE"/>
    <w:rsid w:val="00CF1723"/>
    <w:rsid w:val="00D14879"/>
    <w:rsid w:val="00D15C9A"/>
    <w:rsid w:val="00D25A59"/>
    <w:rsid w:val="00D26EC2"/>
    <w:rsid w:val="00D26F87"/>
    <w:rsid w:val="00D30DBC"/>
    <w:rsid w:val="00D50F05"/>
    <w:rsid w:val="00D51FF5"/>
    <w:rsid w:val="00D601B9"/>
    <w:rsid w:val="00D74084"/>
    <w:rsid w:val="00D754D6"/>
    <w:rsid w:val="00D76EFE"/>
    <w:rsid w:val="00D84B23"/>
    <w:rsid w:val="00D86126"/>
    <w:rsid w:val="00DA5879"/>
    <w:rsid w:val="00DA7592"/>
    <w:rsid w:val="00DB0D3D"/>
    <w:rsid w:val="00DC2074"/>
    <w:rsid w:val="00DC50EB"/>
    <w:rsid w:val="00DC6BCD"/>
    <w:rsid w:val="00DC773A"/>
    <w:rsid w:val="00DD1927"/>
    <w:rsid w:val="00E037F5"/>
    <w:rsid w:val="00E202B2"/>
    <w:rsid w:val="00E23E45"/>
    <w:rsid w:val="00E26742"/>
    <w:rsid w:val="00E3058E"/>
    <w:rsid w:val="00E42B04"/>
    <w:rsid w:val="00E5376B"/>
    <w:rsid w:val="00E555ED"/>
    <w:rsid w:val="00E559CB"/>
    <w:rsid w:val="00E8456C"/>
    <w:rsid w:val="00E93BCA"/>
    <w:rsid w:val="00E93E25"/>
    <w:rsid w:val="00EA277C"/>
    <w:rsid w:val="00EA73EF"/>
    <w:rsid w:val="00EB1A3A"/>
    <w:rsid w:val="00EB288A"/>
    <w:rsid w:val="00EB3A10"/>
    <w:rsid w:val="00ED07B9"/>
    <w:rsid w:val="00ED11D8"/>
    <w:rsid w:val="00ED2A47"/>
    <w:rsid w:val="00EE0940"/>
    <w:rsid w:val="00EE5DCE"/>
    <w:rsid w:val="00EE65E7"/>
    <w:rsid w:val="00EF0C16"/>
    <w:rsid w:val="00EF3BF6"/>
    <w:rsid w:val="00F01017"/>
    <w:rsid w:val="00F24442"/>
    <w:rsid w:val="00F40EBD"/>
    <w:rsid w:val="00F412B2"/>
    <w:rsid w:val="00F52120"/>
    <w:rsid w:val="00F53F2D"/>
    <w:rsid w:val="00F642C0"/>
    <w:rsid w:val="00F66572"/>
    <w:rsid w:val="00F735CB"/>
    <w:rsid w:val="00F85D6C"/>
    <w:rsid w:val="00F85EA1"/>
    <w:rsid w:val="00FB2ABF"/>
    <w:rsid w:val="00FC5336"/>
    <w:rsid w:val="00FC67A4"/>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8DDCB-DC33-4775-A0EC-7C19A911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25</Pages>
  <Words>6510</Words>
  <Characters>37107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17</cp:revision>
  <cp:lastPrinted>2012-08-28T11:49:00Z</cp:lastPrinted>
  <dcterms:created xsi:type="dcterms:W3CDTF">2012-08-30T11:44:00Z</dcterms:created>
  <dcterms:modified xsi:type="dcterms:W3CDTF">2012-09-17T11:39:00Z</dcterms:modified>
</cp:coreProperties>
</file>