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jc w:val="center"/>
        <w:rPr>
          <w:rFonts w:ascii="Times New Roman" w:eastAsia="Times New Roman" w:hAnsi="Times New Roman" w:cs="Times New Roman"/>
          <w:b/>
          <w:sz w:val="23"/>
          <w:szCs w:val="24"/>
          <w:lang w:eastAsia="ru-RU"/>
        </w:rPr>
      </w:pPr>
      <w:r w:rsidRPr="006A2070">
        <w:rPr>
          <w:rFonts w:ascii="Times New Roman" w:eastAsia="Times New Roman" w:hAnsi="Times New Roman" w:cs="Times New Roman"/>
          <w:b/>
          <w:sz w:val="24"/>
          <w:szCs w:val="24"/>
          <w:lang w:eastAsia="ru-RU"/>
        </w:rPr>
        <w:t xml:space="preserve">на поставку аппаратуры </w:t>
      </w:r>
      <w:r w:rsidR="003C3D17">
        <w:rPr>
          <w:rFonts w:ascii="Times New Roman" w:eastAsia="Times New Roman" w:hAnsi="Times New Roman" w:cs="Times New Roman"/>
          <w:b/>
          <w:sz w:val="24"/>
          <w:szCs w:val="24"/>
          <w:lang w:eastAsia="ru-RU"/>
        </w:rPr>
        <w:t>медицинской</w:t>
      </w:r>
      <w:r w:rsidR="00543338">
        <w:rPr>
          <w:rFonts w:ascii="Times New Roman" w:eastAsia="Times New Roman" w:hAnsi="Times New Roman" w:cs="Times New Roman"/>
          <w:b/>
          <w:sz w:val="24"/>
          <w:szCs w:val="24"/>
          <w:lang w:eastAsia="ru-RU"/>
        </w:rPr>
        <w:t>:</w:t>
      </w:r>
      <w:r w:rsidR="00543338" w:rsidRPr="00543338">
        <w:t xml:space="preserve"> </w:t>
      </w:r>
      <w:proofErr w:type="spellStart"/>
      <w:r w:rsidR="00543338" w:rsidRPr="00543338">
        <w:rPr>
          <w:rFonts w:ascii="Times New Roman" w:eastAsia="Times New Roman" w:hAnsi="Times New Roman" w:cs="Times New Roman"/>
          <w:b/>
          <w:sz w:val="24"/>
          <w:szCs w:val="24"/>
          <w:lang w:eastAsia="ru-RU"/>
        </w:rPr>
        <w:t>Пульсоксиметр</w:t>
      </w:r>
      <w:proofErr w:type="spellEnd"/>
      <w:r w:rsidR="00543338" w:rsidRPr="00543338">
        <w:rPr>
          <w:rFonts w:ascii="Times New Roman" w:eastAsia="Times New Roman" w:hAnsi="Times New Roman" w:cs="Times New Roman"/>
          <w:b/>
          <w:sz w:val="24"/>
          <w:szCs w:val="24"/>
          <w:lang w:eastAsia="ru-RU"/>
        </w:rPr>
        <w:t xml:space="preserve"> </w:t>
      </w:r>
      <w:proofErr w:type="gramStart"/>
      <w:r w:rsidR="00543338" w:rsidRPr="00543338">
        <w:rPr>
          <w:rFonts w:ascii="Times New Roman" w:eastAsia="Times New Roman" w:hAnsi="Times New Roman" w:cs="Times New Roman"/>
          <w:b/>
          <w:sz w:val="24"/>
          <w:szCs w:val="24"/>
          <w:lang w:eastAsia="ru-RU"/>
        </w:rPr>
        <w:t>портативный</w:t>
      </w:r>
      <w:proofErr w:type="gramEnd"/>
      <w:r w:rsidR="003C3D17">
        <w:rPr>
          <w:rFonts w:ascii="Times New Roman" w:eastAsia="Times New Roman" w:hAnsi="Times New Roman" w:cs="Times New Roman"/>
          <w:b/>
          <w:sz w:val="24"/>
          <w:szCs w:val="24"/>
          <w:lang w:eastAsia="ru-RU"/>
        </w:rPr>
        <w:t xml:space="preserve"> </w:t>
      </w:r>
      <w:r w:rsidR="00C25CFC">
        <w:rPr>
          <w:rFonts w:ascii="Times New Roman" w:eastAsia="Times New Roman" w:hAnsi="Times New Roman" w:cs="Times New Roman"/>
          <w:b/>
          <w:sz w:val="24"/>
          <w:szCs w:val="24"/>
          <w:lang w:eastAsia="ru-RU"/>
        </w:rPr>
        <w:t xml:space="preserve">для </w:t>
      </w:r>
      <w:r w:rsidRPr="006A2070">
        <w:rPr>
          <w:rFonts w:ascii="Times New Roman" w:eastAsia="Times New Roman" w:hAnsi="Times New Roman" w:cs="Times New Roman"/>
          <w:b/>
          <w:lang w:eastAsia="ru-RU"/>
        </w:rPr>
        <w:t>М</w:t>
      </w:r>
      <w:r>
        <w:rPr>
          <w:rFonts w:ascii="Times New Roman" w:eastAsia="Times New Roman" w:hAnsi="Times New Roman" w:cs="Times New Roman"/>
          <w:b/>
          <w:lang w:eastAsia="ru-RU"/>
        </w:rPr>
        <w:t>Б</w:t>
      </w:r>
      <w:r w:rsidRPr="006A2070">
        <w:rPr>
          <w:rFonts w:ascii="Times New Roman" w:eastAsia="Times New Roman" w:hAnsi="Times New Roman" w:cs="Times New Roman"/>
          <w:b/>
          <w:lang w:eastAsia="ru-RU"/>
        </w:rPr>
        <w:t>УЗ «Городская станция скорой медицинской помощи»</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w:t>
      </w:r>
      <w:r w:rsidR="0013719E">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68657D"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375CA1">
        <w:rPr>
          <w:rFonts w:ascii="Times New Roman" w:eastAsia="Times New Roman" w:hAnsi="Times New Roman" w:cs="Times New Roman"/>
          <w:b/>
          <w:sz w:val="24"/>
          <w:szCs w:val="24"/>
          <w:lang w:eastAsia="ru-RU"/>
        </w:rPr>
        <w:t xml:space="preserve">: </w:t>
      </w:r>
      <w:proofErr w:type="spellStart"/>
      <w:r w:rsidR="00375CA1" w:rsidRPr="00375CA1">
        <w:rPr>
          <w:rFonts w:ascii="Times New Roman" w:eastAsia="Times New Roman" w:hAnsi="Times New Roman" w:cs="Times New Roman"/>
          <w:b/>
          <w:sz w:val="24"/>
          <w:szCs w:val="24"/>
          <w:lang w:eastAsia="ru-RU"/>
        </w:rPr>
        <w:t>Пульсоксиметр</w:t>
      </w:r>
      <w:proofErr w:type="spellEnd"/>
      <w:r w:rsidR="00375CA1" w:rsidRPr="00375CA1">
        <w:rPr>
          <w:rFonts w:ascii="Times New Roman" w:eastAsia="Times New Roman" w:hAnsi="Times New Roman" w:cs="Times New Roman"/>
          <w:b/>
          <w:sz w:val="24"/>
          <w:szCs w:val="24"/>
          <w:lang w:eastAsia="ru-RU"/>
        </w:rPr>
        <w:t xml:space="preserve"> портативный для МБУЗ «Городская станция скорой медицинской помощи»</w:t>
      </w:r>
      <w:r w:rsidRPr="00B76065">
        <w:rPr>
          <w:rFonts w:ascii="Times New Roman" w:eastAsia="Times New Roman" w:hAnsi="Times New Roman" w:cs="Times New Roman"/>
          <w:sz w:val="24"/>
          <w:szCs w:val="24"/>
          <w:lang w:eastAsia="ru-RU"/>
        </w:rPr>
        <w:t xml:space="preserve"> (далее </w:t>
      </w:r>
      <w:r w:rsidR="0068657D">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375CA1">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FE036B">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lastRenderedPageBreak/>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5A4B58">
        <w:rPr>
          <w:rFonts w:ascii="Times New Roman" w:eastAsia="Times New Roman" w:hAnsi="Times New Roman" w:cs="Times New Roman"/>
          <w:sz w:val="24"/>
          <w:szCs w:val="24"/>
          <w:lang w:eastAsia="ru-RU"/>
        </w:rPr>
        <w:t>приема-передачи</w:t>
      </w:r>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5.4.</w:t>
      </w:r>
      <w:r w:rsidRPr="00B76065">
        <w:rPr>
          <w:rFonts w:ascii="Times New Roman" w:eastAsia="Times New Roman" w:hAnsi="Times New Roman" w:cs="Times New Roman"/>
          <w:sz w:val="24"/>
          <w:szCs w:val="24"/>
          <w:lang w:eastAsia="ru-RU"/>
        </w:rPr>
        <w:t xml:space="preserve"> Срок поставки товара: в течение </w:t>
      </w:r>
      <w:r w:rsidRPr="005F0E32">
        <w:rPr>
          <w:rFonts w:ascii="Times New Roman" w:eastAsia="Times New Roman" w:hAnsi="Times New Roman" w:cs="Times New Roman"/>
          <w:sz w:val="24"/>
          <w:szCs w:val="24"/>
          <w:lang w:eastAsia="ru-RU"/>
        </w:rPr>
        <w:t>30</w:t>
      </w:r>
      <w:r w:rsidRPr="005F0E32">
        <w:rPr>
          <w:rFonts w:ascii="Times New Roman" w:eastAsia="Times New Roman" w:hAnsi="Times New Roman" w:cs="Times New Roman"/>
          <w:b/>
          <w:sz w:val="24"/>
          <w:szCs w:val="24"/>
          <w:lang w:eastAsia="ru-RU"/>
        </w:rPr>
        <w:t xml:space="preserve"> </w:t>
      </w:r>
      <w:r w:rsidRPr="005F0E32">
        <w:rPr>
          <w:rFonts w:ascii="Times New Roman" w:eastAsia="Times New Roman" w:hAnsi="Times New Roman" w:cs="Times New Roman"/>
          <w:sz w:val="24"/>
          <w:szCs w:val="24"/>
          <w:lang w:eastAsia="ru-RU"/>
        </w:rPr>
        <w:t>календарных дней с</w:t>
      </w:r>
      <w:r w:rsidRPr="00B76065">
        <w:rPr>
          <w:rFonts w:ascii="Times New Roman" w:eastAsia="Times New Roman" w:hAnsi="Times New Roman" w:cs="Times New Roman"/>
          <w:sz w:val="24"/>
          <w:szCs w:val="24"/>
          <w:lang w:eastAsia="ru-RU"/>
        </w:rPr>
        <w:t xml:space="preserve">о дня подписания договора. </w:t>
      </w:r>
    </w:p>
    <w:p w:rsidR="00830E1A" w:rsidRPr="00B76065" w:rsidRDefault="00830E1A" w:rsidP="00830E1A">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830E1A" w:rsidRPr="00B76065" w:rsidRDefault="00830E1A" w:rsidP="00830E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060608">
        <w:rPr>
          <w:rFonts w:ascii="Times New Roman" w:eastAsia="Times New Roman" w:hAnsi="Times New Roman" w:cs="Times New Roman"/>
          <w:b/>
          <w:bCs/>
          <w:sz w:val="24"/>
          <w:szCs w:val="24"/>
          <w:lang w:eastAsia="ru-RU"/>
        </w:rPr>
        <w:t>3</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.3</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lastRenderedPageBreak/>
        <w:t>6</w:t>
      </w:r>
      <w:r w:rsidR="000B7635">
        <w:rPr>
          <w:rFonts w:ascii="Times New Roman" w:eastAsia="Times New Roman" w:hAnsi="Times New Roman" w:cs="Times New Roman"/>
          <w:b/>
          <w:color w:val="000000"/>
          <w:sz w:val="24"/>
          <w:szCs w:val="24"/>
          <w:lang w:eastAsia="ru-RU"/>
        </w:rPr>
        <w:t>.5</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8C70C9" w:rsidRDefault="00EF0303" w:rsidP="009D654F">
      <w:pPr>
        <w:shd w:val="clear" w:color="auto" w:fill="FFFFFF"/>
        <w:tabs>
          <w:tab w:val="left" w:pos="797"/>
        </w:tabs>
        <w:spacing w:after="0" w:line="240" w:lineRule="auto"/>
        <w:jc w:val="both"/>
        <w:rPr>
          <w:rFonts w:ascii="Times New Roman" w:hAnsi="Times New Roman" w:cs="Times New Roman"/>
          <w:b/>
          <w:sz w:val="24"/>
          <w:szCs w:val="24"/>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0B763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w:t>
      </w:r>
      <w:proofErr w:type="gramStart"/>
      <w:r w:rsidR="008C70C9" w:rsidRPr="000A4CDE">
        <w:rPr>
          <w:rFonts w:ascii="Times New Roman" w:hAnsi="Times New Roman" w:cs="Times New Roman"/>
          <w:b/>
          <w:sz w:val="24"/>
          <w:szCs w:val="24"/>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w:t>
      </w:r>
      <w:r w:rsidR="00223976">
        <w:rPr>
          <w:rFonts w:ascii="Times New Roman" w:hAnsi="Times New Roman" w:cs="Times New Roman"/>
          <w:b/>
          <w:sz w:val="24"/>
          <w:szCs w:val="24"/>
        </w:rPr>
        <w:t>5 (пяти</w:t>
      </w:r>
      <w:r w:rsidR="008C70C9" w:rsidRPr="000A4CDE">
        <w:rPr>
          <w:rFonts w:ascii="Times New Roman" w:hAnsi="Times New Roman" w:cs="Times New Roman"/>
          <w:b/>
          <w:sz w:val="24"/>
          <w:szCs w:val="24"/>
        </w:rPr>
        <w:t xml:space="preserve">) </w:t>
      </w:r>
      <w:r w:rsidR="00223976">
        <w:rPr>
          <w:rFonts w:ascii="Times New Roman" w:hAnsi="Times New Roman" w:cs="Times New Roman"/>
          <w:b/>
          <w:sz w:val="24"/>
          <w:szCs w:val="24"/>
        </w:rPr>
        <w:t>рабочих</w:t>
      </w:r>
      <w:r w:rsidR="008C70C9" w:rsidRPr="000A4CDE">
        <w:rPr>
          <w:rFonts w:ascii="Times New Roman" w:hAnsi="Times New Roman" w:cs="Times New Roman"/>
          <w:b/>
          <w:sz w:val="24"/>
          <w:szCs w:val="24"/>
        </w:rPr>
        <w:t xml:space="preserve"> дней предоставить заказчику иное (новое) обеспечение исполнения Договора на тех же условиях и в том же размере.</w:t>
      </w:r>
      <w:proofErr w:type="gramEnd"/>
    </w:p>
    <w:p w:rsidR="00A83E9D" w:rsidRPr="00A83E9D" w:rsidRDefault="00A83E9D" w:rsidP="009D654F">
      <w:pPr>
        <w:shd w:val="clear" w:color="auto" w:fill="FFFFFF"/>
        <w:tabs>
          <w:tab w:val="left" w:pos="797"/>
        </w:tabs>
        <w:spacing w:after="0" w:line="240" w:lineRule="auto"/>
        <w:jc w:val="both"/>
        <w:rPr>
          <w:rFonts w:ascii="Times New Roman" w:hAnsi="Times New Roman" w:cs="Times New Roman"/>
          <w:b/>
          <w:sz w:val="24"/>
          <w:szCs w:val="24"/>
        </w:rPr>
      </w:pPr>
      <w:r w:rsidRPr="00A83E9D">
        <w:rPr>
          <w:rFonts w:ascii="Times New Roman" w:hAnsi="Times New Roman" w:cs="Times New Roman"/>
          <w:b/>
          <w:bCs/>
          <w:sz w:val="24"/>
          <w:szCs w:val="24"/>
        </w:rPr>
        <w:t>6.</w:t>
      </w:r>
      <w:r w:rsidR="000B7635">
        <w:rPr>
          <w:rFonts w:ascii="Times New Roman" w:hAnsi="Times New Roman" w:cs="Times New Roman"/>
          <w:b/>
          <w:bCs/>
          <w:sz w:val="24"/>
          <w:szCs w:val="24"/>
        </w:rPr>
        <w:t>7</w:t>
      </w:r>
      <w:r w:rsidRPr="00A83E9D">
        <w:rPr>
          <w:rFonts w:ascii="Times New Roman" w:hAnsi="Times New Roman" w:cs="Times New Roman"/>
          <w:b/>
          <w:bCs/>
          <w:sz w:val="24"/>
          <w:szCs w:val="24"/>
        </w:rPr>
        <w:t xml:space="preserve">. В случае нарушения Поставщиком условий договора </w:t>
      </w:r>
      <w:r w:rsidRPr="00A83E9D">
        <w:rPr>
          <w:rFonts w:ascii="Times New Roman" w:hAnsi="Times New Roman" w:cs="Times New Roman"/>
          <w:b/>
          <w:sz w:val="24"/>
          <w:szCs w:val="24"/>
        </w:rPr>
        <w:t xml:space="preserve"> </w:t>
      </w:r>
      <w:r>
        <w:rPr>
          <w:rFonts w:ascii="Times New Roman" w:hAnsi="Times New Roman" w:cs="Times New Roman"/>
          <w:b/>
          <w:sz w:val="24"/>
          <w:szCs w:val="24"/>
        </w:rPr>
        <w:t>(отказ</w:t>
      </w:r>
      <w:r w:rsidRPr="00A83E9D">
        <w:rPr>
          <w:rFonts w:ascii="Times New Roman" w:hAnsi="Times New Roman" w:cs="Times New Roman"/>
          <w:b/>
          <w:sz w:val="24"/>
          <w:szCs w:val="24"/>
        </w:rPr>
        <w:t xml:space="preserve"> от поставки товара</w:t>
      </w:r>
      <w:r w:rsidRPr="00A83E9D">
        <w:rPr>
          <w:rFonts w:ascii="Times New Roman" w:hAnsi="Times New Roman" w:cs="Times New Roman"/>
          <w:b/>
          <w:iCs/>
          <w:sz w:val="24"/>
          <w:szCs w:val="24"/>
        </w:rPr>
        <w:t>)</w:t>
      </w:r>
      <w:r w:rsidRPr="00A83E9D">
        <w:rPr>
          <w:rFonts w:ascii="Times New Roman" w:hAnsi="Times New Roman" w:cs="Times New Roman"/>
          <w:b/>
          <w:sz w:val="24"/>
          <w:szCs w:val="24"/>
        </w:rPr>
        <w:t xml:space="preserve"> </w:t>
      </w:r>
      <w:r w:rsidRPr="00A83E9D">
        <w:rPr>
          <w:rFonts w:ascii="Times New Roman" w:hAnsi="Times New Roman" w:cs="Times New Roman"/>
          <w:b/>
          <w:bCs/>
          <w:sz w:val="24"/>
          <w:szCs w:val="24"/>
        </w:rPr>
        <w:t xml:space="preserve"> он теряет право требования </w:t>
      </w:r>
      <w:proofErr w:type="gramStart"/>
      <w:r w:rsidRPr="00A83E9D">
        <w:rPr>
          <w:rFonts w:ascii="Times New Roman" w:hAnsi="Times New Roman" w:cs="Times New Roman"/>
          <w:b/>
          <w:bCs/>
          <w:sz w:val="24"/>
          <w:szCs w:val="24"/>
        </w:rPr>
        <w:t xml:space="preserve">возврата суммы обеспечения исполнения </w:t>
      </w:r>
      <w:r w:rsidR="008C7B98">
        <w:rPr>
          <w:rFonts w:ascii="Times New Roman" w:hAnsi="Times New Roman" w:cs="Times New Roman"/>
          <w:b/>
          <w:bCs/>
          <w:sz w:val="24"/>
          <w:szCs w:val="24"/>
        </w:rPr>
        <w:t>договора</w:t>
      </w:r>
      <w:proofErr w:type="gramEnd"/>
      <w:r w:rsidRPr="00A83E9D">
        <w:rPr>
          <w:rFonts w:ascii="Times New Roman" w:hAnsi="Times New Roman" w:cs="Times New Roman"/>
          <w:b/>
          <w:bCs/>
          <w:sz w:val="24"/>
          <w:szCs w:val="24"/>
        </w:rPr>
        <w:t>.</w:t>
      </w:r>
      <w:r w:rsidRPr="00A83E9D">
        <w:rPr>
          <w:rFonts w:ascii="Times New Roman" w:hAnsi="Times New Roman" w:cs="Times New Roman"/>
          <w:b/>
          <w:sz w:val="24"/>
          <w:szCs w:val="24"/>
        </w:rPr>
        <w:t xml:space="preserve"> Заказчик обращает взыскание на сумму залога во внесудебном </w:t>
      </w:r>
      <w:proofErr w:type="gramStart"/>
      <w:r w:rsidRPr="00A83E9D">
        <w:rPr>
          <w:rFonts w:ascii="Times New Roman" w:hAnsi="Times New Roman" w:cs="Times New Roman"/>
          <w:b/>
          <w:sz w:val="24"/>
          <w:szCs w:val="24"/>
        </w:rPr>
        <w:t>порядке</w:t>
      </w:r>
      <w:proofErr w:type="gramEnd"/>
      <w:r w:rsidRPr="00A83E9D">
        <w:rPr>
          <w:rFonts w:ascii="Times New Roman" w:hAnsi="Times New Roman" w:cs="Times New Roman"/>
          <w:b/>
          <w:sz w:val="24"/>
          <w:szCs w:val="24"/>
        </w:rPr>
        <w:t xml:space="preserve"> и сумма залога переходит в собственность </w:t>
      </w:r>
      <w:r w:rsidR="008C7B98">
        <w:rPr>
          <w:rFonts w:ascii="Times New Roman" w:hAnsi="Times New Roman" w:cs="Times New Roman"/>
          <w:b/>
          <w:sz w:val="24"/>
          <w:szCs w:val="24"/>
        </w:rPr>
        <w:t>Заказчика</w:t>
      </w:r>
      <w:r w:rsidR="00060608">
        <w:rPr>
          <w:rFonts w:ascii="Times New Roman" w:hAnsi="Times New Roman" w:cs="Times New Roman"/>
          <w:b/>
          <w:sz w:val="24"/>
          <w:szCs w:val="24"/>
        </w:rPr>
        <w:t>.</w:t>
      </w:r>
    </w:p>
    <w:p w:rsidR="006A2070" w:rsidRPr="00B76065" w:rsidRDefault="008C70C9"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8C70C9">
        <w:rPr>
          <w:rFonts w:ascii="Times New Roman" w:hAnsi="Times New Roman" w:cs="Times New Roman"/>
          <w:b/>
          <w:sz w:val="24"/>
          <w:szCs w:val="24"/>
        </w:rPr>
        <w:t>6.</w:t>
      </w:r>
      <w:r w:rsidR="000B7635">
        <w:rPr>
          <w:rFonts w:ascii="Times New Roman" w:hAnsi="Times New Roman" w:cs="Times New Roman"/>
          <w:b/>
          <w:sz w:val="24"/>
          <w:szCs w:val="24"/>
        </w:rPr>
        <w:t>8</w:t>
      </w:r>
      <w:r w:rsidRPr="008C70C9">
        <w:rPr>
          <w:rFonts w:ascii="Times New Roman" w:hAnsi="Times New Roman" w:cs="Times New Roman"/>
          <w:b/>
          <w:sz w:val="24"/>
          <w:szCs w:val="24"/>
        </w:rPr>
        <w:t>.</w:t>
      </w:r>
      <w:r>
        <w:rPr>
          <w:rFonts w:ascii="Times New Roman" w:hAnsi="Times New Roman" w:cs="Times New Roman"/>
          <w:sz w:val="24"/>
          <w:szCs w:val="24"/>
        </w:rPr>
        <w:t xml:space="preserve"> </w:t>
      </w:r>
      <w:r w:rsidR="006A2070" w:rsidRPr="00B76065">
        <w:rPr>
          <w:rFonts w:ascii="Times New Roman" w:eastAsia="Times New Roman" w:hAnsi="Times New Roman" w:cs="Times New Roman"/>
          <w:sz w:val="24"/>
          <w:szCs w:val="24"/>
          <w:lang w:eastAsia="ru-RU"/>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bookmarkStart w:id="0" w:name="_GoBack"/>
      <w:bookmarkEnd w:id="0"/>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830E1A" w:rsidRPr="001B503F"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Default="00A7325A" w:rsidP="00A7325A">
      <w:pPr>
        <w:spacing w:after="0" w:line="240" w:lineRule="auto"/>
        <w:jc w:val="both"/>
        <w:rPr>
          <w:rFonts w:ascii="Times New Roman" w:eastAsia="Times New Roman" w:hAnsi="Times New Roman" w:cs="Times New Roman"/>
          <w:sz w:val="24"/>
          <w:szCs w:val="24"/>
          <w:lang w:eastAsia="ru-RU"/>
        </w:rPr>
      </w:pPr>
    </w:p>
    <w:p w:rsidR="006D12EB" w:rsidRPr="00B76065" w:rsidRDefault="006D12EB"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E56A9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375CA1" w:rsidRDefault="00375CA1" w:rsidP="009D654F">
      <w:pPr>
        <w:spacing w:after="0" w:line="240" w:lineRule="auto"/>
        <w:jc w:val="center"/>
        <w:rPr>
          <w:rFonts w:ascii="Times New Roman" w:eastAsia="Times New Roman" w:hAnsi="Times New Roman" w:cs="Times New Roman"/>
          <w:b/>
          <w:bCs/>
          <w:color w:val="000000"/>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0A4CDE" w:rsidTr="0013719E">
        <w:tc>
          <w:tcPr>
            <w:tcW w:w="4781" w:type="dxa"/>
          </w:tcPr>
          <w:p w:rsidR="000A4CDE" w:rsidRPr="0013719E" w:rsidRDefault="000A4CDE" w:rsidP="009D654F">
            <w:pPr>
              <w:jc w:val="center"/>
              <w:rPr>
                <w:rFonts w:ascii="Times New Roman" w:hAnsi="Times New Roman" w:cs="Times New Roman"/>
                <w:b/>
                <w:color w:val="000000"/>
                <w:sz w:val="24"/>
                <w:u w:val="single"/>
              </w:rPr>
            </w:pPr>
            <w:r w:rsidRPr="0013719E">
              <w:rPr>
                <w:rFonts w:ascii="Times New Roman" w:hAnsi="Times New Roman" w:cs="Times New Roman"/>
                <w:b/>
                <w:color w:val="000000"/>
                <w:sz w:val="24"/>
                <w:u w:val="single"/>
              </w:rPr>
              <w:t>Заказчик</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r w:rsidRPr="0013719E">
              <w:rPr>
                <w:rFonts w:ascii="Times New Roman" w:hAnsi="Times New Roman" w:cs="Times New Roman"/>
                <w:b/>
                <w:snapToGrid w:val="0"/>
                <w:sz w:val="24"/>
                <w:u w:val="single"/>
              </w:rPr>
              <w:t>Поставщик</w:t>
            </w: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МБУЗ «ГССМП»</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Главный врач </w:t>
            </w: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___________________________Е.В.Камкин</w:t>
            </w:r>
          </w:p>
          <w:p w:rsidR="000A4CDE" w:rsidRPr="000A4CDE" w:rsidRDefault="000A4CDE" w:rsidP="000A4CDE">
            <w:pPr>
              <w:rPr>
                <w:rFonts w:ascii="Times New Roman" w:eastAsia="Times New Roman" w:hAnsi="Times New Roman" w:cs="Times New Roman"/>
                <w:bCs/>
                <w:color w:val="000000"/>
                <w:sz w:val="24"/>
                <w:szCs w:val="24"/>
                <w:lang w:eastAsia="ru-RU"/>
              </w:rPr>
            </w:pPr>
            <w:r w:rsidRPr="000A4CDE">
              <w:rPr>
                <w:rFonts w:ascii="Times New Roman" w:eastAsia="Times New Roman" w:hAnsi="Times New Roman" w:cs="Times New Roman"/>
                <w:bCs/>
                <w:color w:val="000000"/>
                <w:sz w:val="24"/>
                <w:szCs w:val="24"/>
                <w:lang w:eastAsia="ru-RU"/>
              </w:rPr>
              <w:t>МП</w:t>
            </w: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_____________________/________________/</w:t>
            </w:r>
          </w:p>
          <w:p w:rsidR="000A4CDE" w:rsidRPr="000A4CDE" w:rsidRDefault="000A4CDE" w:rsidP="000A4CD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МП</w:t>
            </w:r>
          </w:p>
        </w:tc>
      </w:tr>
    </w:tbl>
    <w:p w:rsidR="00375CA1" w:rsidRDefault="00375CA1"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4B315C" w:rsidP="00AF6CDF">
            <w:pPr>
              <w:spacing w:after="0" w:line="240" w:lineRule="auto"/>
              <w:jc w:val="center"/>
              <w:rPr>
                <w:rFonts w:ascii="Times New Roman" w:hAnsi="Times New Roman" w:cs="Times New Roman"/>
                <w:b/>
                <w:bCs/>
              </w:rPr>
            </w:pPr>
            <w:r w:rsidRPr="004B315C">
              <w:rPr>
                <w:rFonts w:ascii="Times New Roman" w:hAnsi="Times New Roman" w:cs="Times New Roman"/>
                <w:b/>
              </w:rPr>
              <w:t>Параметры и условия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37F16" w:rsidRPr="00AF6CDF" w:rsidTr="007A11A8">
        <w:tc>
          <w:tcPr>
            <w:tcW w:w="363"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c>
          <w:tcPr>
            <w:tcW w:w="2737"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pStyle w:val="4"/>
              <w:spacing w:before="0" w:after="0"/>
              <w:rPr>
                <w:b w:val="0"/>
                <w:snapToGrid w:val="0"/>
                <w:color w:val="000000"/>
                <w:sz w:val="22"/>
                <w:szCs w:val="22"/>
              </w:rPr>
            </w:pPr>
          </w:p>
        </w:tc>
        <w:tc>
          <w:tcPr>
            <w:tcW w:w="1900"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761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70"/>
    <w:rsid w:val="00006CB4"/>
    <w:rsid w:val="00011741"/>
    <w:rsid w:val="00013F96"/>
    <w:rsid w:val="00022B5D"/>
    <w:rsid w:val="00025DA0"/>
    <w:rsid w:val="00026CE6"/>
    <w:rsid w:val="0002726B"/>
    <w:rsid w:val="00032A99"/>
    <w:rsid w:val="00033EF5"/>
    <w:rsid w:val="0005306B"/>
    <w:rsid w:val="00060608"/>
    <w:rsid w:val="00070EC5"/>
    <w:rsid w:val="000A4CDE"/>
    <w:rsid w:val="000A5D5D"/>
    <w:rsid w:val="000A7CEF"/>
    <w:rsid w:val="000B1216"/>
    <w:rsid w:val="000B5303"/>
    <w:rsid w:val="000B63AB"/>
    <w:rsid w:val="000B7635"/>
    <w:rsid w:val="000E2CEC"/>
    <w:rsid w:val="000E36A2"/>
    <w:rsid w:val="000F5603"/>
    <w:rsid w:val="000F76E0"/>
    <w:rsid w:val="0010062D"/>
    <w:rsid w:val="00110943"/>
    <w:rsid w:val="00116D19"/>
    <w:rsid w:val="0013127C"/>
    <w:rsid w:val="0013719E"/>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23976"/>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3856"/>
    <w:rsid w:val="003359B8"/>
    <w:rsid w:val="003553BE"/>
    <w:rsid w:val="00375CA1"/>
    <w:rsid w:val="00377BD4"/>
    <w:rsid w:val="00382A06"/>
    <w:rsid w:val="00391F2E"/>
    <w:rsid w:val="00396F27"/>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315C"/>
    <w:rsid w:val="004B7B72"/>
    <w:rsid w:val="004C4C12"/>
    <w:rsid w:val="004D371F"/>
    <w:rsid w:val="004D5D5E"/>
    <w:rsid w:val="004E56DE"/>
    <w:rsid w:val="004F2D00"/>
    <w:rsid w:val="004F3B68"/>
    <w:rsid w:val="00506E27"/>
    <w:rsid w:val="00510C21"/>
    <w:rsid w:val="00512A9D"/>
    <w:rsid w:val="00512D5F"/>
    <w:rsid w:val="0053477A"/>
    <w:rsid w:val="00535428"/>
    <w:rsid w:val="00535C87"/>
    <w:rsid w:val="00542321"/>
    <w:rsid w:val="00543338"/>
    <w:rsid w:val="00551CE7"/>
    <w:rsid w:val="00553BBB"/>
    <w:rsid w:val="00571D3F"/>
    <w:rsid w:val="00581D62"/>
    <w:rsid w:val="005A4B58"/>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657D"/>
    <w:rsid w:val="006A2070"/>
    <w:rsid w:val="006A20FE"/>
    <w:rsid w:val="006B26E3"/>
    <w:rsid w:val="006B2704"/>
    <w:rsid w:val="006C01D0"/>
    <w:rsid w:val="006C05B8"/>
    <w:rsid w:val="006C5989"/>
    <w:rsid w:val="006D12EB"/>
    <w:rsid w:val="006D4C04"/>
    <w:rsid w:val="006E529E"/>
    <w:rsid w:val="006E58B7"/>
    <w:rsid w:val="006E5F50"/>
    <w:rsid w:val="006F3E2D"/>
    <w:rsid w:val="006F6C72"/>
    <w:rsid w:val="00703477"/>
    <w:rsid w:val="0070418C"/>
    <w:rsid w:val="00714DC4"/>
    <w:rsid w:val="0075062A"/>
    <w:rsid w:val="00753D8A"/>
    <w:rsid w:val="00756FD8"/>
    <w:rsid w:val="00761A78"/>
    <w:rsid w:val="007659D8"/>
    <w:rsid w:val="00774E55"/>
    <w:rsid w:val="00775B75"/>
    <w:rsid w:val="007A11A8"/>
    <w:rsid w:val="007A1618"/>
    <w:rsid w:val="007A1FF3"/>
    <w:rsid w:val="007A3A42"/>
    <w:rsid w:val="007B16B7"/>
    <w:rsid w:val="007B47FE"/>
    <w:rsid w:val="007E421B"/>
    <w:rsid w:val="007E4757"/>
    <w:rsid w:val="007E53FF"/>
    <w:rsid w:val="008009AD"/>
    <w:rsid w:val="00830E1A"/>
    <w:rsid w:val="00864E2D"/>
    <w:rsid w:val="008A67AE"/>
    <w:rsid w:val="008A763C"/>
    <w:rsid w:val="008B7C4C"/>
    <w:rsid w:val="008C032A"/>
    <w:rsid w:val="008C5B51"/>
    <w:rsid w:val="008C70C9"/>
    <w:rsid w:val="008C7B98"/>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83E9D"/>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5401"/>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BC"/>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56A98"/>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5D62"/>
    <w:rsid w:val="00F9694B"/>
    <w:rsid w:val="00FA0C79"/>
    <w:rsid w:val="00FB714F"/>
    <w:rsid w:val="00FC57D5"/>
    <w:rsid w:val="00FC7B1B"/>
    <w:rsid w:val="00FD3CE2"/>
    <w:rsid w:val="00FD51E3"/>
    <w:rsid w:val="00FE036B"/>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1475</Words>
  <Characters>8411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2</cp:revision>
  <cp:lastPrinted>2012-07-11T09:22:00Z</cp:lastPrinted>
  <dcterms:created xsi:type="dcterms:W3CDTF">2012-10-01T07:14:00Z</dcterms:created>
  <dcterms:modified xsi:type="dcterms:W3CDTF">2012-10-01T07:14:00Z</dcterms:modified>
</cp:coreProperties>
</file>