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A2" w:rsidRPr="007300A2" w:rsidRDefault="007300A2" w:rsidP="007300A2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 xml:space="preserve">Приложение № 1 к документации </w:t>
      </w:r>
    </w:p>
    <w:p w:rsidR="007300A2" w:rsidRPr="007300A2" w:rsidRDefault="007300A2" w:rsidP="007300A2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>об открытом аукционе в электронной форме</w:t>
      </w:r>
    </w:p>
    <w:p w:rsidR="007300A2" w:rsidRPr="007300A2" w:rsidRDefault="007300A2" w:rsidP="007300A2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>от «</w:t>
      </w:r>
      <w:r w:rsidR="00356F61">
        <w:rPr>
          <w:sz w:val="24"/>
          <w:szCs w:val="24"/>
        </w:rPr>
        <w:t>07</w:t>
      </w:r>
      <w:r w:rsidRPr="007300A2">
        <w:rPr>
          <w:sz w:val="24"/>
          <w:szCs w:val="24"/>
        </w:rPr>
        <w:t xml:space="preserve">» </w:t>
      </w:r>
      <w:r w:rsidR="00356F61">
        <w:rPr>
          <w:sz w:val="24"/>
          <w:szCs w:val="24"/>
        </w:rPr>
        <w:t>ноя</w:t>
      </w:r>
      <w:r w:rsidR="000F0A2B">
        <w:rPr>
          <w:sz w:val="24"/>
          <w:szCs w:val="24"/>
        </w:rPr>
        <w:t>бря</w:t>
      </w:r>
      <w:r w:rsidRPr="007300A2">
        <w:rPr>
          <w:sz w:val="24"/>
          <w:szCs w:val="24"/>
        </w:rPr>
        <w:t xml:space="preserve"> 2012 г. №</w:t>
      </w:r>
      <w:r w:rsidR="00356F61">
        <w:rPr>
          <w:sz w:val="24"/>
          <w:szCs w:val="24"/>
        </w:rPr>
        <w:t xml:space="preserve"> 0856300000212000095</w:t>
      </w:r>
      <w:bookmarkStart w:id="0" w:name="_GoBack"/>
      <w:bookmarkEnd w:id="0"/>
    </w:p>
    <w:p w:rsidR="007300A2" w:rsidRPr="007300A2" w:rsidRDefault="007300A2" w:rsidP="007300A2">
      <w:pPr>
        <w:jc w:val="right"/>
        <w:rPr>
          <w:sz w:val="24"/>
          <w:szCs w:val="24"/>
        </w:rPr>
      </w:pPr>
      <w:proofErr w:type="gramStart"/>
      <w:r w:rsidRPr="007300A2">
        <w:rPr>
          <w:sz w:val="24"/>
          <w:szCs w:val="24"/>
        </w:rPr>
        <w:t xml:space="preserve">(Приложение №1 к муниципальному контракту </w:t>
      </w:r>
      <w:proofErr w:type="gramEnd"/>
    </w:p>
    <w:p w:rsidR="007300A2" w:rsidRPr="007300A2" w:rsidRDefault="007300A2" w:rsidP="007300A2">
      <w:pPr>
        <w:jc w:val="right"/>
        <w:rPr>
          <w:b/>
          <w:sz w:val="24"/>
          <w:szCs w:val="24"/>
        </w:rPr>
      </w:pPr>
      <w:r w:rsidRPr="007300A2">
        <w:rPr>
          <w:sz w:val="24"/>
          <w:szCs w:val="24"/>
        </w:rPr>
        <w:t>от «___» ___________ 2012 г. №__________)</w:t>
      </w:r>
    </w:p>
    <w:p w:rsidR="009C2418" w:rsidRPr="001F761D" w:rsidRDefault="009C2418" w:rsidP="009C2418">
      <w:pPr>
        <w:jc w:val="right"/>
        <w:rPr>
          <w:sz w:val="24"/>
          <w:szCs w:val="24"/>
        </w:rPr>
      </w:pPr>
    </w:p>
    <w:p w:rsidR="009C2418" w:rsidRPr="00FC3364" w:rsidRDefault="009C2418" w:rsidP="009C2418">
      <w:pPr>
        <w:ind w:firstLine="567"/>
        <w:jc w:val="right"/>
        <w:rPr>
          <w:sz w:val="28"/>
          <w:szCs w:val="28"/>
          <w:highlight w:val="yellow"/>
        </w:rPr>
      </w:pPr>
    </w:p>
    <w:p w:rsidR="009C2418" w:rsidRPr="003A0C2A" w:rsidRDefault="009C2418" w:rsidP="009C2418">
      <w:pPr>
        <w:pStyle w:val="31"/>
        <w:keepNext w:val="0"/>
        <w:ind w:left="709" w:right="708"/>
        <w:jc w:val="center"/>
        <w:rPr>
          <w:b/>
        </w:rPr>
      </w:pPr>
      <w:r w:rsidRPr="003A0C2A">
        <w:rPr>
          <w:b/>
        </w:rPr>
        <w:t xml:space="preserve">Техническое задание </w:t>
      </w:r>
    </w:p>
    <w:p w:rsidR="009C2418" w:rsidRDefault="009C2418" w:rsidP="00E264CF">
      <w:pPr>
        <w:pStyle w:val="31"/>
        <w:keepNext w:val="0"/>
        <w:ind w:left="709" w:right="708"/>
        <w:jc w:val="center"/>
      </w:pPr>
      <w:r w:rsidRPr="003A0C2A">
        <w:t xml:space="preserve">на </w:t>
      </w:r>
      <w:r>
        <w:t xml:space="preserve">выполнение работ по </w:t>
      </w:r>
      <w:r w:rsidR="00E264CF">
        <w:t xml:space="preserve">реконструкции светофорных объектов. </w:t>
      </w:r>
    </w:p>
    <w:p w:rsidR="00B135E0" w:rsidRPr="00B135E0" w:rsidRDefault="00B135E0" w:rsidP="00B135E0"/>
    <w:p w:rsidR="009C2418" w:rsidRPr="003A0C2A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rPr>
          <w:b/>
        </w:rPr>
      </w:pPr>
      <w:r w:rsidRPr="003A0C2A">
        <w:rPr>
          <w:b/>
        </w:rPr>
        <w:t>Разработка проектной документации</w:t>
      </w:r>
      <w:r w:rsidR="007300A2">
        <w:rPr>
          <w:b/>
        </w:rPr>
        <w:t>.</w:t>
      </w:r>
    </w:p>
    <w:p w:rsidR="006D7E57" w:rsidRDefault="00465F24" w:rsidP="006D7E57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B905C3">
        <w:t xml:space="preserve">Разработать проект организации дорожного движения </w:t>
      </w:r>
      <w:r w:rsidRPr="00A85B83">
        <w:t>на ул</w:t>
      </w:r>
      <w:r w:rsidR="004C6BE3" w:rsidRPr="00A85B83">
        <w:t>.</w:t>
      </w:r>
      <w:r w:rsidR="0017319F" w:rsidRPr="00A85B83">
        <w:t xml:space="preserve"> </w:t>
      </w:r>
      <w:r w:rsidR="00C160B9" w:rsidRPr="00A85B83">
        <w:t>Героев Хасана</w:t>
      </w:r>
      <w:r w:rsidR="00A36749" w:rsidRPr="00A85B83">
        <w:t>, вблизи дом</w:t>
      </w:r>
      <w:r w:rsidR="00BD1969" w:rsidRPr="00A85B83">
        <w:t>а</w:t>
      </w:r>
      <w:r w:rsidR="00B905C3" w:rsidRPr="00A85B83">
        <w:t xml:space="preserve"> </w:t>
      </w:r>
      <w:r w:rsidR="00C160B9" w:rsidRPr="00A85B83">
        <w:t>34</w:t>
      </w:r>
      <w:r w:rsidR="009F0C51" w:rsidRPr="00A85B83">
        <w:t xml:space="preserve"> в Свердловском районе города Перми</w:t>
      </w:r>
      <w:r w:rsidR="004E6399" w:rsidRPr="00A85B83">
        <w:t xml:space="preserve"> (далее–проект</w:t>
      </w:r>
      <w:r w:rsidR="004E6399">
        <w:t>)</w:t>
      </w:r>
      <w:r w:rsidR="00A36749" w:rsidRPr="00B905C3">
        <w:t>, предусматривающий</w:t>
      </w:r>
      <w:r w:rsidR="006814ED" w:rsidRPr="00B905C3">
        <w:t xml:space="preserve"> </w:t>
      </w:r>
      <w:r w:rsidR="00A36749" w:rsidRPr="00B905C3">
        <w:t>у</w:t>
      </w:r>
      <w:r w:rsidRPr="00B905C3">
        <w:t>станов</w:t>
      </w:r>
      <w:r w:rsidR="00A36749" w:rsidRPr="00B905C3">
        <w:t>ку</w:t>
      </w:r>
      <w:r w:rsidRPr="00B905C3">
        <w:t xml:space="preserve"> </w:t>
      </w:r>
      <w:r w:rsidR="007300A2">
        <w:t>дополнительных пешеходных</w:t>
      </w:r>
      <w:r w:rsidR="00C160B9">
        <w:t xml:space="preserve"> светофоров через технологический проезд</w:t>
      </w:r>
      <w:r w:rsidR="009F0C51">
        <w:t>,</w:t>
      </w:r>
      <w:r w:rsidR="009F0C51" w:rsidRPr="009F0C51">
        <w:t xml:space="preserve"> </w:t>
      </w:r>
      <w:r w:rsidR="009F0C51" w:rsidRPr="00185D84">
        <w:t xml:space="preserve">в соответствии с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</w:t>
      </w:r>
      <w:r w:rsidR="009F0C51" w:rsidRPr="00942D01">
        <w:t xml:space="preserve">ГОСТ </w:t>
      </w:r>
      <w:proofErr w:type="gramStart"/>
      <w:r w:rsidR="009F0C51" w:rsidRPr="00942D01">
        <w:t>Р</w:t>
      </w:r>
      <w:proofErr w:type="gramEnd"/>
      <w:r w:rsidR="009F0C51" w:rsidRPr="00942D01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</w:t>
      </w:r>
      <w:r w:rsidR="009F0C51" w:rsidRPr="00185D84">
        <w:t xml:space="preserve">и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52290-2004 «Технические средства организации движения. знаки дорожные. Общие технические требования</w:t>
      </w:r>
      <w:r w:rsidR="009F0C51" w:rsidRPr="00A14488">
        <w:t>».</w:t>
      </w:r>
      <w:r w:rsidR="001D717C" w:rsidRPr="001D717C">
        <w:t xml:space="preserve"> </w:t>
      </w:r>
      <w:r w:rsidR="001D717C" w:rsidRPr="00A14488">
        <w:t>Согласовать проект с отделом ГИБДД У</w:t>
      </w:r>
      <w:r w:rsidR="00BA20DD">
        <w:t>правления М</w:t>
      </w:r>
      <w:r w:rsidR="001D717C" w:rsidRPr="00A14488">
        <w:t>ВД по городу Перми</w:t>
      </w:r>
      <w:r w:rsidR="001D717C">
        <w:t>,</w:t>
      </w:r>
      <w:r w:rsidR="001D717C" w:rsidRPr="001D717C">
        <w:t xml:space="preserve"> </w:t>
      </w:r>
      <w:r w:rsidR="001D717C" w:rsidRPr="00A14488">
        <w:t>балансодержателем автодороги, утвердить у Заказчика</w:t>
      </w:r>
      <w:r w:rsidR="001D717C">
        <w:t>.</w:t>
      </w:r>
    </w:p>
    <w:p w:rsidR="00141A70" w:rsidRPr="00C160B9" w:rsidRDefault="00C160B9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  <w:rPr>
          <w:color w:val="FF0000"/>
        </w:rPr>
      </w:pPr>
      <w:r w:rsidRPr="00B905C3">
        <w:t>Разработать проект организации дорожного движения</w:t>
      </w:r>
      <w:r w:rsidR="00141A70" w:rsidRPr="007D1619">
        <w:t xml:space="preserve"> светофорн</w:t>
      </w:r>
      <w:r w:rsidR="001D717C">
        <w:t>ого</w:t>
      </w:r>
      <w:r w:rsidR="00141A70" w:rsidRPr="007D1619">
        <w:t xml:space="preserve"> объект</w:t>
      </w:r>
      <w:r w:rsidR="001D717C">
        <w:t>а</w:t>
      </w:r>
      <w:r w:rsidR="00141A70" w:rsidRPr="007D1619">
        <w:t xml:space="preserve"> </w:t>
      </w:r>
      <w:r w:rsidR="001D717C" w:rsidRPr="00A85B83">
        <w:t>Комсомольский проспект</w:t>
      </w:r>
      <w:r w:rsidR="007300A2" w:rsidRPr="00A85B83">
        <w:t xml:space="preserve"> </w:t>
      </w:r>
      <w:r w:rsidR="001D717C" w:rsidRPr="00A85B83">
        <w:t>- ул. Советская в Ленинской районе города Перми</w:t>
      </w:r>
      <w:r w:rsidR="00A85B83">
        <w:t xml:space="preserve"> </w:t>
      </w:r>
      <w:r w:rsidR="004E6399">
        <w:t>(далее–проект)</w:t>
      </w:r>
      <w:r w:rsidR="001D717C">
        <w:t>, предусматривающий установку дополнительного транспортного светофора</w:t>
      </w:r>
      <w:r w:rsidR="005A3F8A">
        <w:t xml:space="preserve">, предусматривающего введения фазы с отсечкой транспортных средств по направлению от ул. </w:t>
      </w:r>
      <w:r w:rsidR="00607A31">
        <w:t>Монастырская</w:t>
      </w:r>
      <w:r w:rsidR="005A3F8A">
        <w:t xml:space="preserve"> по Комсомольскому проспекту</w:t>
      </w:r>
      <w:r w:rsidR="001D717C">
        <w:t xml:space="preserve">, </w:t>
      </w:r>
      <w:r w:rsidR="00141A70" w:rsidRPr="007D1619">
        <w:t xml:space="preserve"> </w:t>
      </w:r>
      <w:r w:rsidR="001C41CF" w:rsidRPr="00185D84">
        <w:t xml:space="preserve">в соответствии с ГОСТ </w:t>
      </w:r>
      <w:proofErr w:type="gramStart"/>
      <w:r w:rsidR="001C41CF" w:rsidRPr="00185D84">
        <w:t>Р</w:t>
      </w:r>
      <w:proofErr w:type="gramEnd"/>
      <w:r w:rsidR="001C41CF"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</w:t>
      </w:r>
      <w:r w:rsidR="001C41CF" w:rsidRPr="00942D01">
        <w:t xml:space="preserve">ГОСТ </w:t>
      </w:r>
      <w:proofErr w:type="gramStart"/>
      <w:r w:rsidR="001C41CF" w:rsidRPr="00942D01">
        <w:t>Р</w:t>
      </w:r>
      <w:proofErr w:type="gramEnd"/>
      <w:r w:rsidR="001C41CF" w:rsidRPr="00942D01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</w:t>
      </w:r>
      <w:r w:rsidR="001C41CF" w:rsidRPr="00185D84">
        <w:t xml:space="preserve">и ГОСТ </w:t>
      </w:r>
      <w:proofErr w:type="gramStart"/>
      <w:r w:rsidR="001C41CF" w:rsidRPr="00185D84">
        <w:t>Р</w:t>
      </w:r>
      <w:proofErr w:type="gramEnd"/>
      <w:r w:rsidR="001C41CF" w:rsidRPr="00185D84">
        <w:t xml:space="preserve"> 52290-2004 «Технические средства организации движения. знаки дорожные. Общие технические требования</w:t>
      </w:r>
      <w:r w:rsidR="001C41CF" w:rsidRPr="00A14488">
        <w:t xml:space="preserve">». Согласовать проект с отделом ГИБДД </w:t>
      </w:r>
      <w:r w:rsidR="00BA20DD" w:rsidRPr="00A14488">
        <w:t>У</w:t>
      </w:r>
      <w:r w:rsidR="00BA20DD">
        <w:t>правления М</w:t>
      </w:r>
      <w:r w:rsidR="00BA20DD" w:rsidRPr="00A14488">
        <w:t>ВД</w:t>
      </w:r>
      <w:r w:rsidR="001C41CF" w:rsidRPr="00A14488">
        <w:t xml:space="preserve"> по городу Перми</w:t>
      </w:r>
      <w:r w:rsidR="001D717C">
        <w:t>,</w:t>
      </w:r>
      <w:r w:rsidR="001D717C" w:rsidRPr="001D717C">
        <w:t xml:space="preserve"> </w:t>
      </w:r>
      <w:r w:rsidR="001D717C" w:rsidRPr="00A14488">
        <w:t>балансодержателем автодороги, утвердить у Заказчика</w:t>
      </w:r>
      <w:r w:rsidR="00E906DC">
        <w:t xml:space="preserve">. </w:t>
      </w:r>
    </w:p>
    <w:p w:rsidR="00C160B9" w:rsidRPr="00C160B9" w:rsidRDefault="00C160B9" w:rsidP="00C160B9">
      <w:pPr>
        <w:pStyle w:val="ac"/>
        <w:numPr>
          <w:ilvl w:val="1"/>
          <w:numId w:val="3"/>
        </w:numPr>
        <w:rPr>
          <w:rFonts w:eastAsia="Calibri"/>
          <w:sz w:val="24"/>
          <w:szCs w:val="24"/>
        </w:rPr>
      </w:pPr>
      <w:r w:rsidRPr="00C160B9">
        <w:rPr>
          <w:rFonts w:eastAsia="Calibri"/>
          <w:sz w:val="24"/>
          <w:szCs w:val="24"/>
        </w:rPr>
        <w:t>Получить технические условия на проведение работ от всех собственников объектов, попадающих в зону проведения работ.</w:t>
      </w:r>
    </w:p>
    <w:p w:rsidR="00C160B9" w:rsidRPr="00465F24" w:rsidRDefault="00C160B9" w:rsidP="00C160B9">
      <w:pPr>
        <w:pStyle w:val="40"/>
        <w:spacing w:line="320" w:lineRule="exact"/>
        <w:ind w:left="792"/>
        <w:contextualSpacing/>
        <w:jc w:val="both"/>
        <w:rPr>
          <w:color w:val="FF0000"/>
        </w:rPr>
      </w:pPr>
    </w:p>
    <w:p w:rsidR="009C2418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jc w:val="both"/>
      </w:pPr>
      <w:r w:rsidRPr="000B699E">
        <w:rPr>
          <w:b/>
        </w:rPr>
        <w:t>Место выполнения работ</w:t>
      </w:r>
      <w:r>
        <w:t>.</w:t>
      </w:r>
    </w:p>
    <w:p w:rsidR="009C2418" w:rsidRDefault="009C2418" w:rsidP="00E264CF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Выполнить установку</w:t>
      </w:r>
      <w:r w:rsidR="00C36F38">
        <w:t xml:space="preserve"> </w:t>
      </w:r>
      <w:r w:rsidR="007D1619">
        <w:t>светофор</w:t>
      </w:r>
      <w:r w:rsidR="001D717C">
        <w:t>ов</w:t>
      </w:r>
      <w:r w:rsidR="00C36F38">
        <w:t xml:space="preserve"> в количестве 7 шт.</w:t>
      </w:r>
      <w:r w:rsidR="001D717C">
        <w:t xml:space="preserve"> типа </w:t>
      </w:r>
      <w:r w:rsidR="001D717C" w:rsidRPr="004E6399">
        <w:t>Т.3</w:t>
      </w:r>
      <w:r w:rsidR="00E264CF">
        <w:t xml:space="preserve"> </w:t>
      </w:r>
      <w:r w:rsidR="001D717C">
        <w:t>в качестве повторителей сигналов основных светофоров</w:t>
      </w:r>
      <w:r w:rsidR="009F0C51">
        <w:t xml:space="preserve">, </w:t>
      </w:r>
      <w:r w:rsidR="009F0C51" w:rsidRPr="00185D84">
        <w:t xml:space="preserve">в соответствии с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</w:t>
      </w:r>
      <w:r w:rsidR="00C36F38">
        <w:br/>
      </w:r>
      <w:r w:rsidR="009F0C51" w:rsidRPr="00185D84">
        <w:t xml:space="preserve">№ 1), </w:t>
      </w:r>
      <w:r w:rsidR="009F0C51" w:rsidRPr="00942D01">
        <w:t xml:space="preserve">ГОСТ </w:t>
      </w:r>
      <w:proofErr w:type="gramStart"/>
      <w:r w:rsidR="009F0C51" w:rsidRPr="00942D01">
        <w:t>Р</w:t>
      </w:r>
      <w:proofErr w:type="gramEnd"/>
      <w:r w:rsidR="009F0C51" w:rsidRPr="00942D01">
        <w:t xml:space="preserve"> 52282-2004 «Технические средства организации дорожного </w:t>
      </w:r>
      <w:r w:rsidR="009F0C51" w:rsidRPr="00942D01">
        <w:lastRenderedPageBreak/>
        <w:t xml:space="preserve">движения. Светофоры дорожные. Типы, основные параметры, общие технические требования, методы испытаний» </w:t>
      </w:r>
      <w:r w:rsidR="009F0C51" w:rsidRPr="00185D84">
        <w:t xml:space="preserve">и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52290-2004 «Технические средства организации движения. знаки дорожные. Общие технические требования</w:t>
      </w:r>
      <w:r w:rsidR="009F0C51">
        <w:t>»,</w:t>
      </w:r>
      <w:r w:rsidR="001D717C">
        <w:t xml:space="preserve"> </w:t>
      </w:r>
      <w:r w:rsidR="00E264CF">
        <w:t xml:space="preserve">на </w:t>
      </w:r>
      <w:r w:rsidR="009F0C51">
        <w:t>перекрестках</w:t>
      </w:r>
      <w:r w:rsidR="001D717C">
        <w:t>:</w:t>
      </w:r>
    </w:p>
    <w:p w:rsidR="001D717C" w:rsidRDefault="001D717C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ул.</w:t>
      </w:r>
      <w:r w:rsidR="007300A2">
        <w:t xml:space="preserve"> </w:t>
      </w:r>
      <w:r>
        <w:t>Островского и ул.</w:t>
      </w:r>
      <w:r w:rsidR="007300A2">
        <w:t xml:space="preserve"> </w:t>
      </w:r>
      <w:r>
        <w:t>Революции</w:t>
      </w:r>
      <w:r w:rsidR="00ED51E2">
        <w:t xml:space="preserve"> – 2 шт.</w:t>
      </w:r>
      <w:r>
        <w:t>;</w:t>
      </w:r>
    </w:p>
    <w:p w:rsidR="001D717C" w:rsidRDefault="001D717C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ул.</w:t>
      </w:r>
      <w:r w:rsidR="00B135E0">
        <w:t xml:space="preserve"> </w:t>
      </w:r>
      <w:r>
        <w:t>Екатерининская и ул.</w:t>
      </w:r>
      <w:r w:rsidR="007300A2">
        <w:t xml:space="preserve"> </w:t>
      </w:r>
      <w:r>
        <w:t>Хохрякова</w:t>
      </w:r>
      <w:r w:rsidR="00ED51E2">
        <w:t>- 1 шт.</w:t>
      </w:r>
      <w:r>
        <w:t>;</w:t>
      </w:r>
    </w:p>
    <w:p w:rsidR="001D717C" w:rsidRDefault="00ED51E2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Комсомольский проспект и ул.</w:t>
      </w:r>
      <w:r w:rsidR="007300A2">
        <w:t xml:space="preserve"> </w:t>
      </w:r>
      <w:proofErr w:type="gramStart"/>
      <w:r>
        <w:t>Советская</w:t>
      </w:r>
      <w:proofErr w:type="gramEnd"/>
      <w:r>
        <w:t>- 1 шт.;</w:t>
      </w:r>
    </w:p>
    <w:p w:rsidR="00ED51E2" w:rsidRDefault="00ED51E2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ул.</w:t>
      </w:r>
      <w:r w:rsidR="007300A2">
        <w:t xml:space="preserve"> </w:t>
      </w:r>
      <w:proofErr w:type="spellStart"/>
      <w:r>
        <w:t>Юрша</w:t>
      </w:r>
      <w:proofErr w:type="spellEnd"/>
      <w:r>
        <w:t xml:space="preserve"> и ул.</w:t>
      </w:r>
      <w:r w:rsidR="007300A2">
        <w:t xml:space="preserve"> </w:t>
      </w:r>
      <w:proofErr w:type="spellStart"/>
      <w:r>
        <w:t>Уинская</w:t>
      </w:r>
      <w:proofErr w:type="spellEnd"/>
      <w:r>
        <w:t>- 2 шт.;</w:t>
      </w:r>
    </w:p>
    <w:p w:rsidR="00ED51E2" w:rsidRDefault="00ED51E2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Комсомольский проспект и ул.</w:t>
      </w:r>
      <w:r w:rsidR="007300A2">
        <w:t xml:space="preserve"> </w:t>
      </w:r>
      <w:r>
        <w:t>Пушкина- 1 шт.</w:t>
      </w:r>
    </w:p>
    <w:p w:rsidR="001D717C" w:rsidRDefault="007300A2" w:rsidP="001D717C">
      <w:pPr>
        <w:pStyle w:val="40"/>
        <w:spacing w:line="320" w:lineRule="exact"/>
        <w:ind w:left="360"/>
        <w:contextualSpacing/>
        <w:jc w:val="both"/>
      </w:pPr>
      <w:r>
        <w:t xml:space="preserve">Непосредственное </w:t>
      </w:r>
      <w:r w:rsidR="0033174F">
        <w:t xml:space="preserve">место установки светофоров типа Т.3 </w:t>
      </w:r>
      <w:r w:rsidR="000D230A">
        <w:t>на вышеперечисленных перекрестках указывает Заказчик</w:t>
      </w:r>
      <w:r w:rsidR="0033174F">
        <w:t>.</w:t>
      </w:r>
    </w:p>
    <w:p w:rsidR="00465F24" w:rsidRDefault="00465F24" w:rsidP="00E264CF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Установить</w:t>
      </w:r>
      <w:r w:rsidR="004E6399">
        <w:t xml:space="preserve"> </w:t>
      </w:r>
      <w:r w:rsidR="0033174F" w:rsidRPr="004E6399">
        <w:t>пешеход</w:t>
      </w:r>
      <w:r w:rsidR="007300A2" w:rsidRPr="004E6399">
        <w:t>ные светофоры</w:t>
      </w:r>
      <w:r w:rsidR="007300A2">
        <w:t xml:space="preserve"> в количестве 2 шт.</w:t>
      </w:r>
      <w:r>
        <w:t xml:space="preserve"> </w:t>
      </w:r>
      <w:r w:rsidRPr="007D1619">
        <w:t>на</w:t>
      </w:r>
      <w:r w:rsidR="0033174F">
        <w:t xml:space="preserve"> светофорном объекте</w:t>
      </w:r>
      <w:r w:rsidRPr="007D1619">
        <w:t xml:space="preserve"> ул. </w:t>
      </w:r>
      <w:r w:rsidR="0033174F">
        <w:t>Героев Хасана</w:t>
      </w:r>
      <w:r w:rsidR="004C6BE3" w:rsidRPr="007D1619">
        <w:t>, вблизи дом</w:t>
      </w:r>
      <w:r w:rsidR="00BD1969">
        <w:t>а</w:t>
      </w:r>
      <w:r w:rsidR="00A63926">
        <w:t xml:space="preserve"> </w:t>
      </w:r>
      <w:r w:rsidR="0033174F">
        <w:t>34</w:t>
      </w:r>
      <w:r w:rsidR="00A63926">
        <w:t xml:space="preserve"> </w:t>
      </w:r>
      <w:r w:rsidR="00BD1969">
        <w:t xml:space="preserve">в </w:t>
      </w:r>
      <w:r w:rsidR="0033174F">
        <w:t>Свердловском районе</w:t>
      </w:r>
      <w:r w:rsidR="00BD1969">
        <w:t xml:space="preserve"> г. Перми</w:t>
      </w:r>
      <w:r>
        <w:t>.</w:t>
      </w:r>
    </w:p>
    <w:p w:rsidR="00E264CF" w:rsidRDefault="0033174F" w:rsidP="00E264CF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Установить</w:t>
      </w:r>
      <w:r w:rsidR="004E6399" w:rsidRPr="004E6399">
        <w:t xml:space="preserve"> </w:t>
      </w:r>
      <w:r>
        <w:t>дополнительный транспортный светофор</w:t>
      </w:r>
      <w:r w:rsidR="007300A2">
        <w:t xml:space="preserve"> </w:t>
      </w:r>
      <w:r w:rsidR="007300A2" w:rsidRPr="004E6399">
        <w:t>в количестве 1 ш</w:t>
      </w:r>
      <w:r w:rsidR="004E6399" w:rsidRPr="004E6399">
        <w:t>т</w:t>
      </w:r>
      <w:r w:rsidR="007300A2" w:rsidRPr="004E6399">
        <w:t>.</w:t>
      </w:r>
      <w:r>
        <w:t xml:space="preserve"> на светофорном объекте Комсомольский проспект и ул. Советская в Ленинской районе г. Перми.</w:t>
      </w:r>
    </w:p>
    <w:p w:rsidR="00E7526C" w:rsidRDefault="00E7526C" w:rsidP="00E7526C">
      <w:pPr>
        <w:pStyle w:val="40"/>
        <w:spacing w:line="320" w:lineRule="exact"/>
        <w:ind w:left="792"/>
        <w:contextualSpacing/>
        <w:jc w:val="both"/>
      </w:pPr>
    </w:p>
    <w:p w:rsidR="009C2418" w:rsidRPr="00E60018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jc w:val="both"/>
        <w:rPr>
          <w:b/>
        </w:rPr>
      </w:pPr>
      <w:r w:rsidRPr="000B699E">
        <w:rPr>
          <w:b/>
        </w:rPr>
        <w:t>Подготовка к выполнению работ</w:t>
      </w:r>
    </w:p>
    <w:p w:rsidR="009C2418" w:rsidRDefault="009C2418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3A0C2A">
        <w:t>Разработать план про</w:t>
      </w:r>
      <w:r>
        <w:t xml:space="preserve">изводства </w:t>
      </w:r>
      <w:r w:rsidRPr="003A0C2A">
        <w:t>работ.</w:t>
      </w:r>
    </w:p>
    <w:p w:rsidR="009C2418" w:rsidRPr="00944036" w:rsidRDefault="009C2418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944036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9C2418" w:rsidRDefault="009C2418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B66D08">
        <w:t>Согласовать в установленном порядке производство земляных работ.</w:t>
      </w:r>
    </w:p>
    <w:p w:rsidR="009C2418" w:rsidRDefault="009C2418" w:rsidP="009C2418">
      <w:pPr>
        <w:pStyle w:val="40"/>
        <w:spacing w:line="320" w:lineRule="exact"/>
        <w:ind w:left="792"/>
        <w:contextualSpacing/>
        <w:jc w:val="both"/>
      </w:pPr>
    </w:p>
    <w:p w:rsidR="009C2418" w:rsidRPr="00E60018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jc w:val="both"/>
        <w:rPr>
          <w:b/>
        </w:rPr>
      </w:pPr>
      <w:r w:rsidRPr="00E60018">
        <w:rPr>
          <w:b/>
        </w:rPr>
        <w:t>Объем и технические требования к выполняемым работам</w:t>
      </w:r>
    </w:p>
    <w:p w:rsidR="00D26E0E" w:rsidRPr="004E6399" w:rsidRDefault="009C2418" w:rsidP="00D26E0E">
      <w:pPr>
        <w:pStyle w:val="40"/>
        <w:numPr>
          <w:ilvl w:val="1"/>
          <w:numId w:val="3"/>
        </w:numPr>
        <w:spacing w:line="320" w:lineRule="exact"/>
        <w:ind w:hanging="366"/>
        <w:contextualSpacing/>
        <w:jc w:val="both"/>
      </w:pPr>
      <w:r w:rsidRPr="004E6399">
        <w:t>Оборудовать светофорны</w:t>
      </w:r>
      <w:r w:rsidR="001C41CF" w:rsidRPr="004E6399">
        <w:t>й</w:t>
      </w:r>
      <w:r w:rsidRPr="004E6399">
        <w:t xml:space="preserve"> объект </w:t>
      </w:r>
      <w:r w:rsidR="00A63926" w:rsidRPr="004E6399">
        <w:t xml:space="preserve">на </w:t>
      </w:r>
      <w:r w:rsidR="000A4184" w:rsidRPr="004E6399">
        <w:t xml:space="preserve">перекрестке </w:t>
      </w:r>
      <w:r w:rsidR="0033174F" w:rsidRPr="004E6399">
        <w:t xml:space="preserve">Комсомольский проспект и ул. Советская </w:t>
      </w:r>
      <w:r w:rsidRPr="004E6399">
        <w:t>транспортным светофор</w:t>
      </w:r>
      <w:r w:rsidR="0033174F" w:rsidRPr="004E6399">
        <w:t>ом</w:t>
      </w:r>
      <w:r w:rsidRPr="004E6399">
        <w:t xml:space="preserve"> (исполнение Т</w:t>
      </w:r>
      <w:r w:rsidR="005A3F8A" w:rsidRPr="004E6399">
        <w:t>.</w:t>
      </w:r>
      <w:r w:rsidRPr="004E6399">
        <w:t xml:space="preserve">1 по ГОСТ </w:t>
      </w:r>
      <w:proofErr w:type="gramStart"/>
      <w:r w:rsidRPr="004E6399">
        <w:t>Р</w:t>
      </w:r>
      <w:proofErr w:type="gramEnd"/>
      <w:r w:rsidRPr="004E6399">
        <w:t xml:space="preserve"> 52282-2004 </w:t>
      </w:r>
      <w:r w:rsidR="00710AB6" w:rsidRPr="004E6399">
        <w:t xml:space="preserve">с </w:t>
      </w:r>
      <w:proofErr w:type="spellStart"/>
      <w:r w:rsidR="0033174F" w:rsidRPr="004E6399">
        <w:t>рассеивателями</w:t>
      </w:r>
      <w:proofErr w:type="spellEnd"/>
      <w:r w:rsidR="0033174F" w:rsidRPr="004E6399">
        <w:t xml:space="preserve"> </w:t>
      </w:r>
      <w:r w:rsidR="00710AB6" w:rsidRPr="004E6399">
        <w:t>диаметром 300</w:t>
      </w:r>
      <w:r w:rsidR="0033174F" w:rsidRPr="004E6399">
        <w:t>мм</w:t>
      </w:r>
      <w:r w:rsidRPr="004E6399">
        <w:t xml:space="preserve"> )</w:t>
      </w:r>
      <w:r w:rsidR="00B151B2" w:rsidRPr="004E6399">
        <w:t>,</w:t>
      </w:r>
      <w:r w:rsidR="00D26E0E" w:rsidRPr="004E6399">
        <w:t xml:space="preserve"> светофорный объект ул. Героев Хасана, вблизи дома </w:t>
      </w:r>
      <w:r w:rsidR="004E6399" w:rsidRPr="004E6399">
        <w:t xml:space="preserve">№ </w:t>
      </w:r>
      <w:r w:rsidR="00D26E0E" w:rsidRPr="004E6399">
        <w:t>34</w:t>
      </w:r>
      <w:r w:rsidRPr="004E6399">
        <w:t xml:space="preserve"> </w:t>
      </w:r>
      <w:r w:rsidR="004E6399" w:rsidRPr="004E6399">
        <w:t xml:space="preserve">пешеходными </w:t>
      </w:r>
      <w:r w:rsidRPr="004E6399">
        <w:t>светофорами, (исполнение П</w:t>
      </w:r>
      <w:r w:rsidR="005A3F8A" w:rsidRPr="004E6399">
        <w:t>.</w:t>
      </w:r>
      <w:r w:rsidRPr="004E6399">
        <w:t>1 по ГОСТ Р 52282-2004)</w:t>
      </w:r>
      <w:r w:rsidR="00D26E0E" w:rsidRPr="004E6399">
        <w:t>,</w:t>
      </w:r>
      <w:r w:rsidRPr="004E6399">
        <w:t xml:space="preserve"> согласно разработанной проектной документации</w:t>
      </w:r>
      <w:r w:rsidR="007300A2" w:rsidRPr="004E6399">
        <w:t>.</w:t>
      </w:r>
    </w:p>
    <w:p w:rsidR="009C2418" w:rsidRPr="00942D01" w:rsidRDefault="009C2418" w:rsidP="00D26E0E">
      <w:pPr>
        <w:pStyle w:val="40"/>
        <w:spacing w:line="320" w:lineRule="exact"/>
        <w:ind w:left="792"/>
        <w:contextualSpacing/>
        <w:jc w:val="both"/>
      </w:pPr>
      <w:r w:rsidRPr="00942D01">
        <w:t xml:space="preserve">Светофоры должны соответствовать ГОСТ </w:t>
      </w:r>
      <w:proofErr w:type="gramStart"/>
      <w:r w:rsidRPr="00942D01">
        <w:t>Р</w:t>
      </w:r>
      <w:proofErr w:type="gramEnd"/>
      <w:r w:rsidRPr="00942D01">
        <w:t xml:space="preserve"> 52282-2004, СНиП 2.05.02-85 и «Правил устройства элект</w:t>
      </w:r>
      <w:r>
        <w:t>роустановок» с</w:t>
      </w:r>
      <w:r w:rsidR="00D26E0E">
        <w:t>о следующими</w:t>
      </w:r>
      <w:r>
        <w:t xml:space="preserve"> техническими характеристиками:</w:t>
      </w:r>
    </w:p>
    <w:p w:rsidR="009C2418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Потребляемая мощность излучающего элемента не более 40 Ватт.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В качестве источников света в светофорах использовать светоизлучающие диоды.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Климатическое исполнение светофоров У</w:t>
      </w:r>
      <w:r w:rsidR="00D26E0E">
        <w:t>ХЛ</w:t>
      </w:r>
      <w:r w:rsidRPr="00942D01">
        <w:t xml:space="preserve"> по ГОСТ 15150</w:t>
      </w:r>
      <w:r>
        <w:t>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Степень защиты от воздействия внешних факторов IP</w:t>
      </w:r>
      <w:r w:rsidR="00D26E0E">
        <w:t xml:space="preserve"> 5</w:t>
      </w:r>
      <w:r w:rsidRPr="00942D01">
        <w:t>4.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Температура эксплуатации от -40°С до +45°С</w:t>
      </w:r>
      <w:r w:rsidR="000A74A1" w:rsidRPr="000A74A1">
        <w:rPr>
          <w:b/>
        </w:rPr>
        <w:t xml:space="preserve"> </w:t>
      </w:r>
      <w:r w:rsidR="000A74A1">
        <w:rPr>
          <w:b/>
        </w:rPr>
        <w:t>#</w:t>
      </w:r>
      <w:r w:rsidRPr="00942D01">
        <w:t>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 xml:space="preserve">Наработка на отказ не менее </w:t>
      </w:r>
      <w:r>
        <w:t>50 000</w:t>
      </w:r>
      <w:r w:rsidRPr="00942D01">
        <w:t xml:space="preserve"> часов</w:t>
      </w:r>
      <w:r>
        <w:t>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ind w:left="1418" w:hanging="698"/>
        <w:contextualSpacing/>
        <w:jc w:val="both"/>
      </w:pPr>
      <w:r w:rsidRPr="00942D01">
        <w:t xml:space="preserve">На светофоры  изготовителем должен быть установлен срок службы не менее </w:t>
      </w:r>
      <w:r w:rsidRPr="00215C97">
        <w:t>10 лет</w:t>
      </w:r>
      <w:r w:rsidRPr="00942D01">
        <w:t xml:space="preserve"> с даты изготовления</w:t>
      </w:r>
      <w:r>
        <w:t>.</w:t>
      </w:r>
    </w:p>
    <w:p w:rsidR="009C2418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 xml:space="preserve">На светофоры  изготовителем должен быть установлен гарантийный срок не менее </w:t>
      </w:r>
      <w:r>
        <w:t>12</w:t>
      </w:r>
      <w:r w:rsidRPr="00942D01">
        <w:t xml:space="preserve"> месяцев с момента ввода в эксплуатацию.</w:t>
      </w:r>
    </w:p>
    <w:p w:rsidR="009C2418" w:rsidRDefault="00D26E0E" w:rsidP="009C2418">
      <w:pPr>
        <w:pStyle w:val="40"/>
        <w:numPr>
          <w:ilvl w:val="1"/>
          <w:numId w:val="3"/>
        </w:numPr>
        <w:spacing w:line="320" w:lineRule="exact"/>
        <w:ind w:left="851" w:hanging="366"/>
        <w:contextualSpacing/>
        <w:jc w:val="both"/>
      </w:pPr>
      <w:r w:rsidRPr="00A85B83">
        <w:lastRenderedPageBreak/>
        <w:t xml:space="preserve">Оборудовать перекрестки, указанные в п.2.1 технического задания, светофорами </w:t>
      </w:r>
      <w:r w:rsidR="004E6399" w:rsidRPr="00A85B83">
        <w:t xml:space="preserve">типа Т.3 (по ГОСТ </w:t>
      </w:r>
      <w:proofErr w:type="gramStart"/>
      <w:r w:rsidR="004E6399" w:rsidRPr="00A85B83">
        <w:t>Р</w:t>
      </w:r>
      <w:proofErr w:type="gramEnd"/>
      <w:r w:rsidR="004E6399" w:rsidRPr="00A85B83">
        <w:t xml:space="preserve"> 52282-2004). Вышеуказанные светофоры передаются для выполнения работ </w:t>
      </w:r>
      <w:r w:rsidR="00A85B83" w:rsidRPr="00A85B83">
        <w:t xml:space="preserve">Подрядчику </w:t>
      </w:r>
      <w:r w:rsidR="004E6399" w:rsidRPr="00A85B83">
        <w:t>Заказчиком</w:t>
      </w:r>
      <w:r w:rsidR="00A85B83" w:rsidRPr="00A85B83">
        <w:t>.</w:t>
      </w:r>
      <w:r w:rsidR="004E6399" w:rsidRPr="00A85B83">
        <w:t xml:space="preserve"> </w:t>
      </w:r>
    </w:p>
    <w:p w:rsidR="00F05456" w:rsidRPr="00607A31" w:rsidRDefault="00F05456" w:rsidP="00607A31">
      <w:pPr>
        <w:pStyle w:val="40"/>
        <w:numPr>
          <w:ilvl w:val="1"/>
          <w:numId w:val="3"/>
        </w:numPr>
        <w:spacing w:line="320" w:lineRule="exact"/>
        <w:ind w:left="851" w:hanging="366"/>
        <w:contextualSpacing/>
        <w:jc w:val="both"/>
      </w:pPr>
      <w:r w:rsidRPr="00607A31">
        <w:t>Выполнение работ производится только при наличии свидетельств о допуске, выданных в установленном порядке саморегулируемой организацией, согласно 3 раздела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влияния на безопасность объектов капитального строительства</w:t>
      </w:r>
    </w:p>
    <w:p w:rsidR="00F05456" w:rsidRPr="00E44976" w:rsidRDefault="00F05456" w:rsidP="00E44976">
      <w:pPr>
        <w:spacing w:line="276" w:lineRule="auto"/>
        <w:ind w:left="851" w:hanging="142"/>
        <w:jc w:val="both"/>
        <w:rPr>
          <w:rFonts w:eastAsia="Calibri"/>
          <w:sz w:val="24"/>
          <w:szCs w:val="24"/>
        </w:rPr>
      </w:pPr>
      <w:r w:rsidRPr="00E44976">
        <w:rPr>
          <w:rFonts w:eastAsia="Calibri"/>
          <w:sz w:val="24"/>
          <w:szCs w:val="24"/>
        </w:rPr>
        <w:t xml:space="preserve"> «Виды работ по строительству, реконструкции и капитальному ремонту»:</w:t>
      </w:r>
    </w:p>
    <w:p w:rsidR="00F05456" w:rsidRPr="00E44976" w:rsidRDefault="00F05456" w:rsidP="00E44976">
      <w:pPr>
        <w:pStyle w:val="1"/>
        <w:spacing w:line="276" w:lineRule="auto"/>
        <w:ind w:left="851"/>
        <w:contextualSpacing/>
        <w:jc w:val="both"/>
      </w:pPr>
      <w:r w:rsidRPr="00E44976">
        <w:t xml:space="preserve">      -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(п. 32);</w:t>
      </w:r>
    </w:p>
    <w:p w:rsidR="004C6BE3" w:rsidRDefault="00F05456" w:rsidP="00E44976">
      <w:pPr>
        <w:pStyle w:val="1"/>
        <w:tabs>
          <w:tab w:val="left" w:pos="851"/>
        </w:tabs>
        <w:spacing w:line="276" w:lineRule="auto"/>
        <w:ind w:left="851" w:hanging="142"/>
        <w:contextualSpacing/>
        <w:jc w:val="both"/>
      </w:pPr>
      <w:r w:rsidRPr="009501C0">
        <w:t xml:space="preserve">      -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(п. 33).</w:t>
      </w:r>
      <w:r>
        <w:t xml:space="preserve">  </w:t>
      </w:r>
    </w:p>
    <w:p w:rsidR="0000627A" w:rsidRPr="00E303D6" w:rsidRDefault="0000627A" w:rsidP="00E44976">
      <w:pPr>
        <w:pStyle w:val="1"/>
        <w:tabs>
          <w:tab w:val="left" w:pos="851"/>
        </w:tabs>
        <w:spacing w:line="276" w:lineRule="auto"/>
        <w:ind w:left="851" w:hanging="142"/>
        <w:contextualSpacing/>
        <w:jc w:val="both"/>
      </w:pPr>
    </w:p>
    <w:p w:rsidR="009C2418" w:rsidRPr="00CF037A" w:rsidRDefault="009C2418" w:rsidP="00E4104C">
      <w:pPr>
        <w:pStyle w:val="40"/>
        <w:numPr>
          <w:ilvl w:val="0"/>
          <w:numId w:val="3"/>
        </w:numPr>
        <w:spacing w:line="320" w:lineRule="exact"/>
        <w:contextualSpacing/>
        <w:jc w:val="both"/>
        <w:rPr>
          <w:b/>
        </w:rPr>
      </w:pPr>
      <w:r w:rsidRPr="00CF037A">
        <w:rPr>
          <w:b/>
        </w:rPr>
        <w:t>Ввод в эксплуатацию</w:t>
      </w:r>
    </w:p>
    <w:p w:rsidR="009C2418" w:rsidRDefault="009C2418" w:rsidP="009C2418">
      <w:pPr>
        <w:pStyle w:val="40"/>
        <w:spacing w:line="320" w:lineRule="exact"/>
        <w:ind w:left="851" w:hanging="425"/>
        <w:contextualSpacing/>
        <w:jc w:val="both"/>
      </w:pPr>
      <w:r>
        <w:t>5.1. Провести пуско-наладочные работы.</w:t>
      </w:r>
    </w:p>
    <w:p w:rsidR="009C2418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Произвести запуск</w:t>
      </w:r>
      <w:r w:rsidR="00B135E0">
        <w:t xml:space="preserve"> установленного оборудования</w:t>
      </w:r>
      <w:r>
        <w:t xml:space="preserve"> в эксплуатацию.</w:t>
      </w:r>
    </w:p>
    <w:p w:rsidR="00A36749" w:rsidRPr="00661B79" w:rsidRDefault="00A36749" w:rsidP="00A36749">
      <w:pPr>
        <w:pStyle w:val="40"/>
        <w:numPr>
          <w:ilvl w:val="1"/>
          <w:numId w:val="5"/>
        </w:numPr>
        <w:spacing w:line="320" w:lineRule="exact"/>
        <w:contextualSpacing/>
        <w:jc w:val="both"/>
      </w:pPr>
      <w:r w:rsidRPr="00661B79">
        <w:t>Внести изменения в паспорт</w:t>
      </w:r>
      <w:r w:rsidR="00D26E0E">
        <w:t>а</w:t>
      </w:r>
      <w:r w:rsidRPr="00661B79">
        <w:t xml:space="preserve"> светофорн</w:t>
      </w:r>
      <w:r w:rsidR="00D26E0E">
        <w:t>ых</w:t>
      </w:r>
      <w:r w:rsidRPr="00661B79">
        <w:t xml:space="preserve"> объект</w:t>
      </w:r>
      <w:r w:rsidR="00D26E0E">
        <w:t>ов</w:t>
      </w:r>
      <w:r w:rsidRPr="00661B79">
        <w:t>, по окончании работ передать Заказчику</w:t>
      </w:r>
      <w:r w:rsidR="00A85B83">
        <w:t xml:space="preserve"> 1</w:t>
      </w:r>
      <w:r w:rsidRPr="00661B79">
        <w:t xml:space="preserve"> </w:t>
      </w:r>
      <w:r w:rsidR="002153B5">
        <w:t>экземпляр</w:t>
      </w:r>
      <w:r w:rsidRPr="00661B79">
        <w:t xml:space="preserve"> комплект</w:t>
      </w:r>
      <w:r w:rsidR="002153B5">
        <w:t>а</w:t>
      </w:r>
      <w:r w:rsidRPr="00661B79">
        <w:t xml:space="preserve"> проектной документации</w:t>
      </w:r>
      <w:r w:rsidR="002153B5">
        <w:t xml:space="preserve"> и паспорта </w:t>
      </w:r>
      <w:r w:rsidR="002153B5" w:rsidRPr="00182222">
        <w:t>светофорн</w:t>
      </w:r>
      <w:r w:rsidR="002153B5">
        <w:t>ых</w:t>
      </w:r>
      <w:r w:rsidR="002153B5" w:rsidRPr="00182222">
        <w:t xml:space="preserve"> объект</w:t>
      </w:r>
      <w:r w:rsidR="002153B5">
        <w:t>ов</w:t>
      </w:r>
      <w:r w:rsidR="00A85B83">
        <w:t>,</w:t>
      </w:r>
      <w:r w:rsidR="002153B5">
        <w:t xml:space="preserve"> с</w:t>
      </w:r>
      <w:r w:rsidR="00A85B83">
        <w:t xml:space="preserve"> соответствующими</w:t>
      </w:r>
      <w:r w:rsidR="002153B5">
        <w:t xml:space="preserve"> </w:t>
      </w:r>
      <w:r w:rsidR="00A85B83">
        <w:t>внесенными изменениями</w:t>
      </w:r>
      <w:r w:rsidRPr="00661B79">
        <w:t>.</w:t>
      </w:r>
      <w:r w:rsidR="00BD1969" w:rsidRPr="00BD1969">
        <w:t xml:space="preserve"> </w:t>
      </w:r>
      <w:r w:rsidR="00BD1969" w:rsidRPr="00182222">
        <w:t>Паспорт</w:t>
      </w:r>
      <w:r w:rsidR="002153B5">
        <w:t>а</w:t>
      </w:r>
      <w:r w:rsidR="00BD1969" w:rsidRPr="00182222">
        <w:t xml:space="preserve"> светофорн</w:t>
      </w:r>
      <w:r w:rsidR="002153B5">
        <w:t>ый</w:t>
      </w:r>
      <w:r w:rsidR="00BD1969" w:rsidRPr="00182222">
        <w:t xml:space="preserve"> объект</w:t>
      </w:r>
      <w:r w:rsidR="002153B5">
        <w:t>ов</w:t>
      </w:r>
      <w:r w:rsidR="00BD1969" w:rsidRPr="00182222">
        <w:t xml:space="preserve"> долж</w:t>
      </w:r>
      <w:r w:rsidR="002153B5">
        <w:t>ны</w:t>
      </w:r>
      <w:r w:rsidR="00BD1969" w:rsidRPr="00182222">
        <w:t xml:space="preserve"> содержать перечень установленного оборудования с </w:t>
      </w:r>
      <w:r w:rsidR="00B135E0" w:rsidRPr="00182222">
        <w:t>мест</w:t>
      </w:r>
      <w:r w:rsidR="00B135E0">
        <w:t>ами</w:t>
      </w:r>
      <w:r w:rsidR="00BD1969" w:rsidRPr="00182222">
        <w:t xml:space="preserve"> расположения оборудования и номеров производителя оборудования.</w:t>
      </w:r>
    </w:p>
    <w:p w:rsidR="009C2418" w:rsidRPr="00661B79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Установить срок тестовой эксплуатации светофорн</w:t>
      </w:r>
      <w:r w:rsidR="009D0144">
        <w:t>ых</w:t>
      </w:r>
      <w:r>
        <w:t xml:space="preserve"> объект</w:t>
      </w:r>
      <w:r w:rsidR="009D0144">
        <w:t>ов</w:t>
      </w:r>
      <w:r>
        <w:t xml:space="preserve">, в течение которого Подрядчик выполняет </w:t>
      </w:r>
      <w:r w:rsidRPr="00661B79">
        <w:t>работы по изменению режима работы светофорного объекта по требованию Заказчика  - 2 месяца с момента подписания Заказчиком акта приемки выполненных работ по установке светофорного объекта.</w:t>
      </w:r>
    </w:p>
    <w:p w:rsidR="009C2418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 w:rsidRPr="003A0C2A">
        <w:t>Установить гарантийный срок</w:t>
      </w:r>
      <w:r w:rsidRPr="004853D0">
        <w:t xml:space="preserve"> 12 месяцев с момента подписания Заказчиком </w:t>
      </w:r>
      <w:r w:rsidRPr="003A0C2A">
        <w:t xml:space="preserve">акта приемки выполненных работ по </w:t>
      </w:r>
      <w:r w:rsidR="002153B5">
        <w:t>реконструкции</w:t>
      </w:r>
      <w:r>
        <w:t xml:space="preserve"> светофорн</w:t>
      </w:r>
      <w:r w:rsidR="002153B5">
        <w:t xml:space="preserve">ых </w:t>
      </w:r>
      <w:r>
        <w:t>объект</w:t>
      </w:r>
      <w:r w:rsidR="002153B5">
        <w:t>ов</w:t>
      </w:r>
      <w:r>
        <w:t>.</w:t>
      </w:r>
    </w:p>
    <w:p w:rsidR="00E4104C" w:rsidRDefault="00E4104C" w:rsidP="00E4104C">
      <w:pPr>
        <w:pStyle w:val="40"/>
        <w:spacing w:line="320" w:lineRule="exact"/>
        <w:ind w:left="851"/>
        <w:contextualSpacing/>
        <w:jc w:val="both"/>
      </w:pPr>
    </w:p>
    <w:p w:rsidR="00E4104C" w:rsidRDefault="00E4104C" w:rsidP="00E4104C">
      <w:pPr>
        <w:pStyle w:val="40"/>
        <w:numPr>
          <w:ilvl w:val="0"/>
          <w:numId w:val="3"/>
        </w:numPr>
        <w:spacing w:line="320" w:lineRule="exact"/>
        <w:contextualSpacing/>
        <w:jc w:val="both"/>
      </w:pPr>
      <w:r>
        <w:t>Срок выполнения работ:</w:t>
      </w:r>
    </w:p>
    <w:p w:rsidR="00E4104C" w:rsidRDefault="00E4104C" w:rsidP="00E4104C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Начало выполнения работ- с момента подписание контракта;</w:t>
      </w:r>
    </w:p>
    <w:p w:rsidR="00E4104C" w:rsidRDefault="00E4104C" w:rsidP="00E4104C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Окончания работ</w:t>
      </w:r>
      <w:r w:rsidR="007300A2">
        <w:t xml:space="preserve"> </w:t>
      </w:r>
      <w:r>
        <w:t>- не позднее 15 декабря 2012 года.</w:t>
      </w:r>
    </w:p>
    <w:p w:rsidR="00E4104C" w:rsidRDefault="00E4104C" w:rsidP="00E4104C">
      <w:pPr>
        <w:pStyle w:val="40"/>
        <w:spacing w:line="320" w:lineRule="exact"/>
        <w:ind w:left="851"/>
        <w:contextualSpacing/>
        <w:jc w:val="both"/>
      </w:pPr>
    </w:p>
    <w:p w:rsidR="009C2418" w:rsidRDefault="009C2418" w:rsidP="00F702ED">
      <w:pPr>
        <w:rPr>
          <w:sz w:val="24"/>
          <w:szCs w:val="24"/>
        </w:rPr>
      </w:pPr>
    </w:p>
    <w:p w:rsidR="000A74A1" w:rsidRPr="000A74A1" w:rsidRDefault="000A74A1" w:rsidP="000A74A1">
      <w:pPr>
        <w:rPr>
          <w:sz w:val="24"/>
          <w:szCs w:val="24"/>
        </w:rPr>
      </w:pPr>
    </w:p>
    <w:p w:rsidR="000A74A1" w:rsidRPr="000A74A1" w:rsidRDefault="000A74A1" w:rsidP="000A74A1">
      <w:pPr>
        <w:rPr>
          <w:sz w:val="24"/>
          <w:szCs w:val="24"/>
        </w:rPr>
      </w:pPr>
    </w:p>
    <w:p w:rsidR="000A74A1" w:rsidRDefault="000A74A1" w:rsidP="000A74A1">
      <w:pPr>
        <w:rPr>
          <w:sz w:val="24"/>
          <w:szCs w:val="24"/>
        </w:rPr>
      </w:pPr>
    </w:p>
    <w:sdt>
      <w:sdtPr>
        <w:id w:val="1513945889"/>
        <w:docPartObj>
          <w:docPartGallery w:val="Page Numbers (Bottom of Page)"/>
          <w:docPartUnique/>
        </w:docPartObj>
      </w:sdtPr>
      <w:sdtEndPr/>
      <w:sdtContent>
        <w:p w:rsidR="000A74A1" w:rsidRDefault="000A74A1" w:rsidP="000A74A1">
          <w:pPr>
            <w:jc w:val="both"/>
          </w:pPr>
          <w:r>
            <w:rPr>
              <w:b/>
            </w:rPr>
            <w:t xml:space="preserve"># - </w:t>
          </w:r>
          <w:r>
            <w:rPr>
              <w:b/>
              <w:sz w:val="24"/>
              <w:szCs w:val="24"/>
            </w:rPr>
            <w:t>Отметкой</w:t>
          </w:r>
          <w:r>
            <w:rPr>
              <w:b/>
              <w:color w:val="000000"/>
              <w:sz w:val="24"/>
              <w:szCs w:val="24"/>
            </w:rPr>
            <w:t xml:space="preserve"> «#»  указан диапазон, конкретным показателем которого может являться диапазон показателей, </w:t>
          </w:r>
          <w:r>
            <w:rPr>
              <w:b/>
              <w:sz w:val="24"/>
              <w:szCs w:val="24"/>
            </w:rPr>
            <w:t xml:space="preserve">указанный заказчиком либо иной более широкий </w:t>
          </w:r>
          <w:proofErr w:type="gramStart"/>
          <w:r>
            <w:rPr>
              <w:b/>
              <w:sz w:val="24"/>
              <w:szCs w:val="24"/>
            </w:rPr>
            <w:t>диапазон</w:t>
          </w:r>
          <w:proofErr w:type="gramEnd"/>
          <w:r>
            <w:rPr>
              <w:b/>
              <w:sz w:val="24"/>
              <w:szCs w:val="24"/>
            </w:rPr>
            <w:t xml:space="preserve"> в состав которого входит диапазон, указанный заказчиком.</w:t>
          </w:r>
        </w:p>
      </w:sdtContent>
    </w:sdt>
    <w:p w:rsidR="00C160B9" w:rsidRPr="000A74A1" w:rsidRDefault="00C160B9" w:rsidP="000A74A1">
      <w:pPr>
        <w:rPr>
          <w:sz w:val="24"/>
          <w:szCs w:val="24"/>
        </w:rPr>
      </w:pPr>
    </w:p>
    <w:sectPr w:rsidR="00C160B9" w:rsidRPr="000A74A1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329" w:rsidRDefault="00D21329">
      <w:r>
        <w:separator/>
      </w:r>
    </w:p>
  </w:endnote>
  <w:endnote w:type="continuationSeparator" w:id="0">
    <w:p w:rsidR="00D21329" w:rsidRDefault="00D2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38" w:rsidRDefault="00C36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6F38" w:rsidRDefault="00C36F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38" w:rsidRDefault="00C36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6679">
      <w:rPr>
        <w:rStyle w:val="a7"/>
        <w:noProof/>
      </w:rPr>
      <w:t>2</w:t>
    </w:r>
    <w:r>
      <w:rPr>
        <w:rStyle w:val="a7"/>
      </w:rPr>
      <w:fldChar w:fldCharType="end"/>
    </w:r>
  </w:p>
  <w:p w:rsidR="00C36F38" w:rsidRDefault="00C36F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329" w:rsidRDefault="00D21329">
      <w:r>
        <w:separator/>
      </w:r>
    </w:p>
  </w:footnote>
  <w:footnote w:type="continuationSeparator" w:id="0">
    <w:p w:rsidR="00D21329" w:rsidRDefault="00D21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0F011ED"/>
    <w:multiLevelType w:val="multilevel"/>
    <w:tmpl w:val="518A82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D261269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F79365C"/>
    <w:multiLevelType w:val="multilevel"/>
    <w:tmpl w:val="518A82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7C385012"/>
    <w:multiLevelType w:val="multilevel"/>
    <w:tmpl w:val="518A82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0627A"/>
    <w:rsid w:val="00037620"/>
    <w:rsid w:val="000A4184"/>
    <w:rsid w:val="000A74A1"/>
    <w:rsid w:val="000C2195"/>
    <w:rsid w:val="000D230A"/>
    <w:rsid w:val="000F0A2B"/>
    <w:rsid w:val="00141A70"/>
    <w:rsid w:val="00161401"/>
    <w:rsid w:val="0017319F"/>
    <w:rsid w:val="001C41CF"/>
    <w:rsid w:val="001D717C"/>
    <w:rsid w:val="002153B5"/>
    <w:rsid w:val="0033174F"/>
    <w:rsid w:val="00356F61"/>
    <w:rsid w:val="003639F0"/>
    <w:rsid w:val="003655FF"/>
    <w:rsid w:val="003B0EFE"/>
    <w:rsid w:val="00440A86"/>
    <w:rsid w:val="00463DF0"/>
    <w:rsid w:val="00465F24"/>
    <w:rsid w:val="0048349A"/>
    <w:rsid w:val="004C6BE3"/>
    <w:rsid w:val="004E6399"/>
    <w:rsid w:val="005A3F8A"/>
    <w:rsid w:val="005B7994"/>
    <w:rsid w:val="00607A31"/>
    <w:rsid w:val="0064067D"/>
    <w:rsid w:val="0064161B"/>
    <w:rsid w:val="00661B79"/>
    <w:rsid w:val="006814ED"/>
    <w:rsid w:val="006D2F64"/>
    <w:rsid w:val="006D7E57"/>
    <w:rsid w:val="006F33E3"/>
    <w:rsid w:val="00710AB6"/>
    <w:rsid w:val="007300A2"/>
    <w:rsid w:val="007810CA"/>
    <w:rsid w:val="007917D5"/>
    <w:rsid w:val="007B0D79"/>
    <w:rsid w:val="007D1619"/>
    <w:rsid w:val="007E1429"/>
    <w:rsid w:val="007F55F9"/>
    <w:rsid w:val="009501C0"/>
    <w:rsid w:val="009C2418"/>
    <w:rsid w:val="009D0144"/>
    <w:rsid w:val="009F0C51"/>
    <w:rsid w:val="00A24FD3"/>
    <w:rsid w:val="00A36749"/>
    <w:rsid w:val="00A4112B"/>
    <w:rsid w:val="00A505A1"/>
    <w:rsid w:val="00A63926"/>
    <w:rsid w:val="00A85B83"/>
    <w:rsid w:val="00A946DA"/>
    <w:rsid w:val="00B135E0"/>
    <w:rsid w:val="00B151B2"/>
    <w:rsid w:val="00B4655A"/>
    <w:rsid w:val="00B46C88"/>
    <w:rsid w:val="00B83E9C"/>
    <w:rsid w:val="00B905C3"/>
    <w:rsid w:val="00BA20DD"/>
    <w:rsid w:val="00BA2F96"/>
    <w:rsid w:val="00BD1969"/>
    <w:rsid w:val="00C160B9"/>
    <w:rsid w:val="00C36F38"/>
    <w:rsid w:val="00CA6679"/>
    <w:rsid w:val="00CF0679"/>
    <w:rsid w:val="00D21329"/>
    <w:rsid w:val="00D26E0E"/>
    <w:rsid w:val="00D44088"/>
    <w:rsid w:val="00D45592"/>
    <w:rsid w:val="00E22FD0"/>
    <w:rsid w:val="00E25129"/>
    <w:rsid w:val="00E264CF"/>
    <w:rsid w:val="00E4104C"/>
    <w:rsid w:val="00E44976"/>
    <w:rsid w:val="00E7526C"/>
    <w:rsid w:val="00E906DC"/>
    <w:rsid w:val="00ED51E2"/>
    <w:rsid w:val="00F05456"/>
    <w:rsid w:val="00F20275"/>
    <w:rsid w:val="00F34E14"/>
    <w:rsid w:val="00F702ED"/>
    <w:rsid w:val="00F9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64161B"/>
    <w:pPr>
      <w:ind w:left="720"/>
      <w:contextualSpacing/>
    </w:pPr>
  </w:style>
  <w:style w:type="paragraph" w:customStyle="1" w:styleId="1">
    <w:name w:val="Абзац списка1"/>
    <w:basedOn w:val="a"/>
    <w:rsid w:val="00F05456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64161B"/>
    <w:pPr>
      <w:ind w:left="720"/>
      <w:contextualSpacing/>
    </w:pPr>
  </w:style>
  <w:style w:type="paragraph" w:customStyle="1" w:styleId="1">
    <w:name w:val="Абзац списка1"/>
    <w:basedOn w:val="a"/>
    <w:rsid w:val="00F05456"/>
    <w:pPr>
      <w:ind w:left="708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21</cp:revision>
  <cp:lastPrinted>2012-11-07T05:39:00Z</cp:lastPrinted>
  <dcterms:created xsi:type="dcterms:W3CDTF">2012-10-26T03:40:00Z</dcterms:created>
  <dcterms:modified xsi:type="dcterms:W3CDTF">2012-11-07T06:56:00Z</dcterms:modified>
</cp:coreProperties>
</file>