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3E1" w:rsidRDefault="000753E1" w:rsidP="00681354">
      <w:pPr>
        <w:jc w:val="center"/>
        <w:rPr>
          <w:b/>
          <w:sz w:val="22"/>
          <w:szCs w:val="22"/>
        </w:rPr>
      </w:pPr>
    </w:p>
    <w:p w:rsidR="000753E1" w:rsidRPr="007300A2" w:rsidRDefault="000753E1" w:rsidP="000753E1">
      <w:pPr>
        <w:jc w:val="right"/>
      </w:pPr>
      <w:r w:rsidRPr="007300A2">
        <w:t xml:space="preserve">Приложение № 1 к документации </w:t>
      </w:r>
    </w:p>
    <w:p w:rsidR="000753E1" w:rsidRPr="007300A2" w:rsidRDefault="000753E1" w:rsidP="000753E1">
      <w:pPr>
        <w:jc w:val="right"/>
      </w:pPr>
      <w:r w:rsidRPr="007300A2">
        <w:t>об открытом аукционе в электронной форме</w:t>
      </w:r>
    </w:p>
    <w:p w:rsidR="0076657D" w:rsidRPr="007300A2" w:rsidRDefault="000753E1" w:rsidP="0076657D">
      <w:pPr>
        <w:jc w:val="right"/>
      </w:pPr>
      <w:r w:rsidRPr="007300A2">
        <w:t>от «__» _________ 2012 г. №</w:t>
      </w:r>
      <w:r w:rsidR="0076657D">
        <w:t>0856300000212000099</w:t>
      </w:r>
    </w:p>
    <w:p w:rsidR="000753E1" w:rsidRPr="007300A2" w:rsidRDefault="000753E1" w:rsidP="000753E1">
      <w:pPr>
        <w:jc w:val="right"/>
      </w:pPr>
      <w:r>
        <w:t xml:space="preserve">  </w:t>
      </w:r>
      <w:proofErr w:type="gramStart"/>
      <w:r w:rsidRPr="007300A2">
        <w:t xml:space="preserve">(Приложение №1 к муниципальному контракту </w:t>
      </w:r>
      <w:proofErr w:type="gramEnd"/>
    </w:p>
    <w:p w:rsidR="000753E1" w:rsidRDefault="000753E1" w:rsidP="000753E1">
      <w:pPr>
        <w:jc w:val="center"/>
      </w:pPr>
      <w:r>
        <w:t xml:space="preserve">                                                                                      </w:t>
      </w:r>
      <w:r w:rsidRPr="007300A2">
        <w:t>от «___» ___________ 2012 г. №__________)</w:t>
      </w:r>
    </w:p>
    <w:p w:rsidR="000753E1" w:rsidRDefault="000753E1" w:rsidP="000753E1">
      <w:pPr>
        <w:jc w:val="center"/>
      </w:pPr>
    </w:p>
    <w:p w:rsidR="000753E1" w:rsidRDefault="000753E1" w:rsidP="000753E1">
      <w:pPr>
        <w:jc w:val="center"/>
        <w:rPr>
          <w:b/>
          <w:sz w:val="22"/>
          <w:szCs w:val="22"/>
        </w:rPr>
      </w:pPr>
    </w:p>
    <w:p w:rsidR="00681354" w:rsidRPr="0022422C" w:rsidRDefault="00681354" w:rsidP="00681354">
      <w:pPr>
        <w:jc w:val="center"/>
        <w:rPr>
          <w:b/>
          <w:sz w:val="22"/>
          <w:szCs w:val="22"/>
        </w:rPr>
      </w:pPr>
      <w:r w:rsidRPr="0022422C">
        <w:rPr>
          <w:b/>
          <w:sz w:val="22"/>
          <w:szCs w:val="22"/>
        </w:rPr>
        <w:t>ТЕХНИЧЕСКОЕ  ЗАДАНИЕ</w:t>
      </w:r>
    </w:p>
    <w:p w:rsidR="001705DE" w:rsidRPr="00983466" w:rsidRDefault="00983466" w:rsidP="00AE1B80">
      <w:pPr>
        <w:jc w:val="center"/>
        <w:rPr>
          <w:b/>
          <w:bCs/>
          <w:sz w:val="22"/>
          <w:szCs w:val="22"/>
        </w:rPr>
      </w:pPr>
      <w:r w:rsidRPr="00983466">
        <w:rPr>
          <w:b/>
          <w:sz w:val="22"/>
          <w:szCs w:val="22"/>
        </w:rPr>
        <w:t>на выполнение работ по реконструкции светофорных объектов</w:t>
      </w:r>
      <w:r w:rsidR="00AE1B80" w:rsidRPr="00983466">
        <w:rPr>
          <w:b/>
          <w:bCs/>
          <w:sz w:val="22"/>
          <w:szCs w:val="22"/>
        </w:rPr>
        <w:t>.</w:t>
      </w:r>
    </w:p>
    <w:p w:rsidR="00AE1B80" w:rsidRPr="00983466" w:rsidRDefault="00AE1B80" w:rsidP="00AE1B80">
      <w:pPr>
        <w:jc w:val="center"/>
        <w:rPr>
          <w:b/>
          <w:sz w:val="22"/>
          <w:szCs w:val="22"/>
        </w:rPr>
      </w:pPr>
    </w:p>
    <w:p w:rsidR="00681354" w:rsidRPr="008A398B" w:rsidRDefault="00681354" w:rsidP="008A398B">
      <w:pPr>
        <w:pStyle w:val="1"/>
        <w:numPr>
          <w:ilvl w:val="0"/>
          <w:numId w:val="1"/>
        </w:numPr>
      </w:pPr>
      <w:r w:rsidRPr="008A398B">
        <w:t>Общие положения</w:t>
      </w:r>
    </w:p>
    <w:p w:rsidR="00435820" w:rsidRPr="003F5668" w:rsidRDefault="00533014" w:rsidP="003F5668">
      <w:pPr>
        <w:ind w:firstLine="360"/>
        <w:jc w:val="both"/>
      </w:pPr>
      <w:r>
        <w:t>Работы по</w:t>
      </w:r>
      <w:r w:rsidR="003F5668" w:rsidRPr="003F5668">
        <w:t xml:space="preserve"> </w:t>
      </w:r>
      <w:r w:rsidR="00983466" w:rsidRPr="00983466">
        <w:t>реконструкции светофорных объектов</w:t>
      </w:r>
      <w:r w:rsidR="00824363">
        <w:t xml:space="preserve"> </w:t>
      </w:r>
      <w:r w:rsidR="006D5973" w:rsidRPr="003F5668">
        <w:t>включают в себя</w:t>
      </w:r>
      <w:r w:rsidR="003F5668">
        <w:t xml:space="preserve"> приобретение необходимого оборудования</w:t>
      </w:r>
      <w:r w:rsidR="00753661">
        <w:t xml:space="preserve"> и материалов</w:t>
      </w:r>
      <w:r w:rsidR="00824363">
        <w:t>, комплектующих</w:t>
      </w:r>
      <w:r w:rsidR="003F5668">
        <w:t>,</w:t>
      </w:r>
      <w:r w:rsidR="006D5973" w:rsidRPr="003F5668">
        <w:t xml:space="preserve"> монтаж </w:t>
      </w:r>
      <w:r>
        <w:t>необходимого оборудования, настройку и пуско-наладку смонтированного</w:t>
      </w:r>
      <w:r w:rsidR="00983466">
        <w:t xml:space="preserve"> оборудования</w:t>
      </w:r>
      <w:r w:rsidR="003F5668" w:rsidRPr="003F5668">
        <w:t xml:space="preserve">, </w:t>
      </w:r>
      <w:r w:rsidR="00435820" w:rsidRPr="003F5668">
        <w:t xml:space="preserve">подключение </w:t>
      </w:r>
      <w:r>
        <w:t>автоматизированной системы управления дорожным движением</w:t>
      </w:r>
      <w:r w:rsidR="00435820" w:rsidRPr="003F5668">
        <w:t xml:space="preserve"> к Центру управления дорожным движением: г. Пермь, ул. Кирова, 164.</w:t>
      </w:r>
      <w:r w:rsidR="003F5668">
        <w:t xml:space="preserve"> </w:t>
      </w:r>
    </w:p>
    <w:p w:rsidR="008A398B" w:rsidRPr="003F5668" w:rsidRDefault="008A398B"/>
    <w:p w:rsidR="00681354" w:rsidRDefault="00681354" w:rsidP="008A398B">
      <w:pPr>
        <w:pStyle w:val="1"/>
        <w:numPr>
          <w:ilvl w:val="0"/>
          <w:numId w:val="1"/>
        </w:numPr>
      </w:pPr>
      <w:r w:rsidRPr="008A398B">
        <w:t xml:space="preserve">Перечень </w:t>
      </w:r>
      <w:r w:rsidR="007E486F">
        <w:t>оборудования</w:t>
      </w:r>
      <w:r w:rsidR="00766799">
        <w:t xml:space="preserve">, </w:t>
      </w:r>
      <w:r w:rsidR="003F5668">
        <w:t>необходимого для выполнения работ</w:t>
      </w:r>
      <w:r w:rsidR="00061E39"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983466" w:rsidTr="00983466">
        <w:tc>
          <w:tcPr>
            <w:tcW w:w="4998" w:type="dxa"/>
          </w:tcPr>
          <w:p w:rsidR="00983466" w:rsidRDefault="00983466" w:rsidP="00983466">
            <w:r>
              <w:t>Наименование</w:t>
            </w:r>
          </w:p>
        </w:tc>
        <w:tc>
          <w:tcPr>
            <w:tcW w:w="4998" w:type="dxa"/>
          </w:tcPr>
          <w:p w:rsidR="00983466" w:rsidRDefault="00983466" w:rsidP="00983466">
            <w:r>
              <w:t>Количество, шт</w:t>
            </w:r>
            <w:r w:rsidR="00F8144B">
              <w:t>.</w:t>
            </w:r>
          </w:p>
        </w:tc>
      </w:tr>
      <w:tr w:rsidR="00983466" w:rsidTr="00983466">
        <w:tc>
          <w:tcPr>
            <w:tcW w:w="4998" w:type="dxa"/>
          </w:tcPr>
          <w:p w:rsidR="00983466" w:rsidRPr="00B26ED5" w:rsidRDefault="00983466" w:rsidP="00983466">
            <w:r w:rsidRPr="00B26ED5">
              <w:t xml:space="preserve">Системный адаптер </w:t>
            </w:r>
            <w:r w:rsidRPr="00B26ED5">
              <w:rPr>
                <w:bCs/>
              </w:rPr>
              <w:t xml:space="preserve">ШКГЯ.426.415.015 с лицензией </w:t>
            </w:r>
            <w:r w:rsidRPr="00B26ED5">
              <w:t>на подключение к АСУДД «Спектр»</w:t>
            </w:r>
            <w:r w:rsidRPr="00B26ED5">
              <w:rPr>
                <w:bCs/>
              </w:rPr>
              <w:t>, или эквивалент</w:t>
            </w:r>
          </w:p>
        </w:tc>
        <w:tc>
          <w:tcPr>
            <w:tcW w:w="4998" w:type="dxa"/>
          </w:tcPr>
          <w:p w:rsidR="00983466" w:rsidRDefault="00CE5924" w:rsidP="00983466">
            <w:r>
              <w:t>2</w:t>
            </w:r>
          </w:p>
        </w:tc>
      </w:tr>
      <w:tr w:rsidR="00983466" w:rsidTr="00983466">
        <w:tc>
          <w:tcPr>
            <w:tcW w:w="4998" w:type="dxa"/>
          </w:tcPr>
          <w:p w:rsidR="00983466" w:rsidRPr="00983466" w:rsidRDefault="00983466" w:rsidP="00824363">
            <w:r w:rsidRPr="00983466">
              <w:t>Промышленный коммутатор SWI-3082GP с блоком питания коммутатора 24В, 40Вт</w:t>
            </w:r>
            <w:r>
              <w:t xml:space="preserve"> или эквивалент</w:t>
            </w:r>
          </w:p>
        </w:tc>
        <w:tc>
          <w:tcPr>
            <w:tcW w:w="4998" w:type="dxa"/>
          </w:tcPr>
          <w:p w:rsidR="00983466" w:rsidRDefault="00983466" w:rsidP="00983466">
            <w:r>
              <w:t>1</w:t>
            </w:r>
          </w:p>
        </w:tc>
      </w:tr>
    </w:tbl>
    <w:p w:rsidR="00983466" w:rsidRDefault="00983466" w:rsidP="00983466">
      <w:pPr>
        <w:pStyle w:val="a0"/>
        <w:rPr>
          <w:b/>
        </w:rPr>
      </w:pPr>
    </w:p>
    <w:p w:rsidR="00983466" w:rsidRPr="00983466" w:rsidRDefault="00983466" w:rsidP="00983466">
      <w:pPr>
        <w:pStyle w:val="a0"/>
        <w:numPr>
          <w:ilvl w:val="0"/>
          <w:numId w:val="1"/>
        </w:numPr>
        <w:jc w:val="center"/>
        <w:rPr>
          <w:b/>
        </w:rPr>
      </w:pPr>
      <w:r w:rsidRPr="00983466">
        <w:rPr>
          <w:b/>
        </w:rPr>
        <w:t>Характеристики оборудования</w:t>
      </w:r>
    </w:p>
    <w:p w:rsidR="00FA0E28" w:rsidRPr="00FA0E28" w:rsidRDefault="00FA0E28" w:rsidP="00FA0E28">
      <w:pPr>
        <w:pStyle w:val="a0"/>
        <w:numPr>
          <w:ilvl w:val="0"/>
          <w:numId w:val="3"/>
        </w:numPr>
        <w:outlineLvl w:val="1"/>
        <w:rPr>
          <w:b/>
          <w:vanish/>
        </w:rPr>
      </w:pPr>
    </w:p>
    <w:p w:rsidR="00FA0E28" w:rsidRPr="00FA0E28" w:rsidRDefault="00FA0E28" w:rsidP="00FA0E28">
      <w:pPr>
        <w:pStyle w:val="a0"/>
        <w:numPr>
          <w:ilvl w:val="0"/>
          <w:numId w:val="3"/>
        </w:numPr>
        <w:outlineLvl w:val="1"/>
        <w:rPr>
          <w:b/>
          <w:vanish/>
        </w:rPr>
      </w:pPr>
    </w:p>
    <w:p w:rsidR="00FA0E28" w:rsidRPr="00061E39" w:rsidRDefault="00824363" w:rsidP="00061E39">
      <w:pPr>
        <w:pStyle w:val="2"/>
        <w:tabs>
          <w:tab w:val="left" w:pos="426"/>
        </w:tabs>
        <w:ind w:left="0" w:firstLine="0"/>
        <w:rPr>
          <w:b w:val="0"/>
          <w:bCs/>
        </w:rPr>
      </w:pPr>
      <w:r>
        <w:rPr>
          <w:b w:val="0"/>
        </w:rPr>
        <w:t>Системные</w:t>
      </w:r>
      <w:r w:rsidR="00533014" w:rsidRPr="00061E39">
        <w:rPr>
          <w:b w:val="0"/>
        </w:rPr>
        <w:t xml:space="preserve"> адаптер</w:t>
      </w:r>
      <w:r>
        <w:rPr>
          <w:b w:val="0"/>
        </w:rPr>
        <w:t>ы</w:t>
      </w:r>
      <w:r w:rsidR="00533014" w:rsidRPr="00061E39">
        <w:rPr>
          <w:b w:val="0"/>
        </w:rPr>
        <w:t xml:space="preserve"> </w:t>
      </w:r>
      <w:r w:rsidR="00533014" w:rsidRPr="00061E39">
        <w:rPr>
          <w:b w:val="0"/>
          <w:bCs/>
        </w:rPr>
        <w:t>ШКГЯ.426.415.015 или эквивалент</w:t>
      </w:r>
      <w:r>
        <w:rPr>
          <w:b w:val="0"/>
          <w:bCs/>
        </w:rPr>
        <w:t>ы</w:t>
      </w:r>
      <w:r w:rsidR="00533014" w:rsidRPr="00061E39">
        <w:rPr>
          <w:b w:val="0"/>
          <w:bCs/>
        </w:rPr>
        <w:t xml:space="preserve"> со следующими характеристиками:</w:t>
      </w:r>
    </w:p>
    <w:p w:rsidR="00533014" w:rsidRDefault="00533014" w:rsidP="00061E39">
      <w:pPr>
        <w:pStyle w:val="a0"/>
        <w:numPr>
          <w:ilvl w:val="2"/>
          <w:numId w:val="3"/>
        </w:numPr>
        <w:tabs>
          <w:tab w:val="left" w:pos="426"/>
        </w:tabs>
        <w:ind w:left="0" w:firstLine="0"/>
      </w:pPr>
      <w:r w:rsidRPr="00533014">
        <w:t>Напряжение питания адаптера 7…36</w:t>
      </w:r>
      <w:proofErr w:type="gramStart"/>
      <w:r w:rsidRPr="00533014">
        <w:t xml:space="preserve"> В</w:t>
      </w:r>
      <w:proofErr w:type="gramEnd"/>
      <w:r w:rsidRPr="00533014">
        <w:t xml:space="preserve"> постоянного тока</w:t>
      </w:r>
      <w:r>
        <w:t>;</w:t>
      </w:r>
    </w:p>
    <w:p w:rsidR="00533014" w:rsidRDefault="00533014" w:rsidP="00061E39">
      <w:pPr>
        <w:pStyle w:val="a0"/>
        <w:numPr>
          <w:ilvl w:val="2"/>
          <w:numId w:val="3"/>
        </w:numPr>
        <w:tabs>
          <w:tab w:val="left" w:pos="426"/>
        </w:tabs>
        <w:ind w:left="0" w:firstLine="0"/>
      </w:pPr>
      <w:r w:rsidRPr="00533014">
        <w:t>Потребляемая мощность - не более 15 ВА</w:t>
      </w:r>
      <w:r>
        <w:t>;</w:t>
      </w:r>
    </w:p>
    <w:p w:rsidR="00533014" w:rsidRDefault="00533014" w:rsidP="00061E39">
      <w:pPr>
        <w:pStyle w:val="a0"/>
        <w:numPr>
          <w:ilvl w:val="2"/>
          <w:numId w:val="3"/>
        </w:numPr>
        <w:tabs>
          <w:tab w:val="left" w:pos="426"/>
        </w:tabs>
        <w:ind w:left="0" w:firstLine="0"/>
      </w:pPr>
      <w:r>
        <w:t xml:space="preserve">Рабочий диапазон температур </w:t>
      </w:r>
      <w:r w:rsidRPr="00533014">
        <w:t xml:space="preserve"> </w:t>
      </w:r>
      <w:proofErr w:type="gramStart"/>
      <w:r w:rsidRPr="00533014">
        <w:t>от</w:t>
      </w:r>
      <w:proofErr w:type="gramEnd"/>
      <w:r w:rsidRPr="00533014">
        <w:t xml:space="preserve"> минус 40 до плюс 50 град. С</w:t>
      </w:r>
      <w:r>
        <w:t>;</w:t>
      </w:r>
    </w:p>
    <w:p w:rsidR="00533014" w:rsidRDefault="00533014" w:rsidP="00061E39">
      <w:pPr>
        <w:pStyle w:val="a0"/>
        <w:numPr>
          <w:ilvl w:val="2"/>
          <w:numId w:val="3"/>
        </w:numPr>
        <w:tabs>
          <w:tab w:val="left" w:pos="426"/>
        </w:tabs>
        <w:ind w:left="0" w:firstLine="0"/>
      </w:pPr>
      <w:r w:rsidRPr="00533014">
        <w:t>Габаритные размеры</w:t>
      </w:r>
      <w:r w:rsidRPr="00533014">
        <w:rPr>
          <w:noProof/>
        </w:rPr>
        <w:t xml:space="preserve"> – не более 220</w:t>
      </w:r>
      <w:r w:rsidRPr="00533014">
        <w:t xml:space="preserve"> х</w:t>
      </w:r>
      <w:r w:rsidRPr="00533014">
        <w:rPr>
          <w:noProof/>
        </w:rPr>
        <w:t xml:space="preserve"> 110</w:t>
      </w:r>
      <w:r w:rsidRPr="00533014">
        <w:t xml:space="preserve"> х</w:t>
      </w:r>
      <w:r w:rsidRPr="00533014">
        <w:rPr>
          <w:noProof/>
        </w:rPr>
        <w:t xml:space="preserve"> 45 мм</w:t>
      </w:r>
      <w:r>
        <w:rPr>
          <w:noProof/>
        </w:rPr>
        <w:t>;</w:t>
      </w:r>
    </w:p>
    <w:p w:rsidR="00533014" w:rsidRDefault="00533014" w:rsidP="00061E39">
      <w:pPr>
        <w:pStyle w:val="a0"/>
        <w:numPr>
          <w:ilvl w:val="2"/>
          <w:numId w:val="3"/>
        </w:numPr>
        <w:tabs>
          <w:tab w:val="left" w:pos="426"/>
        </w:tabs>
        <w:ind w:left="0" w:firstLine="0"/>
      </w:pPr>
      <w:r w:rsidRPr="00533014">
        <w:t>Масса -  не более 0. 35 кг</w:t>
      </w:r>
      <w:r>
        <w:t>;</w:t>
      </w:r>
    </w:p>
    <w:p w:rsidR="00533014" w:rsidRDefault="00533014" w:rsidP="00061E39">
      <w:pPr>
        <w:pStyle w:val="a0"/>
        <w:numPr>
          <w:ilvl w:val="2"/>
          <w:numId w:val="3"/>
        </w:numPr>
        <w:tabs>
          <w:tab w:val="left" w:pos="426"/>
        </w:tabs>
        <w:ind w:left="0" w:firstLine="0"/>
      </w:pPr>
      <w:r>
        <w:t>Поддержка открытого прикладного протокола «Спектр»;</w:t>
      </w:r>
    </w:p>
    <w:p w:rsidR="00533014" w:rsidRDefault="00533014" w:rsidP="00061E39">
      <w:pPr>
        <w:pStyle w:val="a0"/>
        <w:numPr>
          <w:ilvl w:val="2"/>
          <w:numId w:val="3"/>
        </w:numPr>
        <w:tabs>
          <w:tab w:val="left" w:pos="426"/>
        </w:tabs>
        <w:ind w:left="0" w:firstLine="0"/>
      </w:pPr>
      <w:r>
        <w:t xml:space="preserve">Возможность подключения  </w:t>
      </w:r>
      <w:r w:rsidRPr="00533014">
        <w:t xml:space="preserve">к управляющему центру посредством </w:t>
      </w:r>
      <w:r w:rsidRPr="00533014">
        <w:rPr>
          <w:lang w:val="en-US"/>
        </w:rPr>
        <w:t>IP</w:t>
      </w:r>
      <w:r w:rsidRPr="00533014">
        <w:t>-сети</w:t>
      </w:r>
      <w:r>
        <w:t xml:space="preserve"> в том числе:</w:t>
      </w:r>
    </w:p>
    <w:p w:rsidR="00533014" w:rsidRPr="00533014" w:rsidRDefault="00533014" w:rsidP="00061E39">
      <w:pPr>
        <w:pStyle w:val="a0"/>
        <w:tabs>
          <w:tab w:val="left" w:pos="426"/>
        </w:tabs>
        <w:ind w:left="0"/>
      </w:pPr>
      <w:r w:rsidRPr="00533014">
        <w:t xml:space="preserve">-  с помощью сетей </w:t>
      </w:r>
      <w:r w:rsidRPr="00533014">
        <w:rPr>
          <w:lang w:val="en-US"/>
        </w:rPr>
        <w:t>GSM</w:t>
      </w:r>
      <w:r w:rsidRPr="00533014">
        <w:t>-</w:t>
      </w:r>
      <w:r w:rsidRPr="00533014">
        <w:rPr>
          <w:lang w:val="en-US"/>
        </w:rPr>
        <w:t>GPRS</w:t>
      </w:r>
      <w:r w:rsidRPr="00533014">
        <w:t xml:space="preserve">; </w:t>
      </w:r>
    </w:p>
    <w:p w:rsidR="00533014" w:rsidRPr="00533014" w:rsidRDefault="00533014" w:rsidP="00061E39">
      <w:pPr>
        <w:tabs>
          <w:tab w:val="left" w:pos="426"/>
        </w:tabs>
      </w:pPr>
      <w:r>
        <w:rPr>
          <w:noProof/>
        </w:rPr>
        <w:t xml:space="preserve">   </w:t>
      </w:r>
      <w:r w:rsidRPr="00533014">
        <w:rPr>
          <w:noProof/>
        </w:rPr>
        <w:t xml:space="preserve">   -  посредством </w:t>
      </w:r>
      <w:r w:rsidRPr="00533014">
        <w:rPr>
          <w:noProof/>
          <w:lang w:val="en-US"/>
        </w:rPr>
        <w:t>Ethernet</w:t>
      </w:r>
      <w:r w:rsidRPr="00533014">
        <w:rPr>
          <w:noProof/>
        </w:rPr>
        <w:t xml:space="preserve">-интерфейса с последующей передачей по оптоволоконной линии </w:t>
      </w:r>
    </w:p>
    <w:p w:rsidR="00533014" w:rsidRDefault="00533014" w:rsidP="00061E39">
      <w:pPr>
        <w:pStyle w:val="a0"/>
        <w:tabs>
          <w:tab w:val="left" w:pos="426"/>
        </w:tabs>
        <w:ind w:left="0"/>
        <w:rPr>
          <w:noProof/>
        </w:rPr>
      </w:pPr>
      <w:r w:rsidRPr="00533014">
        <w:rPr>
          <w:noProof/>
        </w:rPr>
        <w:t xml:space="preserve">связи, проводной линии связи с использованием </w:t>
      </w:r>
      <w:r w:rsidRPr="00533014">
        <w:rPr>
          <w:noProof/>
          <w:lang w:val="en-US"/>
        </w:rPr>
        <w:t>DSL</w:t>
      </w:r>
      <w:r w:rsidR="00061E39">
        <w:rPr>
          <w:noProof/>
        </w:rPr>
        <w:t>-модемов,  радиосети;</w:t>
      </w:r>
    </w:p>
    <w:p w:rsidR="00061E39" w:rsidRDefault="00061E39" w:rsidP="00061E39">
      <w:pPr>
        <w:pStyle w:val="a0"/>
        <w:numPr>
          <w:ilvl w:val="2"/>
          <w:numId w:val="3"/>
        </w:numPr>
        <w:tabs>
          <w:tab w:val="left" w:pos="426"/>
        </w:tabs>
        <w:ind w:left="0" w:firstLine="0"/>
        <w:rPr>
          <w:noProof/>
        </w:rPr>
      </w:pPr>
      <w:r>
        <w:rPr>
          <w:noProof/>
        </w:rPr>
        <w:t xml:space="preserve">Наличие </w:t>
      </w:r>
      <w:r w:rsidRPr="00533014">
        <w:rPr>
          <w:lang w:val="en-US"/>
        </w:rPr>
        <w:t>GPS</w:t>
      </w:r>
      <w:r w:rsidRPr="00533014">
        <w:t>-синхронизаци</w:t>
      </w:r>
      <w:r>
        <w:t xml:space="preserve">и </w:t>
      </w:r>
      <w:r w:rsidRPr="00533014">
        <w:t xml:space="preserve"> часов для координированного управления</w:t>
      </w:r>
      <w:r>
        <w:t>.</w:t>
      </w:r>
    </w:p>
    <w:p w:rsidR="00983466" w:rsidRDefault="00983466" w:rsidP="00983466">
      <w:pPr>
        <w:pStyle w:val="2"/>
        <w:tabs>
          <w:tab w:val="left" w:pos="426"/>
        </w:tabs>
        <w:ind w:left="0" w:firstLine="0"/>
        <w:rPr>
          <w:b w:val="0"/>
        </w:rPr>
      </w:pPr>
      <w:r w:rsidRPr="00983466">
        <w:rPr>
          <w:b w:val="0"/>
        </w:rPr>
        <w:t>Промышленный коммутатор SWI-3082GP с блоком питания коммутатора 24В, 40Вт, или эквивалент</w:t>
      </w:r>
      <w:r>
        <w:rPr>
          <w:b w:val="0"/>
        </w:rPr>
        <w:t xml:space="preserve"> со следующими характеристиками:</w:t>
      </w:r>
    </w:p>
    <w:p w:rsidR="00983466" w:rsidRPr="009A1B55" w:rsidRDefault="009A1B55" w:rsidP="00983466">
      <w:pPr>
        <w:pStyle w:val="a0"/>
        <w:numPr>
          <w:ilvl w:val="2"/>
          <w:numId w:val="3"/>
        </w:numPr>
        <w:ind w:left="0" w:firstLine="0"/>
      </w:pPr>
      <w:r>
        <w:rPr>
          <w:color w:val="000000"/>
        </w:rPr>
        <w:t xml:space="preserve">Время восстановления кольца по технологии </w:t>
      </w:r>
      <w:proofErr w:type="spellStart"/>
      <w:r>
        <w:rPr>
          <w:color w:val="000000"/>
        </w:rPr>
        <w:t>Ring</w:t>
      </w:r>
      <w:proofErr w:type="spellEnd"/>
      <w:r>
        <w:rPr>
          <w:color w:val="000000"/>
        </w:rPr>
        <w:t xml:space="preserve"> &lt; 10 </w:t>
      </w:r>
      <w:proofErr w:type="spellStart"/>
      <w:r>
        <w:rPr>
          <w:color w:val="000000"/>
        </w:rPr>
        <w:t>мс</w:t>
      </w:r>
      <w:proofErr w:type="spellEnd"/>
      <w:r>
        <w:rPr>
          <w:color w:val="000000"/>
        </w:rPr>
        <w:t xml:space="preserve"> (до 250 устройств в кольце);</w:t>
      </w:r>
    </w:p>
    <w:p w:rsidR="009A1B55" w:rsidRPr="009A1B55" w:rsidRDefault="009A1B55" w:rsidP="00983466">
      <w:pPr>
        <w:pStyle w:val="a0"/>
        <w:numPr>
          <w:ilvl w:val="2"/>
          <w:numId w:val="3"/>
        </w:numPr>
        <w:ind w:left="0" w:firstLine="0"/>
      </w:pPr>
      <w:r>
        <w:rPr>
          <w:color w:val="000000"/>
        </w:rPr>
        <w:t>Возможность поддержки протокола SNMP v1/v2/v3;</w:t>
      </w:r>
    </w:p>
    <w:p w:rsidR="009A1B55" w:rsidRPr="009A1B55" w:rsidRDefault="009A1B55" w:rsidP="00983466">
      <w:pPr>
        <w:pStyle w:val="a0"/>
        <w:numPr>
          <w:ilvl w:val="2"/>
          <w:numId w:val="3"/>
        </w:numPr>
        <w:ind w:left="0" w:firstLine="0"/>
      </w:pPr>
      <w:r>
        <w:rPr>
          <w:color w:val="000000"/>
        </w:rPr>
        <w:t>Возможность поддержки протокола RMON;</w:t>
      </w:r>
    </w:p>
    <w:p w:rsidR="009A1B55" w:rsidRPr="009A1B55" w:rsidRDefault="009A1B55" w:rsidP="00983466">
      <w:pPr>
        <w:pStyle w:val="a0"/>
        <w:numPr>
          <w:ilvl w:val="2"/>
          <w:numId w:val="3"/>
        </w:numPr>
        <w:ind w:left="0" w:firstLine="0"/>
      </w:pPr>
      <w:r>
        <w:rPr>
          <w:color w:val="000000"/>
        </w:rPr>
        <w:t xml:space="preserve">Наличие уведомления о событиях с помощью </w:t>
      </w:r>
      <w:proofErr w:type="spellStart"/>
      <w:r>
        <w:rPr>
          <w:color w:val="000000"/>
        </w:rPr>
        <w:t>Syslog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Email</w:t>
      </w:r>
      <w:proofErr w:type="spellEnd"/>
      <w:r>
        <w:rPr>
          <w:color w:val="000000"/>
        </w:rPr>
        <w:t xml:space="preserve">, SNMP </w:t>
      </w:r>
      <w:proofErr w:type="spellStart"/>
      <w:r>
        <w:rPr>
          <w:color w:val="000000"/>
        </w:rPr>
        <w:t>Trap</w:t>
      </w:r>
      <w:proofErr w:type="spellEnd"/>
      <w:r>
        <w:rPr>
          <w:color w:val="000000"/>
        </w:rPr>
        <w:t>, и релейного выхода;</w:t>
      </w:r>
    </w:p>
    <w:p w:rsidR="009A1B55" w:rsidRPr="009A1B55" w:rsidRDefault="009A1B55" w:rsidP="00983466">
      <w:pPr>
        <w:pStyle w:val="a0"/>
        <w:numPr>
          <w:ilvl w:val="2"/>
          <w:numId w:val="3"/>
        </w:numPr>
        <w:ind w:left="0" w:firstLine="0"/>
      </w:pPr>
      <w:r>
        <w:rPr>
          <w:color w:val="000000"/>
        </w:rPr>
        <w:t xml:space="preserve">Возможность отключения порта при попытке доступа 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 xml:space="preserve"> неавторизованного MAC-адреса;</w:t>
      </w:r>
    </w:p>
    <w:p w:rsidR="009A1B55" w:rsidRPr="009A1B55" w:rsidRDefault="009A1B55" w:rsidP="00983466">
      <w:pPr>
        <w:pStyle w:val="a0"/>
        <w:numPr>
          <w:ilvl w:val="2"/>
          <w:numId w:val="3"/>
        </w:numPr>
        <w:ind w:left="0" w:firstLine="0"/>
        <w:rPr>
          <w:lang w:val="en-US"/>
        </w:rPr>
      </w:pPr>
      <w:r>
        <w:rPr>
          <w:color w:val="000000"/>
        </w:rPr>
        <w:t xml:space="preserve">Наличие централизованного управления и контроля с помощью </w:t>
      </w:r>
      <w:r w:rsidRPr="009A1B55">
        <w:rPr>
          <w:color w:val="000000"/>
          <w:lang w:val="en-US"/>
        </w:rPr>
        <w:t>Web, Telnet, Console, SNMP v1/v2/v3;</w:t>
      </w:r>
    </w:p>
    <w:p w:rsidR="009A1B55" w:rsidRPr="009A1B55" w:rsidRDefault="009A1B55" w:rsidP="00983466">
      <w:pPr>
        <w:pStyle w:val="a0"/>
        <w:numPr>
          <w:ilvl w:val="2"/>
          <w:numId w:val="3"/>
        </w:numPr>
        <w:ind w:left="0" w:firstLine="0"/>
        <w:rPr>
          <w:lang w:val="en-US"/>
        </w:rPr>
      </w:pPr>
      <w:r>
        <w:rPr>
          <w:color w:val="000000"/>
        </w:rPr>
        <w:t>Наличие тройного резервирования питания;</w:t>
      </w:r>
    </w:p>
    <w:p w:rsidR="009A1B55" w:rsidRPr="009A1B55" w:rsidRDefault="009A1B55" w:rsidP="00983466">
      <w:pPr>
        <w:pStyle w:val="a0"/>
        <w:numPr>
          <w:ilvl w:val="2"/>
          <w:numId w:val="3"/>
        </w:numPr>
        <w:ind w:left="0" w:firstLine="0"/>
      </w:pPr>
      <w:r>
        <w:rPr>
          <w:color w:val="000000"/>
        </w:rPr>
        <w:lastRenderedPageBreak/>
        <w:t>Интерфейс RS-232 (разъем RJ-45);</w:t>
      </w:r>
    </w:p>
    <w:p w:rsidR="009A1B55" w:rsidRPr="009A1B55" w:rsidRDefault="009A1B55" w:rsidP="00983466">
      <w:pPr>
        <w:pStyle w:val="a0"/>
        <w:numPr>
          <w:ilvl w:val="2"/>
          <w:numId w:val="3"/>
        </w:numPr>
        <w:ind w:left="0" w:firstLine="0"/>
      </w:pPr>
      <w:r>
        <w:rPr>
          <w:color w:val="000000"/>
        </w:rPr>
        <w:t xml:space="preserve">Наличие портов с P.S.E (инжекторы </w:t>
      </w:r>
      <w:proofErr w:type="spellStart"/>
      <w:r>
        <w:rPr>
          <w:color w:val="000000"/>
        </w:rPr>
        <w:t>PoE</w:t>
      </w:r>
      <w:proofErr w:type="spellEnd"/>
      <w:r>
        <w:rPr>
          <w:color w:val="000000"/>
        </w:rPr>
        <w:t>);</w:t>
      </w:r>
    </w:p>
    <w:p w:rsidR="009A1B55" w:rsidRPr="009A1B55" w:rsidRDefault="009A1B55" w:rsidP="00983466">
      <w:pPr>
        <w:pStyle w:val="a0"/>
        <w:numPr>
          <w:ilvl w:val="2"/>
          <w:numId w:val="3"/>
        </w:numPr>
        <w:ind w:left="0" w:firstLine="0"/>
      </w:pPr>
      <w:r>
        <w:rPr>
          <w:color w:val="000000"/>
        </w:rPr>
        <w:t>Рабочая температура: от -40º до +70º;</w:t>
      </w:r>
    </w:p>
    <w:p w:rsidR="009A1B55" w:rsidRPr="009A1B55" w:rsidRDefault="009A1B55" w:rsidP="00983466">
      <w:pPr>
        <w:pStyle w:val="a0"/>
        <w:numPr>
          <w:ilvl w:val="2"/>
          <w:numId w:val="3"/>
        </w:numPr>
        <w:ind w:left="0" w:firstLine="0"/>
      </w:pPr>
      <w:r>
        <w:rPr>
          <w:color w:val="000000"/>
        </w:rPr>
        <w:t>Монтаж на DIN-рейку и панель;</w:t>
      </w:r>
    </w:p>
    <w:p w:rsidR="009A1B55" w:rsidRPr="009A1B55" w:rsidRDefault="009A1B55" w:rsidP="00983466">
      <w:pPr>
        <w:pStyle w:val="a0"/>
        <w:numPr>
          <w:ilvl w:val="2"/>
          <w:numId w:val="3"/>
        </w:numPr>
        <w:ind w:left="0" w:firstLine="0"/>
      </w:pPr>
      <w:r>
        <w:rPr>
          <w:color w:val="000000"/>
        </w:rPr>
        <w:t>Габаритные размер</w:t>
      </w:r>
      <w:proofErr w:type="gramStart"/>
      <w:r>
        <w:rPr>
          <w:color w:val="000000"/>
        </w:rPr>
        <w:t>ы(</w:t>
      </w:r>
      <w:proofErr w:type="gramEnd"/>
      <w:r>
        <w:rPr>
          <w:color w:val="000000"/>
        </w:rPr>
        <w:t>ШГВ) не более - 52x106.1x144.3 мм;</w:t>
      </w:r>
    </w:p>
    <w:p w:rsidR="009A1B55" w:rsidRPr="009A1B55" w:rsidRDefault="009A1B55" w:rsidP="00983466">
      <w:pPr>
        <w:pStyle w:val="a0"/>
        <w:numPr>
          <w:ilvl w:val="2"/>
          <w:numId w:val="3"/>
        </w:numPr>
        <w:ind w:left="0" w:firstLine="0"/>
      </w:pPr>
      <w:r>
        <w:rPr>
          <w:color w:val="000000"/>
        </w:rPr>
        <w:t>Вес не более– 730 г</w:t>
      </w:r>
    </w:p>
    <w:p w:rsidR="00061E39" w:rsidRPr="009A1B55" w:rsidRDefault="00061E39" w:rsidP="00983466">
      <w:pPr>
        <w:pStyle w:val="a0"/>
        <w:tabs>
          <w:tab w:val="left" w:pos="426"/>
        </w:tabs>
        <w:ind w:left="0"/>
      </w:pPr>
    </w:p>
    <w:p w:rsidR="00061E39" w:rsidRDefault="00824363" w:rsidP="00061E39">
      <w:pPr>
        <w:pStyle w:val="a0"/>
        <w:numPr>
          <w:ilvl w:val="0"/>
          <w:numId w:val="1"/>
        </w:numPr>
        <w:tabs>
          <w:tab w:val="left" w:pos="426"/>
        </w:tabs>
        <w:jc w:val="center"/>
        <w:rPr>
          <w:b/>
          <w:noProof/>
        </w:rPr>
      </w:pPr>
      <w:r>
        <w:rPr>
          <w:b/>
        </w:rPr>
        <w:t>Место</w:t>
      </w:r>
      <w:r w:rsidR="00061E39" w:rsidRPr="00061E39">
        <w:rPr>
          <w:b/>
        </w:rPr>
        <w:t xml:space="preserve"> проведения работ</w:t>
      </w:r>
    </w:p>
    <w:p w:rsidR="00F8144B" w:rsidRPr="00F8144B" w:rsidRDefault="00F8144B" w:rsidP="00F8144B">
      <w:pPr>
        <w:tabs>
          <w:tab w:val="left" w:pos="426"/>
        </w:tabs>
        <w:rPr>
          <w:b/>
          <w:noProof/>
        </w:rPr>
      </w:pPr>
      <w:r>
        <w:rPr>
          <w:bCs/>
          <w:iCs/>
        </w:rPr>
        <w:t xml:space="preserve">4.1. </w:t>
      </w:r>
      <w:r w:rsidRPr="00F8144B">
        <w:rPr>
          <w:bCs/>
          <w:iCs/>
        </w:rPr>
        <w:t xml:space="preserve">Светофорный объект на перекрестке ул. </w:t>
      </w:r>
      <w:proofErr w:type="gramStart"/>
      <w:r w:rsidRPr="00F8144B">
        <w:rPr>
          <w:bCs/>
          <w:iCs/>
        </w:rPr>
        <w:t>Якутская</w:t>
      </w:r>
      <w:proofErr w:type="gramEnd"/>
      <w:r w:rsidRPr="00F8144B">
        <w:rPr>
          <w:bCs/>
          <w:iCs/>
        </w:rPr>
        <w:t xml:space="preserve"> – ул. </w:t>
      </w:r>
      <w:bookmarkStart w:id="0" w:name="_GoBack"/>
      <w:bookmarkEnd w:id="0"/>
      <w:proofErr w:type="spellStart"/>
      <w:r w:rsidRPr="00F8144B">
        <w:rPr>
          <w:bCs/>
          <w:iCs/>
        </w:rPr>
        <w:t>Красноборская</w:t>
      </w:r>
      <w:proofErr w:type="spellEnd"/>
      <w:r w:rsidRPr="00F8144B">
        <w:rPr>
          <w:bCs/>
          <w:iCs/>
        </w:rPr>
        <w:t xml:space="preserve"> (подключение по </w:t>
      </w:r>
      <w:r w:rsidRPr="00F8144B">
        <w:rPr>
          <w:bCs/>
          <w:iCs/>
          <w:lang w:val="en-US"/>
        </w:rPr>
        <w:t>GSM</w:t>
      </w:r>
      <w:r w:rsidRPr="00F8144B">
        <w:rPr>
          <w:bCs/>
          <w:iCs/>
        </w:rPr>
        <w:t>-</w:t>
      </w:r>
      <w:r w:rsidRPr="00F8144B">
        <w:rPr>
          <w:bCs/>
          <w:iCs/>
          <w:lang w:val="en-US"/>
        </w:rPr>
        <w:t>GPRS</w:t>
      </w:r>
      <w:r w:rsidRPr="00F8144B">
        <w:rPr>
          <w:bCs/>
          <w:iCs/>
        </w:rPr>
        <w:t xml:space="preserve"> каналу)</w:t>
      </w:r>
      <w:r>
        <w:rPr>
          <w:bCs/>
          <w:iCs/>
        </w:rPr>
        <w:t>.</w:t>
      </w:r>
    </w:p>
    <w:p w:rsidR="00061E39" w:rsidRPr="00F8144B" w:rsidRDefault="00F8144B" w:rsidP="00F8144B">
      <w:pPr>
        <w:tabs>
          <w:tab w:val="left" w:pos="426"/>
        </w:tabs>
        <w:rPr>
          <w:b/>
          <w:noProof/>
        </w:rPr>
      </w:pPr>
      <w:r w:rsidRPr="00F8144B">
        <w:rPr>
          <w:bCs/>
          <w:iCs/>
        </w:rPr>
        <w:t>4.2. Светофорный объект на пешеходном переходе по ул. Революции, 5а  (подключение по оптико-волоконной линии связи)</w:t>
      </w:r>
      <w:r>
        <w:rPr>
          <w:bCs/>
          <w:iCs/>
        </w:rPr>
        <w:t>.</w:t>
      </w:r>
    </w:p>
    <w:p w:rsidR="00061E39" w:rsidRPr="00061E39" w:rsidRDefault="00061E39" w:rsidP="00061E39">
      <w:pPr>
        <w:pStyle w:val="a0"/>
        <w:tabs>
          <w:tab w:val="left" w:pos="426"/>
        </w:tabs>
        <w:rPr>
          <w:b/>
          <w:noProof/>
        </w:rPr>
      </w:pPr>
    </w:p>
    <w:p w:rsidR="0073200C" w:rsidRPr="0073200C" w:rsidRDefault="006D5973" w:rsidP="0073200C">
      <w:pPr>
        <w:pStyle w:val="1"/>
        <w:numPr>
          <w:ilvl w:val="0"/>
          <w:numId w:val="1"/>
        </w:numPr>
      </w:pPr>
      <w:r w:rsidRPr="006D5973">
        <w:t>Требования к производству работ</w:t>
      </w:r>
    </w:p>
    <w:p w:rsidR="0073200C" w:rsidRDefault="00061E39" w:rsidP="00061E39">
      <w:pPr>
        <w:pStyle w:val="a0"/>
        <w:numPr>
          <w:ilvl w:val="1"/>
          <w:numId w:val="1"/>
        </w:numPr>
        <w:ind w:left="0" w:firstLine="0"/>
        <w:jc w:val="both"/>
      </w:pPr>
      <w:r>
        <w:t xml:space="preserve"> </w:t>
      </w:r>
      <w:r w:rsidR="0073200C">
        <w:t>Монтаж оборудования должен производиться согласно технической документации изготовителя оборудования.</w:t>
      </w:r>
    </w:p>
    <w:p w:rsidR="00061E39" w:rsidRDefault="00061E39" w:rsidP="00061E39">
      <w:pPr>
        <w:pStyle w:val="a0"/>
        <w:numPr>
          <w:ilvl w:val="1"/>
          <w:numId w:val="1"/>
        </w:numPr>
        <w:ind w:left="0" w:firstLine="0"/>
        <w:jc w:val="both"/>
      </w:pPr>
      <w:r>
        <w:t xml:space="preserve"> </w:t>
      </w:r>
      <w:r w:rsidR="0073200C">
        <w:t>Все работы по монтажу, настро</w:t>
      </w:r>
      <w:r>
        <w:t>йке и подключению оборудования П</w:t>
      </w:r>
      <w:r w:rsidR="0073200C">
        <w:t>одрядчик самостоятельно  в установленном порядке согласовывает со всеми лицами, интересы и/или полномочия которых затрагиваются при производстве работ</w:t>
      </w:r>
      <w:r>
        <w:t>.</w:t>
      </w:r>
    </w:p>
    <w:p w:rsidR="0073200C" w:rsidRDefault="0073200C" w:rsidP="00061E39">
      <w:pPr>
        <w:pStyle w:val="a0"/>
        <w:numPr>
          <w:ilvl w:val="1"/>
          <w:numId w:val="1"/>
        </w:numPr>
        <w:ind w:left="0" w:firstLine="0"/>
        <w:jc w:val="both"/>
      </w:pPr>
      <w:r>
        <w:t xml:space="preserve">Все </w:t>
      </w:r>
      <w:r w:rsidR="00824363">
        <w:t xml:space="preserve">оборудование, </w:t>
      </w:r>
      <w:r>
        <w:t>материалы и комплектующие, необходимые при выполнени</w:t>
      </w:r>
      <w:r w:rsidR="00F06A57">
        <w:t>и работ по</w:t>
      </w:r>
      <w:r w:rsidR="00824363">
        <w:t xml:space="preserve"> реконструкции светофорных объектов</w:t>
      </w:r>
      <w:r>
        <w:t xml:space="preserve">, приобретаются Подрядчиком и дополнительно Заказчиком не оплачиваются. </w:t>
      </w:r>
      <w:r w:rsidR="00824363">
        <w:t>Оборудование, м</w:t>
      </w:r>
      <w:r>
        <w:t xml:space="preserve">атериалы и комплектующие, приобретаемые Подрядчиком, должны </w:t>
      </w:r>
      <w:r w:rsidR="00B810AB">
        <w:t xml:space="preserve">быть новыми, </w:t>
      </w:r>
      <w:r>
        <w:t>иметь документы, подтверждающие их качество и соответствие нормативным документам, действующим на территории Российской Федерации.</w:t>
      </w:r>
    </w:p>
    <w:p w:rsidR="000E2ACB" w:rsidRDefault="000E2ACB" w:rsidP="00061E39">
      <w:pPr>
        <w:jc w:val="both"/>
      </w:pPr>
    </w:p>
    <w:sectPr w:rsidR="000E2ACB" w:rsidSect="00AE1B8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57D" w:rsidRDefault="0076657D" w:rsidP="000753E1">
      <w:r>
        <w:separator/>
      </w:r>
    </w:p>
  </w:endnote>
  <w:endnote w:type="continuationSeparator" w:id="0">
    <w:p w:rsidR="0076657D" w:rsidRDefault="0076657D" w:rsidP="00075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57D" w:rsidRDefault="0076657D" w:rsidP="000753E1">
      <w:r>
        <w:separator/>
      </w:r>
    </w:p>
  </w:footnote>
  <w:footnote w:type="continuationSeparator" w:id="0">
    <w:p w:rsidR="0076657D" w:rsidRDefault="0076657D" w:rsidP="000753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D66C9"/>
    <w:multiLevelType w:val="multilevel"/>
    <w:tmpl w:val="EF5C25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6F749C9"/>
    <w:multiLevelType w:val="hybridMultilevel"/>
    <w:tmpl w:val="AC827A40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B3BF4"/>
    <w:multiLevelType w:val="multilevel"/>
    <w:tmpl w:val="941202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C1A3EAD"/>
    <w:multiLevelType w:val="multilevel"/>
    <w:tmpl w:val="47A4CE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>
    <w:nsid w:val="588B083B"/>
    <w:multiLevelType w:val="hybridMultilevel"/>
    <w:tmpl w:val="F3C20FE2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436FAB"/>
    <w:multiLevelType w:val="hybridMultilevel"/>
    <w:tmpl w:val="95242D1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69BD52DA"/>
    <w:multiLevelType w:val="hybridMultilevel"/>
    <w:tmpl w:val="949CA06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FB377B7"/>
    <w:multiLevelType w:val="hybridMultilevel"/>
    <w:tmpl w:val="EF0AFA78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C6280B"/>
    <w:multiLevelType w:val="hybridMultilevel"/>
    <w:tmpl w:val="C27CB066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3E332E"/>
    <w:multiLevelType w:val="hybridMultilevel"/>
    <w:tmpl w:val="51EA12B8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8"/>
  </w:num>
  <w:num w:numId="6">
    <w:abstractNumId w:val="1"/>
  </w:num>
  <w:num w:numId="7">
    <w:abstractNumId w:val="0"/>
  </w:num>
  <w:num w:numId="8">
    <w:abstractNumId w:val="4"/>
  </w:num>
  <w:num w:numId="9">
    <w:abstractNumId w:val="5"/>
  </w:num>
  <w:num w:numId="10">
    <w:abstractNumId w:val="0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354"/>
    <w:rsid w:val="00035716"/>
    <w:rsid w:val="00061E39"/>
    <w:rsid w:val="000753E1"/>
    <w:rsid w:val="000E2ACB"/>
    <w:rsid w:val="001705DE"/>
    <w:rsid w:val="00194045"/>
    <w:rsid w:val="00196ABC"/>
    <w:rsid w:val="002E1935"/>
    <w:rsid w:val="00383689"/>
    <w:rsid w:val="003F5668"/>
    <w:rsid w:val="00404627"/>
    <w:rsid w:val="00435820"/>
    <w:rsid w:val="004F0ABF"/>
    <w:rsid w:val="00504D52"/>
    <w:rsid w:val="00533014"/>
    <w:rsid w:val="005C7A6B"/>
    <w:rsid w:val="0065681E"/>
    <w:rsid w:val="00681354"/>
    <w:rsid w:val="006870C9"/>
    <w:rsid w:val="006D5973"/>
    <w:rsid w:val="00700E7A"/>
    <w:rsid w:val="0073200C"/>
    <w:rsid w:val="00753661"/>
    <w:rsid w:val="0076657D"/>
    <w:rsid w:val="00766799"/>
    <w:rsid w:val="0077195B"/>
    <w:rsid w:val="007E486F"/>
    <w:rsid w:val="00824363"/>
    <w:rsid w:val="00835B8E"/>
    <w:rsid w:val="008A398B"/>
    <w:rsid w:val="00983466"/>
    <w:rsid w:val="009A1B55"/>
    <w:rsid w:val="00AA156E"/>
    <w:rsid w:val="00AE1B80"/>
    <w:rsid w:val="00B202D6"/>
    <w:rsid w:val="00B26ED5"/>
    <w:rsid w:val="00B810AB"/>
    <w:rsid w:val="00BD597A"/>
    <w:rsid w:val="00C1012E"/>
    <w:rsid w:val="00CE5924"/>
    <w:rsid w:val="00DB4C00"/>
    <w:rsid w:val="00E42980"/>
    <w:rsid w:val="00E46361"/>
    <w:rsid w:val="00F06A57"/>
    <w:rsid w:val="00F8144B"/>
    <w:rsid w:val="00FA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398B"/>
    <w:pPr>
      <w:jc w:val="center"/>
      <w:outlineLvl w:val="0"/>
    </w:pPr>
    <w:rPr>
      <w:b/>
      <w:bCs/>
    </w:rPr>
  </w:style>
  <w:style w:type="paragraph" w:styleId="2">
    <w:name w:val="heading 2"/>
    <w:basedOn w:val="a0"/>
    <w:next w:val="a"/>
    <w:link w:val="20"/>
    <w:uiPriority w:val="9"/>
    <w:unhideWhenUsed/>
    <w:qFormat/>
    <w:rsid w:val="00FA0E28"/>
    <w:pPr>
      <w:numPr>
        <w:ilvl w:val="1"/>
        <w:numId w:val="3"/>
      </w:numPr>
      <w:outlineLvl w:val="1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A398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2"/>
    <w:rsid w:val="008A3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List Paragraph"/>
    <w:basedOn w:val="a"/>
    <w:uiPriority w:val="34"/>
    <w:qFormat/>
    <w:rsid w:val="0065681E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FA0E2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753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0753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753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0753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398B"/>
    <w:pPr>
      <w:jc w:val="center"/>
      <w:outlineLvl w:val="0"/>
    </w:pPr>
    <w:rPr>
      <w:b/>
      <w:bCs/>
    </w:rPr>
  </w:style>
  <w:style w:type="paragraph" w:styleId="2">
    <w:name w:val="heading 2"/>
    <w:basedOn w:val="a0"/>
    <w:next w:val="a"/>
    <w:link w:val="20"/>
    <w:uiPriority w:val="9"/>
    <w:unhideWhenUsed/>
    <w:qFormat/>
    <w:rsid w:val="00FA0E28"/>
    <w:pPr>
      <w:numPr>
        <w:ilvl w:val="1"/>
        <w:numId w:val="3"/>
      </w:numPr>
      <w:outlineLvl w:val="1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A398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2"/>
    <w:rsid w:val="008A3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List Paragraph"/>
    <w:basedOn w:val="a"/>
    <w:uiPriority w:val="34"/>
    <w:qFormat/>
    <w:rsid w:val="0065681E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FA0E2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753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0753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753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0753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Citrus-Project</Company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Крюкова Любовь Викторовна</dc:creator>
  <cp:lastModifiedBy>Сергей Бартов</cp:lastModifiedBy>
  <cp:revision>10</cp:revision>
  <dcterms:created xsi:type="dcterms:W3CDTF">2012-11-02T11:22:00Z</dcterms:created>
  <dcterms:modified xsi:type="dcterms:W3CDTF">2012-11-14T10:09:00Z</dcterms:modified>
</cp:coreProperties>
</file>