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506D91">
        <w:rPr>
          <w:rFonts w:ascii="Times New Roman" w:eastAsia="Times New Roman" w:hAnsi="Times New Roman"/>
          <w:b/>
          <w:lang w:eastAsia="ru-RU"/>
        </w:rPr>
        <w:t>96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506D91">
        <w:rPr>
          <w:rFonts w:ascii="Times New Roman" w:eastAsia="Times New Roman" w:hAnsi="Times New Roman"/>
          <w:b/>
          <w:lang w:eastAsia="ru-RU"/>
        </w:rPr>
        <w:t>12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506D91">
        <w:rPr>
          <w:rFonts w:ascii="Times New Roman" w:eastAsia="Times New Roman" w:hAnsi="Times New Roman"/>
          <w:b/>
          <w:lang w:eastAsia="ru-RU"/>
        </w:rPr>
        <w:t>ноября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506D91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90025E" w:rsidRPr="0090025E" w:rsidRDefault="007428E0" w:rsidP="00506D91">
      <w:pPr>
        <w:pStyle w:val="ac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4449A5">
        <w:rPr>
          <w:rFonts w:ascii="Times New Roman" w:hAnsi="Times New Roman"/>
          <w:b/>
          <w:color w:val="000000"/>
        </w:rPr>
        <w:t>выполнение работ по разработке</w:t>
      </w:r>
      <w:r w:rsidR="00506D91" w:rsidRPr="00506D91">
        <w:rPr>
          <w:rFonts w:ascii="Times New Roman" w:hAnsi="Times New Roman"/>
          <w:b/>
          <w:color w:val="000000"/>
        </w:rPr>
        <w:t xml:space="preserve"> веб-интерфейса дистанционного доступа к ресурсам комплекса технических средств видеонаблюдения и управления дорожным движением</w:t>
      </w:r>
    </w:p>
    <w:p w:rsidR="00B17CA4" w:rsidRPr="00686809" w:rsidRDefault="00B17CA4" w:rsidP="0090025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506D91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506D91" w:rsidP="0090025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</w:t>
            </w:r>
            <w:r w:rsidRPr="00506D91">
              <w:rPr>
                <w:rFonts w:ascii="Times New Roman" w:hAnsi="Times New Roman"/>
              </w:rPr>
              <w:t xml:space="preserve"> по разработке веб-интерфейса дистанционного доступа к ресурсам комплекса технических средств видеонаблюдения и управления дорожным движением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506D91" w:rsidP="000B6C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Объем выполняемых работ указан в Техническом задании (Приложение</w:t>
            </w:r>
            <w:r w:rsidRPr="00506D91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№ 1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6763DA" w:rsidP="006763DA">
            <w:pPr>
              <w:pStyle w:val="a5"/>
              <w:tabs>
                <w:tab w:val="left" w:pos="283"/>
              </w:tabs>
              <w:ind w:left="0"/>
              <w:jc w:val="both"/>
              <w:rPr>
                <w:sz w:val="22"/>
                <w:szCs w:val="22"/>
              </w:rPr>
            </w:pPr>
            <w:r w:rsidRPr="006763DA">
              <w:rPr>
                <w:sz w:val="22"/>
                <w:szCs w:val="22"/>
              </w:rPr>
              <w:t>Место</w:t>
            </w:r>
            <w:r w:rsidR="0090025E" w:rsidRPr="006763DA">
              <w:rPr>
                <w:sz w:val="22"/>
                <w:szCs w:val="22"/>
              </w:rPr>
              <w:t xml:space="preserve"> </w:t>
            </w:r>
            <w:r w:rsidRPr="006763DA">
              <w:rPr>
                <w:sz w:val="22"/>
                <w:szCs w:val="22"/>
              </w:rPr>
              <w:t>выполнения работ указано</w:t>
            </w:r>
            <w:r w:rsidR="0090025E" w:rsidRPr="006763DA">
              <w:rPr>
                <w:sz w:val="22"/>
                <w:szCs w:val="22"/>
              </w:rPr>
              <w:t xml:space="preserve"> в Техническом задании (</w:t>
            </w:r>
            <w:r w:rsidRPr="006763DA">
              <w:rPr>
                <w:sz w:val="22"/>
                <w:szCs w:val="22"/>
              </w:rPr>
              <w:t>Приложение</w:t>
            </w:r>
            <w:r w:rsidR="0090025E" w:rsidRPr="006763DA">
              <w:rPr>
                <w:sz w:val="22"/>
                <w:szCs w:val="22"/>
              </w:rPr>
              <w:t xml:space="preserve"> № 1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506D91" w:rsidP="00F6564A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320 000,00 (Триста двадцать тысяч рублей 00 копеек)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9A5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4449A5">
              <w:rPr>
                <w:rFonts w:ascii="Times New Roman" w:hAnsi="Times New Roman"/>
              </w:rPr>
              <w:t>Приложении №2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15B7F">
              <w:rPr>
                <w:rFonts w:ascii="Times New Roman" w:eastAsia="Times New Roman" w:hAnsi="Times New Roman"/>
                <w:lang w:eastAsia="ru-RU"/>
              </w:rPr>
              <w:t>20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15B7F">
              <w:rPr>
                <w:rFonts w:ascii="Times New Roman" w:eastAsia="Times New Roman" w:hAnsi="Times New Roman"/>
                <w:lang w:eastAsia="ru-RU"/>
              </w:rPr>
              <w:t>23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6763DA" w:rsidP="00F65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915B7F">
              <w:rPr>
                <w:rFonts w:ascii="Times New Roman" w:eastAsia="Times New Roman" w:hAnsi="Times New Roman"/>
                <w:lang w:eastAsia="ru-RU"/>
              </w:rPr>
              <w:t>26</w:t>
            </w:r>
            <w:r w:rsidR="007428E0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="007428E0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7428E0">
              <w:rPr>
                <w:rFonts w:ascii="Times New Roman" w:eastAsia="Times New Roman" w:hAnsi="Times New Roman"/>
                <w:lang w:eastAsia="ru-RU"/>
              </w:rPr>
              <w:t>2</w:t>
            </w:r>
            <w:r w:rsidR="007428E0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9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4449A5" w:rsidRDefault="00B048A7" w:rsidP="006763DA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>
        <w:rPr>
          <w:rFonts w:ascii="Times New Roman" w:hAnsi="Times New Roman"/>
          <w:b/>
          <w:color w:val="000000"/>
        </w:rPr>
        <w:t xml:space="preserve">заключить </w:t>
      </w: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90025E" w:rsidRPr="0090025E">
        <w:rPr>
          <w:rFonts w:ascii="Times New Roman" w:hAnsi="Times New Roman"/>
          <w:b/>
          <w:color w:val="000000"/>
        </w:rPr>
        <w:t xml:space="preserve">на </w:t>
      </w:r>
      <w:r w:rsidR="004449A5">
        <w:rPr>
          <w:rFonts w:ascii="Times New Roman" w:hAnsi="Times New Roman"/>
          <w:b/>
          <w:color w:val="000000"/>
        </w:rPr>
        <w:t>выполнение работ по разработке</w:t>
      </w:r>
      <w:r w:rsidR="006763DA" w:rsidRPr="006763DA">
        <w:rPr>
          <w:rFonts w:ascii="Times New Roman" w:hAnsi="Times New Roman"/>
          <w:b/>
          <w:color w:val="000000"/>
        </w:rPr>
        <w:t xml:space="preserve"> </w:t>
      </w:r>
    </w:p>
    <w:p w:rsidR="00B17CA4" w:rsidRPr="00B17CA4" w:rsidRDefault="006763DA" w:rsidP="006763D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763DA">
        <w:rPr>
          <w:rFonts w:ascii="Times New Roman" w:hAnsi="Times New Roman"/>
          <w:b/>
          <w:color w:val="000000"/>
        </w:rPr>
        <w:t>веб-интерфейса дистанционного доступа к ресурсам комплекса технических средств видеонаблюдения и управления дорожным движением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763DA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763DA"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 w:rsidRPr="006763DA"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763DA" w:rsidP="00977A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763DA">
              <w:rPr>
                <w:rFonts w:ascii="Times New Roman" w:hAnsi="Times New Roman"/>
                <w:color w:val="000000"/>
              </w:rPr>
              <w:t>Выполнение работ по разработке веб-интерфейса дистанционного доступа к ресурсам комплекса технических средств видеонаблюдения и управления дорожным движением</w:t>
            </w:r>
          </w:p>
        </w:tc>
      </w:tr>
      <w:tr w:rsidR="007428E0" w:rsidRPr="000268B6" w:rsidTr="0090025E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6763DA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63DA">
              <w:rPr>
                <w:rFonts w:ascii="Times New Roman" w:hAnsi="Times New Roman" w:cs="Times New Roman"/>
                <w:b/>
                <w:sz w:val="22"/>
                <w:szCs w:val="22"/>
              </w:rPr>
              <w:t>320 000,00 (Триста двадцать тысяч рублей 00 копеек)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4449A5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449A5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 приведено в  Приложении №2 к документации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6E4495" w:rsidRDefault="006763DA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763DA">
              <w:rPr>
                <w:rFonts w:ascii="Times New Roman" w:eastAsia="Times New Roman" w:hAnsi="Times New Roman"/>
                <w:lang w:eastAsia="ru-RU"/>
              </w:rPr>
              <w:t>Объем выполняемых работ указан в 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B5D06" w:rsidRDefault="006E4495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Требования к </w:t>
            </w:r>
            <w:r w:rsidR="006763DA">
              <w:rPr>
                <w:rFonts w:ascii="Times New Roman" w:eastAsia="Times New Roman" w:hAnsi="Times New Roman"/>
                <w:lang w:eastAsia="ru-RU"/>
              </w:rPr>
              <w:t xml:space="preserve">разработке </w:t>
            </w:r>
            <w:r w:rsidR="006763DA" w:rsidRPr="006763DA">
              <w:rPr>
                <w:rFonts w:ascii="Times New Roman" w:eastAsia="Times New Roman" w:hAnsi="Times New Roman"/>
                <w:lang w:eastAsia="ru-RU"/>
              </w:rPr>
              <w:t>веб-интерфейса дистанционного доступа к ресурсам комплекса технических средств видеонаблюдения и управления дорожным движением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указаны в Техническом задании 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>(Приложение № 1 к документации об открытом аукционе в электронной форме)</w:t>
            </w:r>
            <w:r w:rsidR="00056C9A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056C9A" w:rsidRDefault="00056C9A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56C9A" w:rsidRPr="000268B6" w:rsidRDefault="00056C9A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5B7F">
              <w:rPr>
                <w:rFonts w:ascii="Times New Roman" w:eastAsia="Times New Roman" w:hAnsi="Times New Roman"/>
                <w:lang w:eastAsia="ru-RU"/>
              </w:rPr>
              <w:t>В случае</w:t>
            </w:r>
            <w:proofErr w:type="gramStart"/>
            <w:r w:rsidRPr="00915B7F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Pr="00915B7F">
              <w:rPr>
                <w:rFonts w:ascii="Times New Roman" w:eastAsia="Times New Roman" w:hAnsi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C8777D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8777D">
              <w:rPr>
                <w:rFonts w:ascii="Times New Roman" w:eastAsia="Times New Roman" w:hAnsi="Times New Roman"/>
                <w:lang w:eastAsia="ru-RU"/>
              </w:rPr>
              <w:t>Место выполнения работ указано в 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65652" w:rsidRDefault="006763DA" w:rsidP="00C877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  <w:r w:rsidRPr="006763DA">
              <w:rPr>
                <w:rFonts w:ascii="Times New Roman" w:hAnsi="Times New Roman"/>
              </w:rPr>
              <w:t>обязан приступить к выполнению работ по созданию веб-интерфейса и сдать Заказчику законченный результат не позднее 18 декабря 2012 г.</w:t>
            </w:r>
            <w:r w:rsidR="00C8777D">
              <w:rPr>
                <w:rFonts w:ascii="Times New Roman" w:hAnsi="Times New Roman"/>
              </w:rPr>
              <w:t xml:space="preserve"> </w:t>
            </w:r>
            <w:r w:rsidR="0017729A" w:rsidRPr="0017729A">
              <w:rPr>
                <w:rFonts w:ascii="Times New Roman" w:hAnsi="Times New Roman"/>
              </w:rPr>
              <w:t>Датой окончания работ по созданию веб-интерфейса следует считать момент открытия доступа к нему в сети Интернет для пользователей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6E4495" w:rsidRDefault="0017729A" w:rsidP="006E4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7729A">
              <w:rPr>
                <w:rFonts w:ascii="Times New Roman" w:hAnsi="Times New Roman"/>
              </w:rPr>
              <w:t>Гарантийный срок на разработанный веб-интерфейс составляет 12 (Двенадцать) месяцев со дня приемки Заказчиком.</w:t>
            </w:r>
            <w:proofErr w:type="gramEnd"/>
          </w:p>
          <w:p w:rsidR="0017729A" w:rsidRPr="0017729A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729A">
              <w:rPr>
                <w:rFonts w:ascii="Times New Roman" w:hAnsi="Times New Roman"/>
              </w:rPr>
              <w:t xml:space="preserve">В период гарантийного срока Исполнитель обеспечивает за свой счет в согласованный с Заказчиком срок, не превышающий 5 календарных дней: </w:t>
            </w:r>
          </w:p>
          <w:p w:rsidR="0017729A" w:rsidRPr="0017729A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</w:t>
            </w:r>
            <w:r w:rsidRPr="0017729A">
              <w:rPr>
                <w:rFonts w:ascii="Times New Roman" w:hAnsi="Times New Roman"/>
              </w:rPr>
              <w:t xml:space="preserve">справление выявленных смысловых, орфографических и синтаксических ошибок, допущенных в процессе работы по вине Исполнителя; </w:t>
            </w:r>
          </w:p>
          <w:p w:rsidR="0017729A" w:rsidRPr="0017729A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и</w:t>
            </w:r>
            <w:r w:rsidRPr="0017729A">
              <w:rPr>
                <w:rFonts w:ascii="Times New Roman" w:hAnsi="Times New Roman"/>
              </w:rPr>
              <w:t>справление неработающих (сломанных) гиперссылок;</w:t>
            </w:r>
          </w:p>
          <w:p w:rsidR="0017729A" w:rsidRPr="0017729A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</w:t>
            </w:r>
            <w:r w:rsidRPr="0017729A">
              <w:rPr>
                <w:rFonts w:ascii="Times New Roman" w:hAnsi="Times New Roman"/>
              </w:rPr>
              <w:t>справление не загружающихся рисунков (картинок), исправление не правильных (ошибочных) ссылок на файлы и документы в структуре веб-интерфейса;</w:t>
            </w:r>
          </w:p>
          <w:p w:rsidR="0017729A" w:rsidRPr="0017729A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</w:t>
            </w:r>
            <w:r w:rsidRPr="0017729A">
              <w:rPr>
                <w:rFonts w:ascii="Times New Roman" w:hAnsi="Times New Roman"/>
              </w:rPr>
              <w:t>справление ошибок в указании цифр и названий, не соответствующих фактическим цифрам и названиям;</w:t>
            </w:r>
          </w:p>
          <w:p w:rsidR="0017729A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</w:t>
            </w:r>
            <w:r w:rsidRPr="0017729A">
              <w:rPr>
                <w:rFonts w:ascii="Times New Roman" w:hAnsi="Times New Roman"/>
              </w:rPr>
              <w:t>справление в программных модулях и коде в случае обнаружения ошибок в работе данных модулей/кода.</w:t>
            </w:r>
          </w:p>
          <w:p w:rsidR="0017729A" w:rsidRPr="006E4495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729A">
              <w:rPr>
                <w:rFonts w:ascii="Times New Roman" w:hAnsi="Times New Roman"/>
              </w:rPr>
              <w:t>Течение гарантийного срока приостанавливается на время, в течение которого веб-интерфейс не мог эксплуатироваться вследствие недостатков, за которые отвечает Исполнитель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729A" w:rsidRDefault="0017729A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17729A">
              <w:rPr>
                <w:sz w:val="22"/>
                <w:szCs w:val="22"/>
              </w:rPr>
              <w:t>По окончании выполнения работ Исполнитель извещает Заказчика о готовности к сдаче разработанного веб-интерфейса и предоставляет Заказчику акт приемки вы</w:t>
            </w:r>
            <w:r>
              <w:rPr>
                <w:sz w:val="22"/>
                <w:szCs w:val="22"/>
              </w:rPr>
              <w:t>полненных работ</w:t>
            </w:r>
            <w:r w:rsidRPr="0017729A">
              <w:rPr>
                <w:sz w:val="22"/>
                <w:szCs w:val="22"/>
              </w:rPr>
              <w:t>, счет и счет-фактуру (при наличии) на выполненные работы</w:t>
            </w:r>
          </w:p>
          <w:p w:rsidR="0017729A" w:rsidRDefault="0017729A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17729A">
              <w:rPr>
                <w:sz w:val="22"/>
                <w:szCs w:val="22"/>
              </w:rPr>
              <w:t>Оплата Исполнителем работ осуществляется Заказчиком путем безналичного перечисления денежных средств на расчетный счет Исполнителя в течение 20 (Двадцати) банковских дней после подписания сторонами акта приемки выполненных работ и предоставления Заказчику счета и счета-фактуры (при наличии). Оплата по контракту третьим лицам не допускается.</w:t>
            </w:r>
          </w:p>
          <w:p w:rsidR="00A102E4" w:rsidRPr="00A102E4" w:rsidRDefault="0017729A" w:rsidP="0017729A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17729A">
              <w:rPr>
                <w:sz w:val="22"/>
                <w:szCs w:val="22"/>
              </w:rPr>
              <w:t xml:space="preserve">При проведении оплаты выполненных Исполнителем работ Заказчик удерживает неустойку, начисленную в соответствии с п. 7.1 </w:t>
            </w:r>
            <w:r>
              <w:rPr>
                <w:sz w:val="22"/>
                <w:szCs w:val="22"/>
              </w:rPr>
              <w:t>к</w:t>
            </w:r>
            <w:r w:rsidRPr="0017729A">
              <w:rPr>
                <w:sz w:val="22"/>
                <w:szCs w:val="22"/>
              </w:rPr>
              <w:t>онтракта. Обязательство по перечислению неустойки по контракту в бюджет города Перми исполняет Заказчик.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A102E4" w:rsidRPr="00A102E4" w:rsidRDefault="0017729A" w:rsidP="001772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729A">
              <w:rPr>
                <w:rFonts w:ascii="Times New Roman" w:hAnsi="Times New Roman"/>
              </w:rPr>
              <w:t>Цена контракта включает в себя расходы на разработку, отладку, проведение испытаний веб-интерфейса, исправление выявленных ошибок или фактов некорректной работы веб-интерфейса, иных недостатков, проведение опытной эксплуатации и размещение веб-интерфейса в сети Интернет, уплату налогов, сборов и других обязательных платежей и иных расходов, связанных с выполнением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F5980" w:rsidRPr="00FD5956" w:rsidRDefault="00C8777D" w:rsidP="00C8777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C8777D">
              <w:rPr>
                <w:rFonts w:ascii="Times New Roman" w:eastAsia="Times New Roman" w:hAnsi="Times New Roman"/>
                <w:lang w:eastAsia="ru-RU"/>
              </w:rPr>
              <w:t>Согласие участника размещения заказа на выполнение работ, предусмотренных документацией об открытом аукционе в электронной форме в соответствии с техническим заданием - приложение №1, условиями контракта – приложение №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C877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56A5" w:rsidRPr="00FD31A2" w:rsidRDefault="00831CB3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="0089208E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17729A">
              <w:rPr>
                <w:rFonts w:ascii="Times New Roman" w:eastAsia="Times New Roman" w:hAnsi="Times New Roman"/>
                <w:b/>
                <w:bCs/>
                <w:lang w:eastAsia="ru-RU"/>
              </w:rPr>
              <w:t>16 000,00</w:t>
            </w:r>
            <w:r w:rsidR="00C8777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A102E4">
              <w:rPr>
                <w:rFonts w:ascii="Times New Roman" w:eastAsia="Times New Roman" w:hAnsi="Times New Roman"/>
                <w:b/>
                <w:bCs/>
                <w:lang w:eastAsia="ru-RU"/>
              </w:rPr>
              <w:t>(</w:t>
            </w:r>
            <w:r w:rsidR="0017729A">
              <w:rPr>
                <w:rFonts w:ascii="Times New Roman" w:eastAsia="Times New Roman" w:hAnsi="Times New Roman"/>
                <w:b/>
                <w:bCs/>
                <w:lang w:eastAsia="ru-RU"/>
              </w:rPr>
              <w:t>Шестнадцать тысяч рублей 00 копеек) рублей.</w:t>
            </w:r>
          </w:p>
          <w:p w:rsidR="00B17CA4" w:rsidRPr="000268B6" w:rsidRDefault="00B17CA4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15B7F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B7F" w:rsidRPr="000268B6" w:rsidRDefault="00915B7F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B7F" w:rsidRDefault="00915B7F" w:rsidP="009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915B7F" w:rsidRPr="00B17CA4" w:rsidRDefault="00915B7F" w:rsidP="0091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915B7F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B7F" w:rsidRPr="000268B6" w:rsidRDefault="00915B7F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B7F" w:rsidRPr="00B17CA4" w:rsidRDefault="00915B7F" w:rsidP="00915B7F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23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5B7F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B7F" w:rsidRPr="000268B6" w:rsidRDefault="00915B7F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5B7F" w:rsidRPr="00B17CA4" w:rsidRDefault="00915B7F" w:rsidP="00915B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F40E7" w:rsidRPr="000268B6" w:rsidRDefault="00DD45E7" w:rsidP="00C8777D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17729A">
              <w:rPr>
                <w:rFonts w:ascii="Times New Roman" w:eastAsia="Times New Roman" w:hAnsi="Times New Roman"/>
                <w:b/>
                <w:lang w:eastAsia="ru-RU"/>
              </w:rPr>
              <w:t>96 000,00</w:t>
            </w:r>
            <w:r w:rsidR="00B3598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>(</w:t>
            </w:r>
            <w:r w:rsidR="0017729A">
              <w:rPr>
                <w:rFonts w:ascii="Times New Roman" w:eastAsia="Times New Roman" w:hAnsi="Times New Roman"/>
                <w:b/>
                <w:lang w:eastAsia="ru-RU"/>
              </w:rPr>
              <w:t>Девяносто шесть тысяч рублей 00 копеек</w:t>
            </w:r>
            <w:r w:rsidR="00C8777D">
              <w:rPr>
                <w:rFonts w:ascii="Times New Roman" w:eastAsia="Times New Roman" w:hAnsi="Times New Roman"/>
                <w:b/>
                <w:lang w:eastAsia="ru-RU"/>
              </w:rPr>
              <w:t xml:space="preserve">) 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102E4" w:rsidRDefault="00A102E4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77D" w:rsidRDefault="00C8777D" w:rsidP="00177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7F" w:rsidRDefault="00915B7F" w:rsidP="00665C35">
      <w:pPr>
        <w:spacing w:after="0" w:line="240" w:lineRule="auto"/>
      </w:pPr>
      <w:r>
        <w:separator/>
      </w:r>
    </w:p>
  </w:endnote>
  <w:endnote w:type="continuationSeparator" w:id="0">
    <w:p w:rsidR="00915B7F" w:rsidRDefault="00915B7F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7F" w:rsidRDefault="00915B7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8777D">
      <w:rPr>
        <w:noProof/>
      </w:rPr>
      <w:t>8</w:t>
    </w:r>
    <w:r>
      <w:fldChar w:fldCharType="end"/>
    </w:r>
  </w:p>
  <w:p w:rsidR="00915B7F" w:rsidRDefault="00915B7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7F" w:rsidRDefault="00915B7F" w:rsidP="00665C35">
      <w:pPr>
        <w:spacing w:after="0" w:line="240" w:lineRule="auto"/>
      </w:pPr>
      <w:r>
        <w:separator/>
      </w:r>
    </w:p>
  </w:footnote>
  <w:footnote w:type="continuationSeparator" w:id="0">
    <w:p w:rsidR="00915B7F" w:rsidRDefault="00915B7F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036F4"/>
    <w:rsid w:val="000268B6"/>
    <w:rsid w:val="00035290"/>
    <w:rsid w:val="00035AFD"/>
    <w:rsid w:val="00052E75"/>
    <w:rsid w:val="00056C9A"/>
    <w:rsid w:val="00094DEE"/>
    <w:rsid w:val="000B6C4F"/>
    <w:rsid w:val="000D35AF"/>
    <w:rsid w:val="000F3E67"/>
    <w:rsid w:val="00124240"/>
    <w:rsid w:val="001269FE"/>
    <w:rsid w:val="00137022"/>
    <w:rsid w:val="0014516B"/>
    <w:rsid w:val="00154012"/>
    <w:rsid w:val="0017729A"/>
    <w:rsid w:val="001A5FE0"/>
    <w:rsid w:val="001C1223"/>
    <w:rsid w:val="001D24DD"/>
    <w:rsid w:val="001F5980"/>
    <w:rsid w:val="00212503"/>
    <w:rsid w:val="00217C5D"/>
    <w:rsid w:val="00240C33"/>
    <w:rsid w:val="00262EF9"/>
    <w:rsid w:val="002952B6"/>
    <w:rsid w:val="002D3798"/>
    <w:rsid w:val="002D614C"/>
    <w:rsid w:val="002E51B3"/>
    <w:rsid w:val="002F1F4B"/>
    <w:rsid w:val="00315857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449A5"/>
    <w:rsid w:val="00463173"/>
    <w:rsid w:val="004758CE"/>
    <w:rsid w:val="004A070D"/>
    <w:rsid w:val="004D2879"/>
    <w:rsid w:val="004F1AB2"/>
    <w:rsid w:val="00505466"/>
    <w:rsid w:val="00506D91"/>
    <w:rsid w:val="0058263E"/>
    <w:rsid w:val="00592169"/>
    <w:rsid w:val="005B5D06"/>
    <w:rsid w:val="005E3B7C"/>
    <w:rsid w:val="005E4FCC"/>
    <w:rsid w:val="00626341"/>
    <w:rsid w:val="00646595"/>
    <w:rsid w:val="00665C35"/>
    <w:rsid w:val="0066619B"/>
    <w:rsid w:val="0067130B"/>
    <w:rsid w:val="006763DA"/>
    <w:rsid w:val="00686809"/>
    <w:rsid w:val="006B49C5"/>
    <w:rsid w:val="006E099C"/>
    <w:rsid w:val="006E4495"/>
    <w:rsid w:val="00736B84"/>
    <w:rsid w:val="007428E0"/>
    <w:rsid w:val="00781B0B"/>
    <w:rsid w:val="007A4ABE"/>
    <w:rsid w:val="007B130C"/>
    <w:rsid w:val="007D7685"/>
    <w:rsid w:val="007E259C"/>
    <w:rsid w:val="007E466B"/>
    <w:rsid w:val="00802D6E"/>
    <w:rsid w:val="00810612"/>
    <w:rsid w:val="00814582"/>
    <w:rsid w:val="00831CB3"/>
    <w:rsid w:val="00853611"/>
    <w:rsid w:val="00861219"/>
    <w:rsid w:val="00861419"/>
    <w:rsid w:val="00876223"/>
    <w:rsid w:val="00880CC7"/>
    <w:rsid w:val="0089208E"/>
    <w:rsid w:val="0090025E"/>
    <w:rsid w:val="00913471"/>
    <w:rsid w:val="00915B7F"/>
    <w:rsid w:val="00926A04"/>
    <w:rsid w:val="009304F4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02E4"/>
    <w:rsid w:val="00A1467C"/>
    <w:rsid w:val="00A219B1"/>
    <w:rsid w:val="00A300B5"/>
    <w:rsid w:val="00A33006"/>
    <w:rsid w:val="00A61D94"/>
    <w:rsid w:val="00A727A2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FD7"/>
    <w:rsid w:val="00B17CA4"/>
    <w:rsid w:val="00B17F63"/>
    <w:rsid w:val="00B35981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8777D"/>
    <w:rsid w:val="00C93592"/>
    <w:rsid w:val="00C93A13"/>
    <w:rsid w:val="00C956A5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96A36"/>
    <w:rsid w:val="00ED56D0"/>
    <w:rsid w:val="00EF1C33"/>
    <w:rsid w:val="00F023C6"/>
    <w:rsid w:val="00F34DC5"/>
    <w:rsid w:val="00F461FC"/>
    <w:rsid w:val="00F52B1E"/>
    <w:rsid w:val="00F6564A"/>
    <w:rsid w:val="00F82D80"/>
    <w:rsid w:val="00F870AE"/>
    <w:rsid w:val="00F910C4"/>
    <w:rsid w:val="00F91CD9"/>
    <w:rsid w:val="00FA286C"/>
    <w:rsid w:val="00FB3AC0"/>
    <w:rsid w:val="00FD31A2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67908-005E-43B8-A417-978DD1C2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24</cp:revision>
  <cp:lastPrinted>2012-10-30T13:04:00Z</cp:lastPrinted>
  <dcterms:created xsi:type="dcterms:W3CDTF">2012-10-10T08:21:00Z</dcterms:created>
  <dcterms:modified xsi:type="dcterms:W3CDTF">2012-11-12T15:03:00Z</dcterms:modified>
</cp:coreProperties>
</file>