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5D" w:rsidRPr="00F7495D" w:rsidRDefault="00454234" w:rsidP="00F74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2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2472247</wp:posOffset>
                </wp:positionH>
                <wp:positionV relativeFrom="paragraph">
                  <wp:posOffset>345440</wp:posOffset>
                </wp:positionV>
                <wp:extent cx="3686175" cy="1403985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234" w:rsidRPr="00454234" w:rsidRDefault="00454234" w:rsidP="00CC462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454234" w:rsidRPr="00454234" w:rsidRDefault="00454234" w:rsidP="00CC462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Муниципального</w:t>
                            </w:r>
                            <w:r w:rsidR="006644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  <w:t xml:space="preserve">казенного </w:t>
                            </w: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учреждения </w:t>
                            </w:r>
                            <w:r w:rsidR="0066444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«Содержание муниципального имущества»</w:t>
                            </w:r>
                          </w:p>
                          <w:p w:rsidR="00664443" w:rsidRDefault="00664443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54234" w:rsidRPr="00454234" w:rsidRDefault="00454234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/И. Р. </w:t>
                            </w:r>
                            <w:proofErr w:type="spellStart"/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454234" w:rsidRPr="00454234" w:rsidRDefault="00454234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54234" w:rsidRPr="00454234" w:rsidRDefault="00454234" w:rsidP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23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 _________ 2012 года</w:t>
                            </w:r>
                          </w:p>
                          <w:p w:rsidR="00454234" w:rsidRPr="00454234" w:rsidRDefault="0045423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4.65pt;margin-top:27.2pt;width:290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" stroked="f">
                <v:textbox style="mso-fit-shape-to-text:t">
                  <w:txbxContent>
                    <w:p w:rsidR="00454234" w:rsidRPr="00454234" w:rsidRDefault="00454234" w:rsidP="00CC4624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454234" w:rsidRPr="00454234" w:rsidRDefault="00454234" w:rsidP="00CC462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Муниципального</w:t>
                      </w:r>
                      <w:r w:rsidR="006644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  <w:t xml:space="preserve">казенного </w:t>
                      </w: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учреждения </w:t>
                      </w:r>
                      <w:r w:rsidR="0066444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«Содержание муниципального имущества»</w:t>
                      </w:r>
                    </w:p>
                    <w:p w:rsidR="00664443" w:rsidRDefault="00664443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54234" w:rsidRPr="00454234" w:rsidRDefault="00454234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/И. Р. </w:t>
                      </w:r>
                      <w:proofErr w:type="spellStart"/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454234" w:rsidRPr="00454234" w:rsidRDefault="00454234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54234" w:rsidRPr="00454234" w:rsidRDefault="00454234" w:rsidP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5423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 _________ 2012 года</w:t>
                      </w:r>
                    </w:p>
                    <w:p w:rsidR="00454234" w:rsidRPr="00454234" w:rsidRDefault="0045423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624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4624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C4624" w:rsidRDefault="00CC4624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95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ДОКУМЕНТАЦИЯ ОБ ОТКРЫТОМ АУКЦИОНЕ</w:t>
      </w:r>
    </w:p>
    <w:p w:rsidR="00F7495D" w:rsidRPr="00F7495D" w:rsidRDefault="00F7495D" w:rsidP="00F749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95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 ЭЛЕКТРОННОЙ ФОРМЕ</w:t>
      </w:r>
    </w:p>
    <w:p w:rsidR="00F7495D" w:rsidRPr="00F7495D" w:rsidRDefault="00F7495D" w:rsidP="003C4B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9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на право заключить муниципальный контракт </w:t>
      </w:r>
      <w:r w:rsidR="003C4B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C4B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у</w:t>
      </w:r>
      <w:r w:rsidR="003C4BDC" w:rsidRPr="003C4B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</w:r>
    </w:p>
    <w:p w:rsidR="00F7495D" w:rsidRPr="00F7495D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DC" w:rsidRDefault="003C4BDC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BDC" w:rsidRPr="00F7495D" w:rsidRDefault="003C4BDC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95D" w:rsidRDefault="00F7495D" w:rsidP="00F7495D">
      <w:pPr>
        <w:spacing w:before="100" w:beforeAutospacing="1" w:after="100" w:afterAutospacing="1" w:line="51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58A" w:rsidRDefault="00664443" w:rsidP="003C4BDC">
      <w:pPr>
        <w:spacing w:before="100" w:beforeAutospacing="1" w:after="100" w:afterAutospacing="1" w:line="240" w:lineRule="auto"/>
        <w:ind w:left="-426"/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F7495D" w:rsidRPr="00F7495D">
        <w:rPr>
          <w:rFonts w:ascii="Times New Roman" w:eastAsia="Times New Roman" w:hAnsi="Times New Roman" w:cs="Times New Roman"/>
          <w:sz w:val="27"/>
          <w:szCs w:val="27"/>
          <w:lang w:eastAsia="ru-RU"/>
        </w:rPr>
        <w:t>. Пермь, 2012 год</w:t>
      </w:r>
      <w:r w:rsidR="00F5358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br/>
      </w:r>
      <w:r w:rsidR="00F5358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br w:type="page"/>
      </w:r>
    </w:p>
    <w:tbl>
      <w:tblPr>
        <w:tblW w:w="10277" w:type="dxa"/>
        <w:jc w:val="center"/>
        <w:tblCellSpacing w:w="18" w:type="dxa"/>
        <w:tblInd w:w="-8891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08"/>
        <w:gridCol w:w="1727"/>
        <w:gridCol w:w="2070"/>
        <w:gridCol w:w="5813"/>
        <w:gridCol w:w="59"/>
      </w:tblGrid>
      <w:tr w:rsidR="00276733" w:rsidRPr="00F7495D" w:rsidTr="00C94ACA">
        <w:trPr>
          <w:trHeight w:val="275"/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276733" w:rsidRPr="00F7495D" w:rsidRDefault="00276733" w:rsidP="00E170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276733" w:rsidRPr="00F7495D" w:rsidRDefault="00276733" w:rsidP="00E170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276733" w:rsidRPr="00F7495D" w:rsidRDefault="00276733" w:rsidP="005863B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-5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.Сведения о заказчике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«Содержание муниципального имущества»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614000, г. Пермь, ул. Николая Островского,27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614000, г. Пермь, ул. Николая Островского,27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tender</w:t>
            </w:r>
            <w:proofErr w:type="spellEnd"/>
            <w:r w:rsidRPr="00F7495D">
              <w:rPr>
                <w:rFonts w:ascii="Times New Roman" w:eastAsia="Times New Roman" w:hAnsi="Times New Roman" w:cs="Times New Roman"/>
                <w:lang w:val="en-US" w:eastAsia="ru-RU"/>
              </w:rPr>
              <w:t>@smi.perm.ru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(342) 217-11-24</w:t>
            </w:r>
            <w:r w:rsidRPr="00F7495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217-10-18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5863B5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Контактные лица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5863B5" w:rsidRDefault="00276733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Сухарева Анастасия Александровна – ответственный специалист за размещение муниципального заказа; </w:t>
            </w:r>
          </w:p>
          <w:p w:rsidR="00276733" w:rsidRPr="00F7495D" w:rsidRDefault="00276733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Филиппов Сергей Георгиевич – начальник технического отдела;</w:t>
            </w:r>
          </w:p>
          <w:p w:rsidR="00276733" w:rsidRPr="00F7495D" w:rsidRDefault="00276733" w:rsidP="005863B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Гайдоба</w:t>
            </w:r>
            <w:proofErr w:type="spellEnd"/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Виталий Ефимови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F7495D">
              <w:rPr>
                <w:rFonts w:ascii="Arial" w:eastAsia="Times New Roman" w:hAnsi="Arial" w:cs="Arial"/>
                <w:color w:val="000080"/>
                <w:lang w:eastAsia="ru-RU"/>
              </w:rPr>
              <w:t>-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начальник отдела эксплуатации и содержания защитных сооружений.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Сведения о предмете открытого </w:t>
            </w:r>
            <w:proofErr w:type="spellStart"/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аукционав</w:t>
            </w:r>
            <w:proofErr w:type="spellEnd"/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электронной форме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5358A" w:rsidRDefault="005863B5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3B5">
              <w:rPr>
                <w:rFonts w:ascii="Times New Roman" w:eastAsia="Times New Roman" w:hAnsi="Times New Roman" w:cs="Times New Roman"/>
                <w:lang w:eastAsia="ru-RU"/>
              </w:rPr>
              <w:t>Услуги пультовой охраны объектов Заказчика, оборудованных охранной сигнализацией с радиоканалом (далее – ОС), при помощи ОС и группы быстрого реагирования (далее – ГБР)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276733" w:rsidRPr="00F7495D" w:rsidRDefault="00D1503B" w:rsidP="00D1503B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2 059 200,00 рублей (д</w:t>
            </w:r>
            <w:r w:rsidR="00276733"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ва миллиона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пятьдесят девять тысяч двести</w:t>
            </w:r>
            <w:r w:rsidR="00276733"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00 копеек)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(приложение №1 к документации об открытом аукционе в электронной форме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)-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методом среднерыночного расчета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Объем оказываемых услуг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B82342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342">
              <w:rPr>
                <w:rFonts w:ascii="Times New Roman" w:eastAsia="Times New Roman" w:hAnsi="Times New Roman" w:cs="Times New Roman"/>
                <w:lang w:eastAsia="ru-RU"/>
              </w:rPr>
              <w:t>24 552 (двадцать четыре тысячи пятьсот пятьдесят два) суток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Требования к оказываемым услугам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В соответствии с проектом муниципального контракта (приложение №2 к документации об открытом аукционе в электронной форме)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Место оказания услуг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542AA5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проектом муниципального контракта (приложение №2 к документации об открытом аукционе в электронной форме)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Условия и сроки (периоды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казания услуг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A05843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A05843"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058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по 3</w:t>
            </w:r>
            <w:r w:rsidR="00542A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42A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.2013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Оплата производится в порядке, предусмотренном в проекте муниципального контракта (приложение №2 к документации об открытом аукционе в электронной форме).</w:t>
            </w:r>
          </w:p>
          <w:p w:rsidR="00276733" w:rsidRPr="00E51D0B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по муниципальному контракту, являющемуся приложением к аукционной документации, производится на счет исполнителя, указанный в таком контракте. Оплата по муниципальному контракту третьим лицам не допускается. 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Бюджет города Перми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14154" w:rsidRDefault="00114154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154">
              <w:rPr>
                <w:rFonts w:ascii="Times New Roman" w:eastAsia="Times New Roman" w:hAnsi="Times New Roman" w:cs="Times New Roman"/>
                <w:lang w:eastAsia="ru-RU"/>
              </w:rPr>
              <w:t xml:space="preserve">Цена контракта является твердой и не может изменяться в ходе его исполнения, за исключением случаев определенных аукционной документацией и муниципальным контрактом. </w:t>
            </w:r>
          </w:p>
          <w:p w:rsidR="00276733" w:rsidRPr="00F7495D" w:rsidRDefault="00114154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154">
              <w:rPr>
                <w:rFonts w:ascii="Times New Roman" w:eastAsia="Times New Roman" w:hAnsi="Times New Roman" w:cs="Times New Roman"/>
                <w:lang w:eastAsia="ru-RU"/>
              </w:rPr>
              <w:t>Цена контракта должна включать расходы на перевозку, страхование, уплату таможенных пошлин, налогов и других обязательных платежей. Расчетным периодом является календарный месяц.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Не применяется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276733" w:rsidRPr="00F7495D" w:rsidTr="00C94ACA">
        <w:trPr>
          <w:trHeight w:val="60"/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left="34"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происхождения, имеющим лицензию на оказание охранных услуг в соответствии с действующим законодательством.</w:t>
            </w:r>
          </w:p>
          <w:p w:rsidR="00276733" w:rsidRPr="00F7495D" w:rsidRDefault="00276733" w:rsidP="00E771DE">
            <w:pPr>
              <w:spacing w:before="100" w:beforeAutospacing="1" w:after="100" w:afterAutospacing="1" w:line="60" w:lineRule="atLeast"/>
              <w:ind w:left="34"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left="34" w:firstLine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При размещении заказа путем проведения открытого аукциона в электронной форме устанавливаются следующие </w:t>
            </w:r>
            <w:r w:rsidRPr="00C8028A">
              <w:rPr>
                <w:rFonts w:ascii="Times New Roman" w:eastAsia="Times New Roman" w:hAnsi="Times New Roman" w:cs="Times New Roman"/>
                <w:lang w:eastAsia="ru-RU"/>
              </w:rPr>
              <w:t>обязательные требования к участникам размещения заказа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276733" w:rsidRPr="00F7495D" w:rsidTr="00383AD4">
        <w:trPr>
          <w:trHeight w:val="408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2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открытого </w:t>
            </w:r>
            <w:r w:rsidRPr="00F749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276733" w:rsidRPr="00F7495D" w:rsidTr="00383AD4">
        <w:trPr>
          <w:trHeight w:val="444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3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Непроведение</w:t>
            </w:r>
            <w:proofErr w:type="spell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276733" w:rsidRPr="00F7495D" w:rsidTr="00383AD4">
        <w:trPr>
          <w:trHeight w:val="468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4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Неприостановление</w:t>
            </w:r>
            <w:proofErr w:type="spell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276733" w:rsidRPr="00F7495D" w:rsidTr="00383AD4">
        <w:trPr>
          <w:trHeight w:val="1452"/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5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771DE">
            <w:pPr>
              <w:spacing w:before="100" w:beforeAutospacing="1" w:after="100" w:afterAutospacing="1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524D3C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9E64A7">
            <w:pPr>
              <w:spacing w:before="100" w:beforeAutospacing="1" w:after="100" w:afterAutospacing="1" w:line="240" w:lineRule="auto"/>
              <w:ind w:firstLine="5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13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сведения: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7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форме.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9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10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D11ADA" w:rsidRDefault="00276733" w:rsidP="00D11ADA">
            <w:p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11A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11A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опии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открытого аукциона в электронной форме</w:t>
            </w:r>
            <w:r w:rsidR="007401E7" w:rsidRPr="00D11AD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:</w:t>
            </w:r>
          </w:p>
          <w:p w:rsidR="007401E7" w:rsidRPr="00D11ADA" w:rsidRDefault="007401E7" w:rsidP="00D11ADA">
            <w:pPr>
              <w:pStyle w:val="a5"/>
              <w:numPr>
                <w:ilvl w:val="1"/>
                <w:numId w:val="10"/>
              </w:num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DA">
              <w:rPr>
                <w:rFonts w:ascii="Times New Roman" w:eastAsia="Times New Roman" w:hAnsi="Times New Roman" w:cs="Times New Roman"/>
                <w:i/>
                <w:lang w:eastAsia="ru-RU"/>
              </w:rPr>
              <w:t>лицензи</w:t>
            </w:r>
            <w:r w:rsidR="00FF1F0A" w:rsidRPr="00D11ADA">
              <w:rPr>
                <w:rFonts w:ascii="Times New Roman" w:eastAsia="Times New Roman" w:hAnsi="Times New Roman" w:cs="Times New Roman"/>
                <w:i/>
                <w:lang w:eastAsia="ru-RU"/>
              </w:rPr>
              <w:t>я</w:t>
            </w:r>
            <w:r w:rsidRPr="00D11AD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на осуществление частной охранной деятельности с указанием требуемых видов услуг:</w:t>
            </w:r>
            <w:r w:rsidR="00D11ADA" w:rsidRPr="00D11AD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gramStart"/>
            <w:r w:rsidRPr="00D11ADA">
              <w:rPr>
                <w:rFonts w:ascii="Times New Roman" w:eastAsia="Times New Roman" w:hAnsi="Times New Roman" w:cs="Times New Roman"/>
                <w:lang w:eastAsia="ru-RU"/>
              </w:rPr>
              <w:t>-о</w:t>
            </w:r>
            <w:proofErr w:type="gramEnd"/>
            <w:r w:rsidRPr="00D11ADA">
              <w:rPr>
                <w:rFonts w:ascii="Times New Roman" w:eastAsia="Times New Roman" w:hAnsi="Times New Roman" w:cs="Times New Roman"/>
                <w:lang w:eastAsia="ru-RU"/>
              </w:rPr>
              <w:t>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 с принятием соответствующих мер реагирования на их сигнальную информацию.</w:t>
            </w:r>
          </w:p>
          <w:p w:rsidR="00D11ADA" w:rsidRPr="00D11ADA" w:rsidRDefault="00D11ADA" w:rsidP="00D11ADA">
            <w:pPr>
              <w:pStyle w:val="a5"/>
              <w:numPr>
                <w:ilvl w:val="1"/>
                <w:numId w:val="10"/>
              </w:numPr>
              <w:spacing w:before="100" w:beforeAutospacing="1" w:after="100" w:afterAutospacing="1" w:line="240" w:lineRule="auto"/>
              <w:ind w:left="20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ADA">
              <w:rPr>
                <w:rFonts w:ascii="Times New Roman" w:eastAsia="Times New Roman" w:hAnsi="Times New Roman" w:cs="Times New Roman"/>
                <w:i/>
                <w:lang w:eastAsia="ru-RU"/>
              </w:rPr>
              <w:t>разрешение на хранение и использование оружия и патронов к нему (РХИ).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554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numPr>
                <w:ilvl w:val="0"/>
                <w:numId w:val="11"/>
              </w:numPr>
              <w:tabs>
                <w:tab w:val="clear" w:pos="720"/>
              </w:tabs>
              <w:spacing w:beforeAutospacing="1" w:after="0" w:afterAutospacing="1" w:line="240" w:lineRule="auto"/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5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качестве обеспечения заявки на участие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F7495D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single" w:sz="4" w:space="0" w:color="auto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5% начальной (максимальной) цены контракта (цены лота), что составляет </w:t>
            </w:r>
            <w:r w:rsidR="00E3564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E3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</w:t>
            </w: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(сто </w:t>
            </w:r>
            <w:r w:rsidR="00E3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тысячи девятьсот шестьдесят </w:t>
            </w: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00 копеек)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Требование обеспечения заявки на участие в открытом аукционе в равной мере распространяется на всех участников </w:t>
            </w:r>
            <w:r w:rsidR="001F1F7E">
              <w:rPr>
                <w:rFonts w:ascii="Times New Roman" w:eastAsia="Times New Roman" w:hAnsi="Times New Roman" w:cs="Times New Roman"/>
                <w:lang w:eastAsia="ru-RU"/>
              </w:rPr>
              <w:t>размещения заказа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276733" w:rsidRPr="00F7495D" w:rsidTr="00383AD4">
        <w:trPr>
          <w:gridAfter w:val="1"/>
          <w:wAfter w:w="5" w:type="dxa"/>
          <w:tblCellSpacing w:w="18" w:type="dxa"/>
          <w:jc w:val="center"/>
        </w:trPr>
        <w:tc>
          <w:tcPr>
            <w:tcW w:w="4351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7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14.12.</w:t>
            </w:r>
            <w:r w:rsidRPr="00A35333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10:00</w:t>
            </w:r>
          </w:p>
        </w:tc>
      </w:tr>
      <w:tr w:rsidR="00276733" w:rsidRPr="00F7495D" w:rsidTr="00383AD4">
        <w:trPr>
          <w:gridAfter w:val="1"/>
          <w:wAfter w:w="5" w:type="dxa"/>
          <w:tblCellSpacing w:w="18" w:type="dxa"/>
          <w:jc w:val="center"/>
        </w:trPr>
        <w:tc>
          <w:tcPr>
            <w:tcW w:w="4351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окончания срока рассмотрения первых частей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57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19.12.2012</w:t>
            </w:r>
          </w:p>
        </w:tc>
      </w:tr>
      <w:bookmarkEnd w:id="0"/>
      <w:tr w:rsidR="00276733" w:rsidRPr="00F7495D" w:rsidTr="00383AD4">
        <w:trPr>
          <w:gridAfter w:val="1"/>
          <w:wAfter w:w="5" w:type="dxa"/>
          <w:trHeight w:val="492"/>
          <w:tblCellSpacing w:w="18" w:type="dxa"/>
          <w:jc w:val="center"/>
        </w:trPr>
        <w:tc>
          <w:tcPr>
            <w:tcW w:w="4351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577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24.12.2012</w:t>
            </w:r>
          </w:p>
        </w:tc>
      </w:tr>
      <w:tr w:rsidR="00276733" w:rsidRPr="00F7495D" w:rsidTr="00C94ACA">
        <w:trPr>
          <w:tblCellSpacing w:w="18" w:type="dxa"/>
          <w:jc w:val="center"/>
        </w:trPr>
        <w:tc>
          <w:tcPr>
            <w:tcW w:w="10205" w:type="dxa"/>
            <w:gridSpan w:val="5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VII</w:t>
            </w:r>
            <w:r w:rsidRPr="00F74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276733" w:rsidRPr="00F7495D" w:rsidTr="00383AD4">
        <w:trPr>
          <w:trHeight w:val="492"/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A35333" w:rsidRDefault="00276733" w:rsidP="00E35647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10% начальной (максимальной) цены контракта, что составляет </w:t>
            </w:r>
            <w:r w:rsidR="00E35647">
              <w:rPr>
                <w:rFonts w:ascii="Times New Roman" w:eastAsia="Times New Roman" w:hAnsi="Times New Roman" w:cs="Times New Roman"/>
                <w:lang w:eastAsia="ru-RU"/>
              </w:rPr>
              <w:t>205 920</w:t>
            </w:r>
            <w:r w:rsidRPr="00F7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руб. (двести </w:t>
            </w:r>
            <w:r w:rsidR="00E35647">
              <w:rPr>
                <w:rFonts w:ascii="Times New Roman" w:eastAsia="Times New Roman" w:hAnsi="Times New Roman" w:cs="Times New Roman"/>
                <w:lang w:eastAsia="ru-RU"/>
              </w:rPr>
              <w:t>пять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тысяч </w:t>
            </w:r>
            <w:r w:rsidR="00E35647">
              <w:rPr>
                <w:rFonts w:ascii="Times New Roman" w:eastAsia="Times New Roman" w:hAnsi="Times New Roman" w:cs="Times New Roman"/>
                <w:lang w:eastAsia="ru-RU"/>
              </w:rPr>
              <w:t>девятьсот двадцать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00 копеек)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</w:t>
            </w: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обеспечении исполнения контракта, или протокол разногласий.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276733" w:rsidRPr="00F7495D" w:rsidRDefault="00276733" w:rsidP="00E1707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76733" w:rsidRPr="00D3568C" w:rsidRDefault="00276733" w:rsidP="00E1707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</w:t>
            </w:r>
          </w:p>
        </w:tc>
      </w:tr>
      <w:tr w:rsidR="00276733" w:rsidRPr="00F7495D" w:rsidTr="00383AD4">
        <w:trPr>
          <w:tblCellSpacing w:w="18" w:type="dxa"/>
          <w:jc w:val="center"/>
        </w:trPr>
        <w:tc>
          <w:tcPr>
            <w:tcW w:w="2281" w:type="dxa"/>
            <w:gridSpan w:val="2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Залог денежных средств</w:t>
            </w:r>
          </w:p>
        </w:tc>
        <w:tc>
          <w:tcPr>
            <w:tcW w:w="7888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276733" w:rsidRPr="00F7495D" w:rsidRDefault="00276733" w:rsidP="00E17070">
            <w:pPr>
              <w:spacing w:before="100" w:beforeAutospacing="1" w:after="100" w:afterAutospacing="1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В случае передачи заказчику в залог денежных сре</w:t>
            </w:r>
            <w:proofErr w:type="gramStart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F7495D">
              <w:rPr>
                <w:rFonts w:ascii="Times New Roman" w:eastAsia="Times New Roman" w:hAnsi="Times New Roman" w:cs="Times New Roman"/>
                <w:lang w:eastAsia="ru-RU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7594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5894"/>
            </w:tblGrid>
            <w:tr w:rsidR="00276733" w:rsidRPr="00F7495D" w:rsidTr="004B0C29">
              <w:trPr>
                <w:trHeight w:val="452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л</w:t>
                  </w:r>
                  <w:proofErr w:type="gramEnd"/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/с 04163010062)</w:t>
                  </w:r>
                </w:p>
              </w:tc>
            </w:tr>
            <w:tr w:rsidR="00276733" w:rsidRPr="00F7495D" w:rsidTr="004B0C29">
              <w:trPr>
                <w:trHeight w:val="219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5904082670</w:t>
                  </w:r>
                </w:p>
              </w:tc>
            </w:tr>
            <w:tr w:rsidR="00276733" w:rsidRPr="00F7495D" w:rsidTr="004B0C29">
              <w:trPr>
                <w:trHeight w:val="234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590201001</w:t>
                  </w:r>
                </w:p>
              </w:tc>
            </w:tr>
            <w:tr w:rsidR="00276733" w:rsidRPr="00F7495D" w:rsidTr="004B0C29">
              <w:trPr>
                <w:trHeight w:val="219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40302810000005000009 в РКЦ г. Перми</w:t>
                  </w:r>
                </w:p>
              </w:tc>
            </w:tr>
            <w:tr w:rsidR="00276733" w:rsidRPr="00F7495D" w:rsidTr="004B0C29">
              <w:trPr>
                <w:trHeight w:val="234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045744000</w:t>
                  </w:r>
                </w:p>
              </w:tc>
            </w:tr>
            <w:tr w:rsidR="00276733" w:rsidRPr="00F7495D" w:rsidTr="004B0C29">
              <w:trPr>
                <w:trHeight w:val="234"/>
                <w:tblCellSpacing w:w="0" w:type="dxa"/>
              </w:trPr>
              <w:tc>
                <w:tcPr>
                  <w:tcW w:w="17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 w:type="page"/>
                  </w:r>
                </w:p>
                <w:p w:rsidR="00276733" w:rsidRPr="00F7495D" w:rsidRDefault="00276733" w:rsidP="00E17070">
                  <w:pPr>
                    <w:spacing w:before="100" w:beforeAutospacing="1" w:after="100" w:afterAutospacing="1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49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контракта, извещение от __.__.2012</w:t>
                  </w:r>
                  <w:r w:rsidRPr="00F749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 w:type="page"/>
                    <w:t>№</w:t>
                  </w:r>
                </w:p>
              </w:tc>
            </w:tr>
          </w:tbl>
          <w:p w:rsidR="00276733" w:rsidRPr="00F7495D" w:rsidRDefault="00276733" w:rsidP="00E17070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0907" w:rsidRDefault="005D0907"/>
    <w:sectPr w:rsidR="005D0907" w:rsidSect="00C94AC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F92"/>
    <w:multiLevelType w:val="multilevel"/>
    <w:tmpl w:val="FC96D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A3C09"/>
    <w:multiLevelType w:val="multilevel"/>
    <w:tmpl w:val="EE14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07808"/>
    <w:multiLevelType w:val="multilevel"/>
    <w:tmpl w:val="26D88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E51D4"/>
    <w:multiLevelType w:val="multilevel"/>
    <w:tmpl w:val="D39ED9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8D62C9"/>
    <w:multiLevelType w:val="multilevel"/>
    <w:tmpl w:val="2C7605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410974"/>
    <w:multiLevelType w:val="multilevel"/>
    <w:tmpl w:val="D50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954F03"/>
    <w:multiLevelType w:val="multilevel"/>
    <w:tmpl w:val="C90A07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A3A66"/>
    <w:multiLevelType w:val="multilevel"/>
    <w:tmpl w:val="4220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573D74"/>
    <w:multiLevelType w:val="multilevel"/>
    <w:tmpl w:val="8D487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27BA0"/>
    <w:multiLevelType w:val="multilevel"/>
    <w:tmpl w:val="1068A2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697FD9"/>
    <w:multiLevelType w:val="multilevel"/>
    <w:tmpl w:val="03AC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F931DE"/>
    <w:multiLevelType w:val="multilevel"/>
    <w:tmpl w:val="BFA242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E254E0"/>
    <w:multiLevelType w:val="multilevel"/>
    <w:tmpl w:val="B86A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A66193"/>
    <w:multiLevelType w:val="multilevel"/>
    <w:tmpl w:val="41828E9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4"/>
  </w:num>
  <w:num w:numId="11">
    <w:abstractNumId w:val="3"/>
  </w:num>
  <w:num w:numId="12">
    <w:abstractNumId w:val="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5D"/>
    <w:rsid w:val="00007713"/>
    <w:rsid w:val="00114154"/>
    <w:rsid w:val="00181791"/>
    <w:rsid w:val="001F1F7E"/>
    <w:rsid w:val="00276733"/>
    <w:rsid w:val="00383AD4"/>
    <w:rsid w:val="003C4BDC"/>
    <w:rsid w:val="00421B9D"/>
    <w:rsid w:val="00454234"/>
    <w:rsid w:val="00496A22"/>
    <w:rsid w:val="004B0C29"/>
    <w:rsid w:val="00524D3C"/>
    <w:rsid w:val="00542AA5"/>
    <w:rsid w:val="005863B5"/>
    <w:rsid w:val="00586A5D"/>
    <w:rsid w:val="005D0907"/>
    <w:rsid w:val="00664443"/>
    <w:rsid w:val="006F0B56"/>
    <w:rsid w:val="00711D9C"/>
    <w:rsid w:val="007401E7"/>
    <w:rsid w:val="00872FB3"/>
    <w:rsid w:val="008B0B05"/>
    <w:rsid w:val="0091033E"/>
    <w:rsid w:val="009E64A7"/>
    <w:rsid w:val="00A05843"/>
    <w:rsid w:val="00A238B3"/>
    <w:rsid w:val="00A35333"/>
    <w:rsid w:val="00B82342"/>
    <w:rsid w:val="00BC5B2D"/>
    <w:rsid w:val="00C60470"/>
    <w:rsid w:val="00C8028A"/>
    <w:rsid w:val="00C94ACA"/>
    <w:rsid w:val="00CC4624"/>
    <w:rsid w:val="00D11ADA"/>
    <w:rsid w:val="00D1503B"/>
    <w:rsid w:val="00D3568C"/>
    <w:rsid w:val="00D95B08"/>
    <w:rsid w:val="00E17070"/>
    <w:rsid w:val="00E35647"/>
    <w:rsid w:val="00E51D0B"/>
    <w:rsid w:val="00E771DE"/>
    <w:rsid w:val="00EB31FA"/>
    <w:rsid w:val="00F5358A"/>
    <w:rsid w:val="00F7495D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2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ЗамДир</dc:creator>
  <cp:lastModifiedBy>Экономист-12</cp:lastModifiedBy>
  <cp:revision>19</cp:revision>
  <cp:lastPrinted>2012-12-05T07:37:00Z</cp:lastPrinted>
  <dcterms:created xsi:type="dcterms:W3CDTF">2012-12-03T10:14:00Z</dcterms:created>
  <dcterms:modified xsi:type="dcterms:W3CDTF">2012-12-06T04:02:00Z</dcterms:modified>
</cp:coreProperties>
</file>