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23A" w:rsidRPr="003A4369" w:rsidRDefault="000A423A" w:rsidP="003A4369">
      <w:pPr>
        <w:spacing w:line="240" w:lineRule="auto"/>
        <w:jc w:val="right"/>
        <w:rPr>
          <w:rFonts w:ascii="Times New Roman" w:hAnsi="Times New Roman"/>
        </w:rPr>
      </w:pPr>
      <w:r w:rsidRPr="003A4369">
        <w:rPr>
          <w:rFonts w:ascii="Times New Roman" w:hAnsi="Times New Roman"/>
        </w:rPr>
        <w:t>Приложение №2</w:t>
      </w:r>
    </w:p>
    <w:p w:rsidR="000A423A" w:rsidRPr="003A4369" w:rsidRDefault="000A423A" w:rsidP="003A4369">
      <w:pPr>
        <w:spacing w:line="240" w:lineRule="auto"/>
        <w:jc w:val="center"/>
        <w:rPr>
          <w:rFonts w:ascii="Times New Roman" w:hAnsi="Times New Roman"/>
          <w:b/>
        </w:rPr>
      </w:pPr>
      <w:r w:rsidRPr="003A4369">
        <w:rPr>
          <w:rFonts w:ascii="Times New Roman" w:hAnsi="Times New Roman"/>
          <w:b/>
        </w:rPr>
        <w:t>ТЕХНИЧЕСКОЕ  ЗАДАНИЕ</w:t>
      </w:r>
    </w:p>
    <w:p w:rsidR="000A423A" w:rsidRPr="003A4369" w:rsidRDefault="000A423A" w:rsidP="003A4369">
      <w:pPr>
        <w:spacing w:line="240" w:lineRule="auto"/>
        <w:rPr>
          <w:rFonts w:ascii="Times New Roman" w:hAnsi="Times New Roman"/>
        </w:rPr>
      </w:pPr>
    </w:p>
    <w:tbl>
      <w:tblPr>
        <w:tblW w:w="10178" w:type="dxa"/>
        <w:jc w:val="center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6"/>
        <w:gridCol w:w="2489"/>
        <w:gridCol w:w="1920"/>
        <w:gridCol w:w="4663"/>
      </w:tblGrid>
      <w:tr w:rsidR="000A423A" w:rsidRPr="003A4369" w:rsidTr="00C66FE6">
        <w:trPr>
          <w:jc w:val="center"/>
        </w:trPr>
        <w:tc>
          <w:tcPr>
            <w:tcW w:w="1106" w:type="dxa"/>
            <w:vAlign w:val="center"/>
          </w:tcPr>
          <w:p w:rsidR="000A423A" w:rsidRPr="003A4369" w:rsidRDefault="000A423A" w:rsidP="003A43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A4369">
              <w:rPr>
                <w:rFonts w:ascii="Times New Roman" w:hAnsi="Times New Roman"/>
              </w:rPr>
              <w:t>№ п/п</w:t>
            </w:r>
          </w:p>
        </w:tc>
        <w:tc>
          <w:tcPr>
            <w:tcW w:w="2489" w:type="dxa"/>
            <w:vAlign w:val="center"/>
          </w:tcPr>
          <w:p w:rsidR="000A423A" w:rsidRPr="003A4369" w:rsidRDefault="000A423A" w:rsidP="003A43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A4369">
              <w:rPr>
                <w:rFonts w:ascii="Times New Roman" w:hAnsi="Times New Roman"/>
              </w:rPr>
              <w:t>МНН</w:t>
            </w:r>
          </w:p>
        </w:tc>
        <w:tc>
          <w:tcPr>
            <w:tcW w:w="1920" w:type="dxa"/>
          </w:tcPr>
          <w:p w:rsidR="000A423A" w:rsidRPr="003A4369" w:rsidRDefault="000A423A" w:rsidP="003A43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A4369">
              <w:rPr>
                <w:rFonts w:ascii="Times New Roman" w:hAnsi="Times New Roman"/>
              </w:rPr>
              <w:t>Торговое на</w:t>
            </w:r>
            <w:bookmarkStart w:id="0" w:name="_GoBack"/>
            <w:bookmarkEnd w:id="0"/>
            <w:r w:rsidRPr="003A4369">
              <w:rPr>
                <w:rFonts w:ascii="Times New Roman" w:hAnsi="Times New Roman"/>
              </w:rPr>
              <w:t>именование</w:t>
            </w:r>
          </w:p>
        </w:tc>
        <w:tc>
          <w:tcPr>
            <w:tcW w:w="4663" w:type="dxa"/>
          </w:tcPr>
          <w:p w:rsidR="000A423A" w:rsidRPr="003A4369" w:rsidRDefault="000A423A" w:rsidP="003A43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A4369">
              <w:rPr>
                <w:rFonts w:ascii="Times New Roman" w:hAnsi="Times New Roman"/>
              </w:rPr>
              <w:t>Технические и</w:t>
            </w:r>
            <w:r>
              <w:rPr>
                <w:rFonts w:ascii="Times New Roman" w:hAnsi="Times New Roman"/>
              </w:rPr>
              <w:t xml:space="preserve"> </w:t>
            </w:r>
            <w:r w:rsidRPr="003A4369">
              <w:rPr>
                <w:rFonts w:ascii="Times New Roman" w:hAnsi="Times New Roman"/>
              </w:rPr>
              <w:t>функциональные характеристики</w:t>
            </w:r>
          </w:p>
        </w:tc>
      </w:tr>
      <w:tr w:rsidR="000A423A" w:rsidRPr="003A4369" w:rsidTr="00C66FE6">
        <w:trPr>
          <w:jc w:val="center"/>
        </w:trPr>
        <w:tc>
          <w:tcPr>
            <w:tcW w:w="1106" w:type="dxa"/>
          </w:tcPr>
          <w:p w:rsidR="000A423A" w:rsidRPr="003A4369" w:rsidRDefault="000A423A" w:rsidP="003A43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A4369">
              <w:rPr>
                <w:rFonts w:ascii="Times New Roman" w:hAnsi="Times New Roman"/>
              </w:rPr>
              <w:t>1</w:t>
            </w:r>
          </w:p>
        </w:tc>
        <w:tc>
          <w:tcPr>
            <w:tcW w:w="2489" w:type="dxa"/>
            <w:vAlign w:val="center"/>
          </w:tcPr>
          <w:p w:rsidR="000A423A" w:rsidRPr="003A4369" w:rsidRDefault="000A423A" w:rsidP="003A4369">
            <w:pPr>
              <w:spacing w:line="240" w:lineRule="auto"/>
              <w:rPr>
                <w:rFonts w:ascii="Times New Roman" w:hAnsi="Times New Roman"/>
              </w:rPr>
            </w:pPr>
            <w:r w:rsidRPr="003A4369">
              <w:rPr>
                <w:rFonts w:ascii="Times New Roman" w:hAnsi="Times New Roman"/>
              </w:rPr>
              <w:t>Мифепристон</w:t>
            </w:r>
          </w:p>
        </w:tc>
        <w:tc>
          <w:tcPr>
            <w:tcW w:w="1920" w:type="dxa"/>
            <w:vAlign w:val="center"/>
          </w:tcPr>
          <w:p w:rsidR="000A423A" w:rsidRPr="003A4369" w:rsidRDefault="000A423A" w:rsidP="003A4369">
            <w:pPr>
              <w:spacing w:line="240" w:lineRule="auto"/>
              <w:rPr>
                <w:rFonts w:ascii="Times New Roman" w:hAnsi="Times New Roman"/>
              </w:rPr>
            </w:pPr>
            <w:r w:rsidRPr="003A4369">
              <w:rPr>
                <w:rFonts w:ascii="Times New Roman" w:hAnsi="Times New Roman"/>
              </w:rPr>
              <w:t>Миропристон</w:t>
            </w:r>
          </w:p>
        </w:tc>
        <w:tc>
          <w:tcPr>
            <w:tcW w:w="4663" w:type="dxa"/>
            <w:vAlign w:val="center"/>
          </w:tcPr>
          <w:p w:rsidR="000A423A" w:rsidRPr="003A4369" w:rsidRDefault="000A423A" w:rsidP="003A4369">
            <w:pPr>
              <w:spacing w:line="240" w:lineRule="auto"/>
              <w:rPr>
                <w:rFonts w:ascii="Times New Roman" w:hAnsi="Times New Roman"/>
              </w:rPr>
            </w:pPr>
            <w:r w:rsidRPr="003A4369">
              <w:rPr>
                <w:rFonts w:ascii="Times New Roman" w:hAnsi="Times New Roman"/>
              </w:rPr>
              <w:t xml:space="preserve">Таблетки 200мг №3. </w:t>
            </w:r>
          </w:p>
          <w:p w:rsidR="000A423A" w:rsidRPr="003A4369" w:rsidRDefault="000A423A" w:rsidP="003A4369">
            <w:pPr>
              <w:spacing w:line="240" w:lineRule="auto"/>
              <w:rPr>
                <w:rFonts w:ascii="Times New Roman" w:hAnsi="Times New Roman"/>
              </w:rPr>
            </w:pPr>
            <w:r w:rsidRPr="003A4369">
              <w:rPr>
                <w:rFonts w:ascii="Times New Roman" w:hAnsi="Times New Roman"/>
              </w:rPr>
              <w:t>Активное вещество: мифепристон 200 мг,  вспомогательные вещества: целлюлоза микрокристаллическая, карбоксиметилкрахмал натрия, кальция стеарат,</w:t>
            </w:r>
            <w:r>
              <w:rPr>
                <w:rFonts w:ascii="Times New Roman" w:hAnsi="Times New Roman"/>
              </w:rPr>
              <w:t xml:space="preserve"> </w:t>
            </w:r>
            <w:r w:rsidRPr="003A4369">
              <w:rPr>
                <w:rFonts w:ascii="Times New Roman" w:hAnsi="Times New Roman"/>
              </w:rPr>
              <w:t>тальк, без содержания лактозы. Условия хранения до +30. Отказ от кормления не более 3</w:t>
            </w:r>
            <w:r>
              <w:rPr>
                <w:rFonts w:ascii="Times New Roman" w:hAnsi="Times New Roman"/>
              </w:rPr>
              <w:t xml:space="preserve"> </w:t>
            </w:r>
            <w:r w:rsidRPr="003A4369">
              <w:rPr>
                <w:rFonts w:ascii="Times New Roman" w:hAnsi="Times New Roman"/>
              </w:rPr>
              <w:t>дней   при проведении мед.</w:t>
            </w:r>
            <w:r>
              <w:rPr>
                <w:rFonts w:ascii="Times New Roman" w:hAnsi="Times New Roman"/>
              </w:rPr>
              <w:t xml:space="preserve"> </w:t>
            </w:r>
            <w:r w:rsidRPr="003A4369">
              <w:rPr>
                <w:rFonts w:ascii="Times New Roman" w:hAnsi="Times New Roman"/>
              </w:rPr>
              <w:t>аборта.  Отсутствие ограничений лактации в случае предшествующей подготовки шейки матки к родам у женщин с отягощенным акушерско-гинекологическим анамнезом, при отсутствии физиологической готовности к родам, в случае маловесных плодов, внутриутробного инфицирования Отсутствие в п</w:t>
            </w:r>
            <w:r>
              <w:rPr>
                <w:rFonts w:ascii="Times New Roman" w:hAnsi="Times New Roman"/>
              </w:rPr>
              <w:t>ротивопоказании рубца  на матке</w:t>
            </w:r>
            <w:r w:rsidRPr="003A4369">
              <w:rPr>
                <w:rFonts w:ascii="Times New Roman" w:hAnsi="Times New Roman"/>
              </w:rPr>
              <w:t>. Срок  хранения 5</w:t>
            </w:r>
            <w:r>
              <w:rPr>
                <w:rFonts w:ascii="Times New Roman" w:hAnsi="Times New Roman"/>
              </w:rPr>
              <w:t xml:space="preserve"> </w:t>
            </w:r>
            <w:r w:rsidRPr="003A4369">
              <w:rPr>
                <w:rFonts w:ascii="Times New Roman" w:hAnsi="Times New Roman"/>
              </w:rPr>
              <w:t>лет. Остаточный срок годности на момент по</w:t>
            </w:r>
            <w:r>
              <w:rPr>
                <w:rFonts w:ascii="Times New Roman" w:hAnsi="Times New Roman"/>
              </w:rPr>
              <w:t xml:space="preserve">ставки не менее 95% </w:t>
            </w:r>
            <w:r w:rsidRPr="003A4369">
              <w:rPr>
                <w:rFonts w:ascii="Times New Roman" w:hAnsi="Times New Roman"/>
              </w:rPr>
              <w:t xml:space="preserve"> </w:t>
            </w:r>
          </w:p>
        </w:tc>
      </w:tr>
      <w:tr w:rsidR="000A423A" w:rsidRPr="003A4369" w:rsidTr="00C66FE6">
        <w:trPr>
          <w:jc w:val="center"/>
        </w:trPr>
        <w:tc>
          <w:tcPr>
            <w:tcW w:w="1106" w:type="dxa"/>
          </w:tcPr>
          <w:p w:rsidR="000A423A" w:rsidRPr="003A4369" w:rsidRDefault="000A423A" w:rsidP="003A43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A4369">
              <w:rPr>
                <w:rFonts w:ascii="Times New Roman" w:hAnsi="Times New Roman"/>
              </w:rPr>
              <w:t>2</w:t>
            </w:r>
          </w:p>
        </w:tc>
        <w:tc>
          <w:tcPr>
            <w:tcW w:w="2489" w:type="dxa"/>
            <w:vAlign w:val="center"/>
          </w:tcPr>
          <w:p w:rsidR="000A423A" w:rsidRPr="003A4369" w:rsidRDefault="000A423A" w:rsidP="003A4369">
            <w:pPr>
              <w:spacing w:line="240" w:lineRule="auto"/>
              <w:rPr>
                <w:rFonts w:ascii="Times New Roman" w:hAnsi="Times New Roman"/>
              </w:rPr>
            </w:pPr>
            <w:r w:rsidRPr="003A4369">
              <w:rPr>
                <w:rFonts w:ascii="Times New Roman" w:hAnsi="Times New Roman"/>
              </w:rPr>
              <w:t>Мизопростол</w:t>
            </w:r>
          </w:p>
        </w:tc>
        <w:tc>
          <w:tcPr>
            <w:tcW w:w="1920" w:type="dxa"/>
            <w:vAlign w:val="center"/>
          </w:tcPr>
          <w:p w:rsidR="000A423A" w:rsidRPr="003A4369" w:rsidRDefault="000A423A" w:rsidP="003A4369">
            <w:pPr>
              <w:spacing w:line="240" w:lineRule="auto"/>
              <w:rPr>
                <w:rFonts w:ascii="Times New Roman" w:hAnsi="Times New Roman"/>
              </w:rPr>
            </w:pPr>
            <w:r w:rsidRPr="003A4369">
              <w:rPr>
                <w:rFonts w:ascii="Times New Roman" w:hAnsi="Times New Roman"/>
              </w:rPr>
              <w:t>Миролют</w:t>
            </w:r>
          </w:p>
        </w:tc>
        <w:tc>
          <w:tcPr>
            <w:tcW w:w="4663" w:type="dxa"/>
            <w:vAlign w:val="center"/>
          </w:tcPr>
          <w:p w:rsidR="000A423A" w:rsidRPr="003A4369" w:rsidRDefault="000A423A" w:rsidP="003A4369">
            <w:pPr>
              <w:spacing w:line="240" w:lineRule="auto"/>
              <w:rPr>
                <w:rFonts w:ascii="Times New Roman" w:hAnsi="Times New Roman"/>
              </w:rPr>
            </w:pPr>
            <w:r w:rsidRPr="003A4369">
              <w:rPr>
                <w:rFonts w:ascii="Times New Roman" w:hAnsi="Times New Roman"/>
              </w:rPr>
              <w:t>Таблетки 200мкг № 4.</w:t>
            </w:r>
          </w:p>
          <w:p w:rsidR="000A423A" w:rsidRPr="003A4369" w:rsidRDefault="000A423A" w:rsidP="003A4369">
            <w:pPr>
              <w:spacing w:line="240" w:lineRule="auto"/>
              <w:rPr>
                <w:rFonts w:ascii="Times New Roman" w:hAnsi="Times New Roman"/>
              </w:rPr>
            </w:pPr>
            <w:r w:rsidRPr="003A4369">
              <w:rPr>
                <w:rFonts w:ascii="Times New Roman" w:hAnsi="Times New Roman"/>
              </w:rPr>
              <w:t>Активн</w:t>
            </w:r>
            <w:r>
              <w:rPr>
                <w:rFonts w:ascii="Times New Roman" w:hAnsi="Times New Roman"/>
              </w:rPr>
              <w:t>ы</w:t>
            </w:r>
            <w:r w:rsidRPr="003A4369">
              <w:rPr>
                <w:rFonts w:ascii="Times New Roman" w:hAnsi="Times New Roman"/>
              </w:rPr>
              <w:t>е вещества:  Мизопростол - ГПМЦ (содержит  0,2 мг мизопростола в пересчете на 100% вещество,</w:t>
            </w:r>
            <w:r>
              <w:rPr>
                <w:rFonts w:ascii="Times New Roman" w:hAnsi="Times New Roman"/>
              </w:rPr>
              <w:t xml:space="preserve"> </w:t>
            </w:r>
            <w:r w:rsidRPr="003A4369">
              <w:rPr>
                <w:rFonts w:ascii="Times New Roman" w:hAnsi="Times New Roman"/>
              </w:rPr>
              <w:t xml:space="preserve">гипромеллозу </w:t>
            </w:r>
            <w:r>
              <w:rPr>
                <w:rFonts w:ascii="Times New Roman" w:hAnsi="Times New Roman"/>
              </w:rPr>
              <w:t>20мг). Вспомогательные вещества</w:t>
            </w:r>
            <w:r w:rsidRPr="003A4369">
              <w:rPr>
                <w:rFonts w:ascii="Times New Roman" w:hAnsi="Times New Roman"/>
              </w:rPr>
              <w:t>: магния стеарат, просолв,</w:t>
            </w:r>
            <w:r>
              <w:rPr>
                <w:rFonts w:ascii="Times New Roman" w:hAnsi="Times New Roman"/>
              </w:rPr>
              <w:t xml:space="preserve"> </w:t>
            </w:r>
            <w:r w:rsidRPr="003A4369">
              <w:rPr>
                <w:rFonts w:ascii="Times New Roman" w:hAnsi="Times New Roman"/>
              </w:rPr>
              <w:t>карбоксиметилкрахмал</w:t>
            </w:r>
            <w:r>
              <w:rPr>
                <w:rFonts w:ascii="Times New Roman" w:hAnsi="Times New Roman"/>
              </w:rPr>
              <w:t>.</w:t>
            </w:r>
            <w:r w:rsidRPr="003A4369">
              <w:rPr>
                <w:rFonts w:ascii="Times New Roman" w:hAnsi="Times New Roman"/>
              </w:rPr>
              <w:t xml:space="preserve"> Срок хранения 3</w:t>
            </w:r>
            <w:r>
              <w:rPr>
                <w:rFonts w:ascii="Times New Roman" w:hAnsi="Times New Roman"/>
              </w:rPr>
              <w:t xml:space="preserve"> </w:t>
            </w:r>
            <w:r w:rsidRPr="003A4369">
              <w:rPr>
                <w:rFonts w:ascii="Times New Roman" w:hAnsi="Times New Roman"/>
              </w:rPr>
              <w:t>года. Остаточный срок годности на момент по</w:t>
            </w:r>
            <w:r>
              <w:rPr>
                <w:rFonts w:ascii="Times New Roman" w:hAnsi="Times New Roman"/>
              </w:rPr>
              <w:t xml:space="preserve">ставки не менее 95% </w:t>
            </w:r>
            <w:r w:rsidRPr="003A4369">
              <w:rPr>
                <w:rFonts w:ascii="Times New Roman" w:hAnsi="Times New Roman"/>
              </w:rPr>
              <w:t xml:space="preserve"> </w:t>
            </w:r>
          </w:p>
        </w:tc>
      </w:tr>
    </w:tbl>
    <w:p w:rsidR="000A423A" w:rsidRPr="003A4369" w:rsidRDefault="000A423A" w:rsidP="003A4369">
      <w:pPr>
        <w:spacing w:line="240" w:lineRule="auto"/>
        <w:rPr>
          <w:rFonts w:ascii="Times New Roman" w:hAnsi="Times New Roman"/>
        </w:rPr>
      </w:pPr>
    </w:p>
    <w:p w:rsidR="000A423A" w:rsidRPr="003A4369" w:rsidRDefault="000A423A" w:rsidP="003A4369">
      <w:pPr>
        <w:numPr>
          <w:ilvl w:val="0"/>
          <w:numId w:val="12"/>
        </w:numPr>
        <w:spacing w:line="240" w:lineRule="auto"/>
        <w:rPr>
          <w:rFonts w:ascii="Times New Roman" w:hAnsi="Times New Roman"/>
        </w:rPr>
      </w:pPr>
      <w:r w:rsidRPr="003A4369">
        <w:rPr>
          <w:rFonts w:ascii="Times New Roman" w:hAnsi="Times New Roman"/>
        </w:rPr>
        <w:t>Допустима замена на товары «эквиваленты», за исключением случаев несовместимости товаров, на которых применяются другие товарные знаки, знаки обслуживания, и необходимости обеспечения взаимодействия таких товаров с товарами, используемыми заказчиком. Эквивалентность товаров определяется в соответствии с требованиями и показателями, указанными в спецификации товаров с обязательным подтверждением характеристик сертификатами, регистрационными удостоверениями, рекламными проспектами и т.п.</w:t>
      </w:r>
    </w:p>
    <w:p w:rsidR="000A423A" w:rsidRPr="003A4369" w:rsidRDefault="000A423A" w:rsidP="003A4369">
      <w:pPr>
        <w:numPr>
          <w:ilvl w:val="0"/>
          <w:numId w:val="12"/>
        </w:numPr>
        <w:spacing w:line="240" w:lineRule="auto"/>
        <w:rPr>
          <w:rFonts w:ascii="Times New Roman" w:hAnsi="Times New Roman"/>
        </w:rPr>
      </w:pPr>
      <w:r w:rsidRPr="003A4369">
        <w:rPr>
          <w:rFonts w:ascii="Times New Roman" w:hAnsi="Times New Roman"/>
        </w:rPr>
        <w:t>Обязательным требованием технического задания является форма выпуска, дозировка, фасовка, условия и срок хранения товара.</w:t>
      </w:r>
    </w:p>
    <w:p w:rsidR="000A423A" w:rsidRPr="003A4369" w:rsidRDefault="000A423A" w:rsidP="003A4369">
      <w:pPr>
        <w:numPr>
          <w:ilvl w:val="0"/>
          <w:numId w:val="12"/>
        </w:numPr>
        <w:spacing w:line="240" w:lineRule="auto"/>
        <w:rPr>
          <w:rFonts w:ascii="Times New Roman" w:hAnsi="Times New Roman"/>
        </w:rPr>
      </w:pPr>
      <w:r w:rsidRPr="003A4369">
        <w:rPr>
          <w:rFonts w:ascii="Times New Roman" w:hAnsi="Times New Roman"/>
        </w:rPr>
        <w:t>Документы, подтверждающие качество товара передаются вместе с товаром при поставке.</w:t>
      </w:r>
    </w:p>
    <w:p w:rsidR="000A423A" w:rsidRPr="003A4369" w:rsidRDefault="000A423A" w:rsidP="003A4369">
      <w:pPr>
        <w:spacing w:line="240" w:lineRule="auto"/>
        <w:rPr>
          <w:rFonts w:ascii="Times New Roman" w:hAnsi="Times New Roman"/>
        </w:rPr>
      </w:pPr>
    </w:p>
    <w:sectPr w:rsidR="000A423A" w:rsidRPr="003A4369" w:rsidSect="00001844">
      <w:endnotePr>
        <w:numFmt w:val="decimal"/>
        <w:numStart w:val="43"/>
      </w:endnotePr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7C069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4BEE9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FE9B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D007A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78A5B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B948C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5A47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506F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F1453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2DC9D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6651F0C"/>
    <w:multiLevelType w:val="hybridMultilevel"/>
    <w:tmpl w:val="F9F0FF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6E9343B"/>
    <w:multiLevelType w:val="hybridMultilevel"/>
    <w:tmpl w:val="141E2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endnotePr>
    <w:numFmt w:val="decimal"/>
    <w:numStart w:val="43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1844"/>
    <w:rsid w:val="00001844"/>
    <w:rsid w:val="00007B7E"/>
    <w:rsid w:val="000A423A"/>
    <w:rsid w:val="003A4369"/>
    <w:rsid w:val="00494DCE"/>
    <w:rsid w:val="00667098"/>
    <w:rsid w:val="00760422"/>
    <w:rsid w:val="00801C46"/>
    <w:rsid w:val="008C495E"/>
    <w:rsid w:val="0093610F"/>
    <w:rsid w:val="009F0732"/>
    <w:rsid w:val="00B0133A"/>
    <w:rsid w:val="00C66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098"/>
    <w:pPr>
      <w:spacing w:after="200" w:line="276" w:lineRule="auto"/>
    </w:pPr>
    <w:rPr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3A4369"/>
    <w:pPr>
      <w:numPr>
        <w:ilvl w:val="5"/>
        <w:numId w:val="3"/>
      </w:numPr>
      <w:tabs>
        <w:tab w:val="clear" w:pos="643"/>
        <w:tab w:val="num" w:pos="360"/>
      </w:tabs>
      <w:spacing w:before="240" w:after="60" w:line="240" w:lineRule="auto"/>
      <w:ind w:left="0" w:firstLine="0"/>
      <w:outlineLvl w:val="5"/>
    </w:pPr>
    <w:rPr>
      <w:rFonts w:ascii="Times New Roman" w:hAnsi="Times New Roman"/>
      <w:b/>
      <w:bCs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A43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272</Words>
  <Characters>1556</Characters>
  <Application>Microsoft Office Outlook</Application>
  <DocSecurity>0</DocSecurity>
  <Lines>0</Lines>
  <Paragraphs>0</Paragraphs>
  <ScaleCrop>false</ScaleCrop>
  <Company>Фармалайт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1446</cp:lastModifiedBy>
  <cp:revision>5</cp:revision>
  <cp:lastPrinted>2013-03-14T08:40:00Z</cp:lastPrinted>
  <dcterms:created xsi:type="dcterms:W3CDTF">2012-09-06T03:21:00Z</dcterms:created>
  <dcterms:modified xsi:type="dcterms:W3CDTF">2013-03-14T08:42:00Z</dcterms:modified>
</cp:coreProperties>
</file>