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1303FE">
        <w:rPr>
          <w:sz w:val="20"/>
          <w:szCs w:val="20"/>
        </w:rPr>
        <w:t>10</w:t>
      </w:r>
      <w:r w:rsidRPr="003B47A7">
        <w:rPr>
          <w:sz w:val="20"/>
          <w:szCs w:val="20"/>
        </w:rPr>
        <w:t xml:space="preserve"> от «</w:t>
      </w:r>
      <w:r w:rsidR="009C14C6">
        <w:rPr>
          <w:sz w:val="20"/>
          <w:szCs w:val="20"/>
        </w:rPr>
        <w:t>0</w:t>
      </w:r>
      <w:r w:rsidR="004D7452">
        <w:rPr>
          <w:sz w:val="20"/>
          <w:szCs w:val="20"/>
        </w:rPr>
        <w:t>2</w:t>
      </w:r>
      <w:r w:rsidRPr="003B47A7">
        <w:rPr>
          <w:sz w:val="20"/>
          <w:szCs w:val="20"/>
        </w:rPr>
        <w:t xml:space="preserve">» </w:t>
      </w:r>
      <w:r w:rsidR="009C14C6">
        <w:rPr>
          <w:sz w:val="20"/>
          <w:szCs w:val="20"/>
        </w:rPr>
        <w:t>апреля</w:t>
      </w:r>
      <w:r w:rsidRPr="003B47A7">
        <w:rPr>
          <w:sz w:val="20"/>
          <w:szCs w:val="20"/>
        </w:rPr>
        <w:t xml:space="preserve"> 201</w:t>
      </w:r>
      <w:r w:rsidR="001303FE">
        <w:rPr>
          <w:sz w:val="20"/>
          <w:szCs w:val="20"/>
        </w:rPr>
        <w:t>3</w:t>
      </w:r>
      <w:r w:rsidRPr="003B47A7">
        <w:rPr>
          <w:sz w:val="20"/>
          <w:szCs w:val="20"/>
        </w:rPr>
        <w:t xml:space="preserve">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профилактического приема (консультация) врача-психиатра 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по проведению профилактического приема (консультация) врача-психиатра 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r>
        <w:rPr>
          <w:rFonts w:eastAsia="Calibri" w:cs="Times New Roman"/>
          <w:szCs w:val="24"/>
          <w:lang w:eastAsia="en-US"/>
        </w:rPr>
        <w:t>г.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sidR="00E9502D">
        <w:rPr>
          <w:rFonts w:cs="Times New Roman"/>
          <w:szCs w:val="24"/>
        </w:rPr>
        <w:t>3</w:t>
      </w:r>
      <w:r w:rsidR="001303FE">
        <w:rPr>
          <w:rFonts w:cs="Times New Roman"/>
          <w:szCs w:val="24"/>
        </w:rPr>
        <w:t>0</w:t>
      </w:r>
      <w:r w:rsidR="00E9502D">
        <w:rPr>
          <w:rFonts w:cs="Times New Roman"/>
          <w:szCs w:val="24"/>
        </w:rPr>
        <w:t>.0</w:t>
      </w:r>
      <w:r w:rsidR="001303FE">
        <w:rPr>
          <w:rFonts w:cs="Times New Roman"/>
          <w:szCs w:val="24"/>
        </w:rPr>
        <w:t>6</w:t>
      </w:r>
      <w:r>
        <w:rPr>
          <w:rFonts w:cs="Times New Roman"/>
          <w:szCs w:val="24"/>
        </w:rPr>
        <w:t>.201</w:t>
      </w:r>
      <w:r w:rsidR="00C23497">
        <w:rPr>
          <w:rFonts w:cs="Times New Roman"/>
          <w:szCs w:val="24"/>
        </w:rPr>
        <w:t>3</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Срок действия договора – с момента заключения по «</w:t>
      </w:r>
      <w:r>
        <w:rPr>
          <w:rFonts w:cs="Times New Roman"/>
          <w:szCs w:val="24"/>
        </w:rPr>
        <w:t>3</w:t>
      </w:r>
      <w:r w:rsidR="001303FE">
        <w:rPr>
          <w:rFonts w:cs="Times New Roman"/>
          <w:szCs w:val="24"/>
        </w:rPr>
        <w:t>0</w:t>
      </w:r>
      <w:r w:rsidRPr="00CF0E89">
        <w:rPr>
          <w:rFonts w:cs="Times New Roman"/>
          <w:szCs w:val="24"/>
        </w:rPr>
        <w:t xml:space="preserve">» </w:t>
      </w:r>
      <w:r w:rsidR="001303FE">
        <w:rPr>
          <w:rFonts w:cs="Times New Roman"/>
          <w:szCs w:val="24"/>
        </w:rPr>
        <w:t>июня</w:t>
      </w:r>
      <w:r w:rsidRPr="00CF0E89">
        <w:rPr>
          <w:rFonts w:cs="Times New Roman"/>
          <w:szCs w:val="24"/>
        </w:rPr>
        <w:t xml:space="preserve"> 201</w:t>
      </w:r>
      <w:r>
        <w:rPr>
          <w:rFonts w:cs="Times New Roman"/>
          <w:szCs w:val="24"/>
        </w:rPr>
        <w:t>3</w:t>
      </w:r>
      <w:r w:rsidRPr="00CF0E89">
        <w:rPr>
          <w:rFonts w:cs="Times New Roman"/>
          <w:szCs w:val="24"/>
        </w:rPr>
        <w:t xml:space="preserve"> года при условии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 xml:space="preserve">___ руб., в том числе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lastRenderedPageBreak/>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консультации у Исполнителя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в полном объеме в истекшем месяце в соответствии с требованиями договора Исполнитель в течение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w:t>
      </w:r>
      <w:r w:rsidRPr="00CF0E89">
        <w:rPr>
          <w:rFonts w:cs="Times New Roman"/>
          <w:szCs w:val="24"/>
        </w:rPr>
        <w:lastRenderedPageBreak/>
        <w:t>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8.1. 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государственных органов, изменений федеральных или республиканских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lastRenderedPageBreak/>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 xml:space="preserve">Приложение №2 – </w:t>
      </w:r>
      <w:r w:rsidRPr="001B3CC2">
        <w:rPr>
          <w:sz w:val="24"/>
          <w:szCs w:val="24"/>
        </w:rPr>
        <w:t>Спецификация оказываемых</w:t>
      </w:r>
      <w:r w:rsidRPr="00CF0E89">
        <w:rPr>
          <w:sz w:val="24"/>
          <w:szCs w:val="24"/>
        </w:rPr>
        <w:t xml:space="preserve"> услуг (</w:t>
      </w:r>
      <w:r w:rsidRPr="00CF0E89">
        <w:rPr>
          <w:i/>
          <w:sz w:val="24"/>
          <w:szCs w:val="24"/>
        </w:rPr>
        <w:t>составляется на основании сведений Исполнителя).</w:t>
      </w:r>
    </w:p>
    <w:p w:rsidR="00CF0E89" w:rsidRPr="00CF0E89" w:rsidRDefault="00CF0E89"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lastRenderedPageBreak/>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РКЦ Пермь г.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1303FE">
            <w:pPr>
              <w:spacing w:after="0" w:line="240" w:lineRule="auto"/>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1303FE">
            <w:pPr>
              <w:spacing w:after="0" w:line="240" w:lineRule="auto"/>
              <w:jc w:val="both"/>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E9502D">
        <w:rPr>
          <w:rFonts w:cs="Times New Roman"/>
          <w:sz w:val="20"/>
          <w:szCs w:val="20"/>
        </w:rPr>
        <w:t>3</w:t>
      </w:r>
      <w:r w:rsidRPr="00E12050">
        <w:rPr>
          <w:rFonts w:cs="Times New Roman"/>
          <w:sz w:val="20"/>
          <w:szCs w:val="20"/>
        </w:rPr>
        <w:t xml:space="preserve"> г. </w:t>
      </w:r>
    </w:p>
    <w:p w:rsidR="00CF0E89" w:rsidRPr="00CF0E89" w:rsidRDefault="00CF0E89" w:rsidP="001B3CC2">
      <w:pPr>
        <w:spacing w:after="0" w:line="240" w:lineRule="auto"/>
        <w:jc w:val="center"/>
        <w:rPr>
          <w:rFonts w:cs="Times New Roman"/>
          <w:b/>
          <w:szCs w:val="24"/>
        </w:rPr>
      </w:pPr>
    </w:p>
    <w:p w:rsidR="0083017F" w:rsidRDefault="0083017F" w:rsidP="001B3CC2">
      <w:pPr>
        <w:spacing w:after="0" w:line="240" w:lineRule="auto"/>
        <w:jc w:val="center"/>
        <w:rPr>
          <w:b/>
        </w:rPr>
      </w:pPr>
      <w:r w:rsidRPr="0032221C">
        <w:rPr>
          <w:b/>
        </w:rPr>
        <w:t>ТЕХНИЧЕСКОЕ ЗАДАНИЕ</w:t>
      </w:r>
    </w:p>
    <w:p w:rsidR="0083017F" w:rsidRPr="0032221C" w:rsidRDefault="0083017F" w:rsidP="001B3CC2">
      <w:pPr>
        <w:spacing w:after="0" w:line="240" w:lineRule="auto"/>
        <w:jc w:val="center"/>
        <w:rPr>
          <w:b/>
        </w:rPr>
      </w:pPr>
    </w:p>
    <w:p w:rsidR="00DB2A61" w:rsidRPr="003B47A7" w:rsidRDefault="00DB2A61" w:rsidP="001B3CC2">
      <w:pPr>
        <w:pStyle w:val="aa"/>
        <w:numPr>
          <w:ilvl w:val="0"/>
          <w:numId w:val="6"/>
        </w:numPr>
        <w:tabs>
          <w:tab w:val="left" w:pos="10260"/>
        </w:tabs>
        <w:rPr>
          <w:b/>
        </w:rPr>
      </w:pPr>
      <w:r w:rsidRPr="003B47A7">
        <w:rPr>
          <w:b/>
        </w:rPr>
        <w:t>Характеристика и перечень оказываемых услуг</w:t>
      </w:r>
      <w:r>
        <w:rPr>
          <w:b/>
        </w:rPr>
        <w:t>:</w:t>
      </w:r>
    </w:p>
    <w:p w:rsidR="00DB2A61" w:rsidRDefault="00DB2A61" w:rsidP="001B3CC2">
      <w:pPr>
        <w:keepNext/>
        <w:keepLines/>
        <w:autoSpaceDE w:val="0"/>
        <w:autoSpaceDN w:val="0"/>
        <w:adjustRightInd w:val="0"/>
        <w:spacing w:after="0"/>
        <w:rPr>
          <w:u w:val="single"/>
        </w:rPr>
      </w:pPr>
    </w:p>
    <w:p w:rsidR="00DB2A61" w:rsidRPr="0032221C" w:rsidRDefault="00DB2A61" w:rsidP="001B3CC2">
      <w:pPr>
        <w:keepNext/>
        <w:keepLines/>
        <w:autoSpaceDE w:val="0"/>
        <w:autoSpaceDN w:val="0"/>
        <w:adjustRightInd w:val="0"/>
        <w:spacing w:after="0"/>
        <w:rPr>
          <w:i/>
        </w:rPr>
      </w:pPr>
      <w:r>
        <w:rPr>
          <w:i/>
        </w:rPr>
        <w:t>Осмотр врача-</w:t>
      </w:r>
      <w:r w:rsidRPr="0032221C">
        <w:rPr>
          <w:i/>
        </w:rPr>
        <w:t>психиатра включает:</w:t>
      </w:r>
    </w:p>
    <w:p w:rsidR="00DB2A61" w:rsidRDefault="00DB2A61" w:rsidP="001B3CC2">
      <w:pPr>
        <w:keepNext/>
        <w:keepLines/>
        <w:autoSpaceDE w:val="0"/>
        <w:autoSpaceDN w:val="0"/>
        <w:adjustRightInd w:val="0"/>
        <w:spacing w:after="0"/>
        <w:jc w:val="both"/>
      </w:pPr>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
    <w:p w:rsidR="00DB2A61" w:rsidRDefault="00DB2A61" w:rsidP="001B3CC2">
      <w:pPr>
        <w:keepNext/>
        <w:keepLines/>
        <w:autoSpaceDE w:val="0"/>
        <w:autoSpaceDN w:val="0"/>
        <w:adjustRightInd w:val="0"/>
        <w:spacing w:after="0"/>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DB2A61" w:rsidRDefault="00DB2A61" w:rsidP="001B3CC2">
      <w:pPr>
        <w:keepNext/>
        <w:keepLines/>
        <w:autoSpaceDE w:val="0"/>
        <w:autoSpaceDN w:val="0"/>
        <w:adjustRightInd w:val="0"/>
        <w:spacing w:after="0"/>
        <w:jc w:val="both"/>
      </w:pPr>
      <w:r>
        <w:t xml:space="preserve">- постановка клинического диагноза, рекомендации (цель профилактического осмотра: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DB2A61" w:rsidRPr="003B47A7" w:rsidRDefault="00DB2A61" w:rsidP="001B3CC2">
      <w:pPr>
        <w:pStyle w:val="aa"/>
        <w:tabs>
          <w:tab w:val="left" w:pos="10260"/>
        </w:tabs>
        <w:ind w:left="927" w:firstLine="0"/>
        <w:rPr>
          <w:b/>
        </w:rPr>
      </w:pPr>
    </w:p>
    <w:tbl>
      <w:tblPr>
        <w:tblW w:w="5000" w:type="pct"/>
        <w:tblCellMar>
          <w:left w:w="40" w:type="dxa"/>
          <w:right w:w="40" w:type="dxa"/>
        </w:tblCellMar>
        <w:tblLook w:val="0000"/>
      </w:tblPr>
      <w:tblGrid>
        <w:gridCol w:w="633"/>
        <w:gridCol w:w="6364"/>
        <w:gridCol w:w="1627"/>
        <w:gridCol w:w="1520"/>
      </w:tblGrid>
      <w:tr w:rsidR="00DB2A61" w:rsidTr="00AB2781">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DB2A61" w:rsidRPr="00F93D67" w:rsidRDefault="00DB2A61" w:rsidP="001B3CC2">
            <w:pPr>
              <w:autoSpaceDE w:val="0"/>
              <w:autoSpaceDN w:val="0"/>
              <w:adjustRightInd w:val="0"/>
              <w:spacing w:after="0" w:line="260" w:lineRule="auto"/>
              <w:jc w:val="center"/>
              <w:rPr>
                <w:color w:val="000000"/>
              </w:rPr>
            </w:pPr>
            <w:r w:rsidRPr="00F93D67">
              <w:rPr>
                <w:noProof/>
                <w:color w:val="000000"/>
              </w:rPr>
              <w:t xml:space="preserve">№ </w:t>
            </w:r>
            <w:r w:rsidRPr="00F93D67">
              <w:rPr>
                <w:color w:val="000000"/>
              </w:rPr>
              <w:t>п/п</w:t>
            </w:r>
          </w:p>
        </w:tc>
        <w:tc>
          <w:tcPr>
            <w:tcW w:w="3137" w:type="pct"/>
            <w:tcBorders>
              <w:top w:val="single" w:sz="6" w:space="0" w:color="auto"/>
              <w:left w:val="single" w:sz="6" w:space="0" w:color="auto"/>
              <w:bottom w:val="single" w:sz="6" w:space="0" w:color="auto"/>
              <w:right w:val="single" w:sz="6" w:space="0" w:color="auto"/>
            </w:tcBorders>
            <w:vAlign w:val="center"/>
          </w:tcPr>
          <w:p w:rsidR="00DB2A61" w:rsidRPr="00F93D67" w:rsidRDefault="00DB2A61" w:rsidP="001B3CC2">
            <w:pPr>
              <w:tabs>
                <w:tab w:val="center" w:pos="2840"/>
                <w:tab w:val="right" w:pos="5680"/>
              </w:tabs>
              <w:autoSpaceDE w:val="0"/>
              <w:autoSpaceDN w:val="0"/>
              <w:adjustRightInd w:val="0"/>
              <w:spacing w:after="0" w:line="260" w:lineRule="auto"/>
              <w:jc w:val="center"/>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DB2A61" w:rsidRDefault="00DB2A61" w:rsidP="001B3CC2">
            <w:pPr>
              <w:autoSpaceDE w:val="0"/>
              <w:autoSpaceDN w:val="0"/>
              <w:adjustRightInd w:val="0"/>
              <w:spacing w:after="0" w:line="260" w:lineRule="auto"/>
              <w:jc w:val="center"/>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DB2A61" w:rsidRDefault="00DB2A61" w:rsidP="001B3CC2">
            <w:pPr>
              <w:autoSpaceDE w:val="0"/>
              <w:autoSpaceDN w:val="0"/>
              <w:adjustRightInd w:val="0"/>
              <w:spacing w:after="0" w:line="260" w:lineRule="auto"/>
              <w:jc w:val="center"/>
              <w:rPr>
                <w:color w:val="000000"/>
              </w:rPr>
            </w:pPr>
            <w:r>
              <w:rPr>
                <w:color w:val="000000"/>
              </w:rPr>
              <w:t>Кол-во, человек</w:t>
            </w:r>
          </w:p>
        </w:tc>
      </w:tr>
      <w:tr w:rsidR="00DB2A61" w:rsidTr="001B3CC2">
        <w:trPr>
          <w:trHeight w:val="549"/>
        </w:trPr>
        <w:tc>
          <w:tcPr>
            <w:tcW w:w="312" w:type="pct"/>
            <w:tcBorders>
              <w:top w:val="single" w:sz="6" w:space="0" w:color="auto"/>
              <w:left w:val="single" w:sz="6" w:space="0" w:color="auto"/>
              <w:bottom w:val="single" w:sz="6" w:space="0" w:color="auto"/>
              <w:right w:val="single" w:sz="6" w:space="0" w:color="auto"/>
            </w:tcBorders>
            <w:vAlign w:val="center"/>
          </w:tcPr>
          <w:p w:rsidR="00DB2A61" w:rsidRDefault="00DB2A61" w:rsidP="001B3CC2">
            <w:pPr>
              <w:autoSpaceDE w:val="0"/>
              <w:autoSpaceDN w:val="0"/>
              <w:adjustRightInd w:val="0"/>
              <w:spacing w:after="0" w:line="260" w:lineRule="auto"/>
              <w:jc w:val="center"/>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DB2A61" w:rsidRPr="00CB251F" w:rsidRDefault="00DB2A61" w:rsidP="001B3CC2">
            <w:pPr>
              <w:spacing w:after="0"/>
            </w:pPr>
            <w:r>
              <w:t>Профилактический прием (консультация) врача-психиатра</w:t>
            </w:r>
          </w:p>
        </w:tc>
        <w:tc>
          <w:tcPr>
            <w:tcW w:w="802" w:type="pct"/>
            <w:tcBorders>
              <w:top w:val="single" w:sz="6" w:space="0" w:color="auto"/>
              <w:left w:val="single" w:sz="6" w:space="0" w:color="auto"/>
              <w:bottom w:val="single" w:sz="6" w:space="0" w:color="auto"/>
              <w:right w:val="single" w:sz="6" w:space="0" w:color="auto"/>
            </w:tcBorders>
            <w:vAlign w:val="center"/>
          </w:tcPr>
          <w:p w:rsidR="00DB2A61" w:rsidRDefault="00DB2A61" w:rsidP="001B3CC2">
            <w:pPr>
              <w:spacing w:after="0"/>
              <w:jc w:val="center"/>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DB2A61" w:rsidRDefault="00DB2A61" w:rsidP="001B3CC2">
            <w:pPr>
              <w:spacing w:after="0"/>
              <w:jc w:val="center"/>
            </w:pPr>
            <w:r>
              <w:t>1 000</w:t>
            </w:r>
          </w:p>
        </w:tc>
      </w:tr>
    </w:tbl>
    <w:p w:rsidR="00DB2A61" w:rsidRDefault="00DB2A61" w:rsidP="001B3CC2">
      <w:pPr>
        <w:pStyle w:val="20"/>
        <w:keepNext/>
        <w:keepLines/>
        <w:shd w:val="clear" w:color="auto" w:fill="auto"/>
        <w:spacing w:before="0" w:line="240" w:lineRule="auto"/>
        <w:ind w:left="720"/>
        <w:jc w:val="left"/>
        <w:rPr>
          <w:b/>
        </w:rPr>
      </w:pPr>
    </w:p>
    <w:p w:rsidR="00DB2A61" w:rsidRPr="0032221C" w:rsidRDefault="00DB2A61" w:rsidP="001B3CC2">
      <w:pPr>
        <w:pStyle w:val="aa"/>
        <w:numPr>
          <w:ilvl w:val="0"/>
          <w:numId w:val="6"/>
        </w:numPr>
        <w:rPr>
          <w:b/>
        </w:rPr>
      </w:pPr>
      <w:r w:rsidRPr="0032221C">
        <w:rPr>
          <w:b/>
        </w:rPr>
        <w:t>Требования к оказываемым услугам:</w:t>
      </w:r>
    </w:p>
    <w:p w:rsidR="001B3CC2" w:rsidRDefault="001B3CC2" w:rsidP="001B3CC2">
      <w:pPr>
        <w:tabs>
          <w:tab w:val="left" w:pos="426"/>
        </w:tabs>
        <w:autoSpaceDN w:val="0"/>
        <w:spacing w:after="0"/>
        <w:jc w:val="both"/>
        <w:outlineLvl w:val="0"/>
        <w:rPr>
          <w:szCs w:val="24"/>
        </w:rPr>
      </w:pPr>
    </w:p>
    <w:p w:rsidR="00DB2A61" w:rsidRPr="00C32FC8" w:rsidRDefault="00DB2A61" w:rsidP="001B3CC2">
      <w:pPr>
        <w:tabs>
          <w:tab w:val="left" w:pos="426"/>
        </w:tabs>
        <w:autoSpaceDN w:val="0"/>
        <w:spacing w:after="0"/>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DB2A61" w:rsidRPr="00C32FC8" w:rsidRDefault="00DB2A61" w:rsidP="001B3CC2">
      <w:pPr>
        <w:tabs>
          <w:tab w:val="left" w:pos="426"/>
        </w:tabs>
        <w:autoSpaceDN w:val="0"/>
        <w:spacing w:after="0"/>
        <w:jc w:val="both"/>
        <w:outlineLvl w:val="0"/>
        <w:rPr>
          <w:szCs w:val="24"/>
        </w:rPr>
      </w:pPr>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
    <w:p w:rsidR="00DB2A61" w:rsidRPr="00C32FC8" w:rsidRDefault="00DB2A61" w:rsidP="001B3CC2">
      <w:pPr>
        <w:tabs>
          <w:tab w:val="left" w:pos="426"/>
        </w:tabs>
        <w:autoSpaceDN w:val="0"/>
        <w:spacing w:after="0"/>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DB2A61" w:rsidRPr="00C32FC8" w:rsidRDefault="00DB2A61" w:rsidP="001B3CC2">
      <w:pPr>
        <w:tabs>
          <w:tab w:val="left" w:pos="426"/>
        </w:tabs>
        <w:autoSpaceDN w:val="0"/>
        <w:spacing w:after="0"/>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DB2A61" w:rsidRPr="00C32FC8" w:rsidRDefault="00DB2A61" w:rsidP="001B3CC2">
      <w:pPr>
        <w:tabs>
          <w:tab w:val="left" w:pos="426"/>
        </w:tabs>
        <w:autoSpaceDN w:val="0"/>
        <w:spacing w:after="0"/>
        <w:jc w:val="both"/>
        <w:outlineLvl w:val="0"/>
        <w:rPr>
          <w:szCs w:val="24"/>
        </w:rPr>
      </w:pPr>
      <w:r w:rsidRPr="00C32FC8">
        <w:rPr>
          <w:szCs w:val="24"/>
        </w:rPr>
        <w:t xml:space="preserve">-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w:t>
      </w:r>
      <w:r w:rsidRPr="00C32FC8">
        <w:rPr>
          <w:szCs w:val="24"/>
        </w:rPr>
        <w:lastRenderedPageBreak/>
        <w:t>влиянием вредных веществ и неблагоприятных производственных факторов), а также работающими в условиях повышенной опасности» (ред. от 01.02.2005 г.);</w:t>
      </w:r>
    </w:p>
    <w:p w:rsidR="0083017F" w:rsidRDefault="00DB2A61" w:rsidP="001B3CC2">
      <w:pPr>
        <w:spacing w:after="0" w:line="240" w:lineRule="auto"/>
        <w:jc w:val="both"/>
        <w:rPr>
          <w:rFonts w:eastAsia="Calibri"/>
          <w:szCs w:val="24"/>
        </w:rPr>
      </w:pPr>
      <w:r w:rsidRPr="00C32FC8">
        <w:rPr>
          <w:rFonts w:eastAsia="Calibri"/>
          <w:szCs w:val="24"/>
        </w:rPr>
        <w:t xml:space="preserve">Медицинская организация должна иметь лицензию </w:t>
      </w:r>
      <w:r w:rsidRPr="00C32FC8">
        <w:rPr>
          <w:szCs w:val="24"/>
        </w:rPr>
        <w:t>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Правительства РФ от 22.01.2007 N 30 (ред. от 24.09.2010) «Об утверждении Положения о лицензировании медицинской деятельности».</w:t>
      </w:r>
    </w:p>
    <w:p w:rsidR="0083017F" w:rsidRPr="00C32FC8" w:rsidRDefault="0083017F" w:rsidP="001B3CC2">
      <w:pPr>
        <w:spacing w:after="0" w:line="240" w:lineRule="auto"/>
        <w:jc w:val="both"/>
        <w:rPr>
          <w:b/>
          <w:szCs w:val="24"/>
        </w:rPr>
      </w:pPr>
    </w:p>
    <w:p w:rsidR="00CF0E89" w:rsidRPr="00CF0E89" w:rsidRDefault="00CF0E89" w:rsidP="001B3CC2">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1B3CC2">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1B3CC2">
            <w:pPr>
              <w:spacing w:after="0" w:line="240" w:lineRule="auto"/>
              <w:jc w:val="both"/>
              <w:rPr>
                <w:rFonts w:cs="Times New Roman"/>
                <w:b/>
                <w:szCs w:val="24"/>
              </w:rPr>
            </w:pPr>
          </w:p>
          <w:p w:rsidR="00CF0E89" w:rsidRPr="00CF0E89" w:rsidRDefault="00E12050" w:rsidP="001B3CC2">
            <w:pPr>
              <w:spacing w:after="0" w:line="240" w:lineRule="auto"/>
              <w:rPr>
                <w:rFonts w:cs="Times New Roman"/>
                <w:szCs w:val="24"/>
              </w:rPr>
            </w:pPr>
            <w:r>
              <w:rPr>
                <w:rFonts w:cs="Times New Roman"/>
                <w:b/>
                <w:szCs w:val="24"/>
              </w:rPr>
              <w:t>Главный врач</w:t>
            </w: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1B3CC2">
            <w:pPr>
              <w:spacing w:after="0" w:line="240" w:lineRule="auto"/>
              <w:ind w:firstLine="142"/>
              <w:rPr>
                <w:rFonts w:cs="Times New Roman"/>
                <w:b/>
                <w:szCs w:val="24"/>
              </w:rPr>
            </w:pPr>
            <w:r w:rsidRPr="00CF0E89">
              <w:rPr>
                <w:rFonts w:cs="Times New Roman"/>
                <w:b/>
                <w:szCs w:val="24"/>
              </w:rPr>
              <w:t>М.П.</w:t>
            </w:r>
          </w:p>
          <w:p w:rsidR="00CF0E89" w:rsidRPr="00CF0E89" w:rsidRDefault="00CF0E89" w:rsidP="001B3CC2">
            <w:pPr>
              <w:spacing w:after="0" w:line="240" w:lineRule="auto"/>
              <w:jc w:val="both"/>
              <w:rPr>
                <w:rFonts w:cs="Times New Roman"/>
                <w:szCs w:val="24"/>
              </w:rPr>
            </w:pPr>
          </w:p>
        </w:tc>
        <w:tc>
          <w:tcPr>
            <w:tcW w:w="4891" w:type="dxa"/>
          </w:tcPr>
          <w:p w:rsidR="00CF0E89" w:rsidRDefault="00CF0E89" w:rsidP="001B3CC2">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1B3CC2">
            <w:pPr>
              <w:spacing w:after="0" w:line="240" w:lineRule="auto"/>
              <w:jc w:val="both"/>
              <w:rPr>
                <w:rFonts w:cs="Times New Roman"/>
                <w:b/>
                <w:szCs w:val="24"/>
              </w:rPr>
            </w:pPr>
          </w:p>
          <w:p w:rsidR="00CF0E89" w:rsidRPr="00CF0E89" w:rsidRDefault="00CF0E89" w:rsidP="001B3CC2">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1B3CC2">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1B3CC2">
          <w:pgSz w:w="11906" w:h="16838"/>
          <w:pgMar w:top="851" w:right="849" w:bottom="851" w:left="993" w:header="720" w:footer="720" w:gutter="0"/>
          <w:cols w:space="720"/>
          <w:docGrid w:linePitch="272"/>
        </w:sectPr>
      </w:pPr>
    </w:p>
    <w:p w:rsidR="00CF0E89"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lastRenderedPageBreak/>
        <w:t>Приложение №2</w:t>
      </w:r>
    </w:p>
    <w:p w:rsidR="00E12050"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t xml:space="preserve">к гражданско-правовому договору </w:t>
      </w:r>
    </w:p>
    <w:p w:rsidR="00CF0E89" w:rsidRPr="001B3CC2" w:rsidRDefault="00E12050" w:rsidP="00CF0E89">
      <w:pPr>
        <w:shd w:val="clear" w:color="auto" w:fill="FFFFFF"/>
        <w:spacing w:after="0" w:line="240" w:lineRule="auto"/>
        <w:jc w:val="right"/>
        <w:rPr>
          <w:rFonts w:cs="Times New Roman"/>
          <w:sz w:val="20"/>
          <w:szCs w:val="20"/>
        </w:rPr>
      </w:pPr>
      <w:r w:rsidRPr="001B3CC2">
        <w:rPr>
          <w:rFonts w:cs="Times New Roman"/>
          <w:sz w:val="20"/>
          <w:szCs w:val="20"/>
        </w:rPr>
        <w:t>№</w:t>
      </w:r>
      <w:r w:rsidR="00CF0E89" w:rsidRPr="001B3CC2">
        <w:rPr>
          <w:rFonts w:cs="Times New Roman"/>
          <w:sz w:val="20"/>
          <w:szCs w:val="20"/>
        </w:rPr>
        <w:t xml:space="preserve"> ____ от «___» _______ 201</w:t>
      </w:r>
      <w:r w:rsidR="00E9502D" w:rsidRPr="001B3CC2">
        <w:rPr>
          <w:rFonts w:cs="Times New Roman"/>
          <w:sz w:val="20"/>
          <w:szCs w:val="20"/>
        </w:rPr>
        <w:t>3</w:t>
      </w:r>
      <w:r w:rsidR="00CF0E89" w:rsidRPr="001B3CC2">
        <w:rPr>
          <w:rFonts w:cs="Times New Roman"/>
          <w:sz w:val="20"/>
          <w:szCs w:val="20"/>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r w:rsidRPr="00E12050">
              <w:rPr>
                <w:color w:val="000000"/>
                <w:szCs w:val="24"/>
              </w:rPr>
              <w:t>п/п</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1303FE" w:rsidP="00E12050">
            <w:pPr>
              <w:spacing w:after="0"/>
              <w:jc w:val="center"/>
              <w:rPr>
                <w:szCs w:val="24"/>
              </w:rPr>
            </w:pPr>
            <w:r>
              <w:rPr>
                <w:szCs w:val="24"/>
              </w:rPr>
              <w:t>1 000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FA2" w:rsidRDefault="00631FA2" w:rsidP="003A4008">
      <w:pPr>
        <w:spacing w:after="0" w:line="240" w:lineRule="auto"/>
      </w:pPr>
      <w:r>
        <w:separator/>
      </w:r>
    </w:p>
  </w:endnote>
  <w:endnote w:type="continuationSeparator" w:id="1">
    <w:p w:rsidR="00631FA2" w:rsidRDefault="00631FA2"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D5E87">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631FA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D5E87">
    <w:pPr>
      <w:pStyle w:val="a5"/>
      <w:jc w:val="center"/>
    </w:pPr>
    <w:r>
      <w:fldChar w:fldCharType="begin"/>
    </w:r>
    <w:r w:rsidR="00E12050">
      <w:instrText xml:space="preserve"> PAGE   \* MERGEFORMAT </w:instrText>
    </w:r>
    <w:r>
      <w:fldChar w:fldCharType="separate"/>
    </w:r>
    <w:r w:rsidR="001B3CC2">
      <w:rPr>
        <w:noProof/>
      </w:rPr>
      <w:t>8</w:t>
    </w:r>
    <w:r>
      <w:fldChar w:fldCharType="end"/>
    </w:r>
  </w:p>
  <w:p w:rsidR="00441BEE" w:rsidRDefault="00631FA2">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ED5E87">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631FA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FA2" w:rsidRDefault="00631FA2" w:rsidP="003A4008">
      <w:pPr>
        <w:spacing w:after="0" w:line="240" w:lineRule="auto"/>
      </w:pPr>
      <w:r>
        <w:separator/>
      </w:r>
    </w:p>
  </w:footnote>
  <w:footnote w:type="continuationSeparator" w:id="1">
    <w:p w:rsidR="00631FA2" w:rsidRDefault="00631FA2"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0E89"/>
    <w:rsid w:val="001303FE"/>
    <w:rsid w:val="00154C03"/>
    <w:rsid w:val="001A79DA"/>
    <w:rsid w:val="001B3CC2"/>
    <w:rsid w:val="001B7B22"/>
    <w:rsid w:val="002B3673"/>
    <w:rsid w:val="002C696D"/>
    <w:rsid w:val="002D1C0C"/>
    <w:rsid w:val="003A4008"/>
    <w:rsid w:val="0041290E"/>
    <w:rsid w:val="004D7452"/>
    <w:rsid w:val="00530449"/>
    <w:rsid w:val="00631FA2"/>
    <w:rsid w:val="007D2FE3"/>
    <w:rsid w:val="007E762F"/>
    <w:rsid w:val="0083017F"/>
    <w:rsid w:val="008F6CE3"/>
    <w:rsid w:val="009C14C6"/>
    <w:rsid w:val="00A850EB"/>
    <w:rsid w:val="00AA02EE"/>
    <w:rsid w:val="00B0341A"/>
    <w:rsid w:val="00C23497"/>
    <w:rsid w:val="00CF0E89"/>
    <w:rsid w:val="00DB0E32"/>
    <w:rsid w:val="00DB2A61"/>
    <w:rsid w:val="00E12050"/>
    <w:rsid w:val="00E9502D"/>
    <w:rsid w:val="00ED2944"/>
    <w:rsid w:val="00ED5E87"/>
    <w:rsid w:val="00F24D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8</Pages>
  <Words>2561</Words>
  <Characters>14603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cp:lastPrinted>2012-12-24T10:06:00Z</cp:lastPrinted>
  <dcterms:created xsi:type="dcterms:W3CDTF">2012-04-10T06:11:00Z</dcterms:created>
  <dcterms:modified xsi:type="dcterms:W3CDTF">2013-03-29T05:53:00Z</dcterms:modified>
</cp:coreProperties>
</file>