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E75" w:rsidRDefault="00693E75" w:rsidP="00693E75">
      <w:pPr>
        <w:jc w:val="right"/>
        <w:rPr>
          <w:sz w:val="24"/>
        </w:rPr>
      </w:pPr>
      <w:r>
        <w:rPr>
          <w:sz w:val="24"/>
        </w:rPr>
        <w:t xml:space="preserve">Приложение № 1 к документации </w:t>
      </w:r>
    </w:p>
    <w:p w:rsidR="00693E75" w:rsidRDefault="00693E75" w:rsidP="00693E75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об открытом аукционе в электронной форме</w:t>
      </w:r>
    </w:p>
    <w:p w:rsidR="00693E75" w:rsidRDefault="00693E75" w:rsidP="00693E75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от «25» апреля 2013 г. № 0856300000213000020</w:t>
      </w:r>
    </w:p>
    <w:p w:rsidR="00693E75" w:rsidRDefault="00693E75" w:rsidP="00693E75">
      <w:pPr>
        <w:jc w:val="right"/>
        <w:rPr>
          <w:sz w:val="24"/>
        </w:rPr>
      </w:pPr>
      <w:r>
        <w:rPr>
          <w:sz w:val="24"/>
        </w:rPr>
        <w:t xml:space="preserve">   </w:t>
      </w:r>
      <w:proofErr w:type="gramStart"/>
      <w:r>
        <w:rPr>
          <w:sz w:val="24"/>
        </w:rPr>
        <w:t xml:space="preserve">(Приложение №1 к муниципальному контракту </w:t>
      </w:r>
      <w:proofErr w:type="gramEnd"/>
    </w:p>
    <w:p w:rsidR="00693E75" w:rsidRDefault="00693E75" w:rsidP="00693E75">
      <w:pPr>
        <w:jc w:val="right"/>
        <w:rPr>
          <w:b/>
          <w:sz w:val="24"/>
        </w:rPr>
      </w:pPr>
      <w:r>
        <w:rPr>
          <w:sz w:val="24"/>
        </w:rPr>
        <w:t xml:space="preserve">                                                                          от «___» ___________ 2013 г. №__________)</w:t>
      </w:r>
    </w:p>
    <w:p w:rsidR="00693E75" w:rsidRDefault="00693E75" w:rsidP="00693E75">
      <w:pPr>
        <w:ind w:right="-1"/>
        <w:jc w:val="center"/>
        <w:rPr>
          <w:b/>
          <w:snapToGrid w:val="0"/>
          <w:sz w:val="28"/>
          <w:szCs w:val="28"/>
        </w:rPr>
      </w:pPr>
    </w:p>
    <w:p w:rsidR="00693E75" w:rsidRDefault="00693E75" w:rsidP="00246B4B">
      <w:pPr>
        <w:ind w:right="-1"/>
        <w:jc w:val="center"/>
        <w:rPr>
          <w:b/>
          <w:snapToGrid w:val="0"/>
          <w:sz w:val="28"/>
          <w:szCs w:val="28"/>
        </w:rPr>
      </w:pPr>
    </w:p>
    <w:p w:rsidR="00246B4B" w:rsidRPr="002C29F2" w:rsidRDefault="00246B4B" w:rsidP="00246B4B">
      <w:pPr>
        <w:ind w:right="-1"/>
        <w:jc w:val="center"/>
        <w:rPr>
          <w:b/>
          <w:snapToGrid w:val="0"/>
          <w:sz w:val="28"/>
          <w:szCs w:val="28"/>
        </w:rPr>
      </w:pPr>
      <w:r w:rsidRPr="002C29F2">
        <w:rPr>
          <w:b/>
          <w:snapToGrid w:val="0"/>
          <w:sz w:val="28"/>
          <w:szCs w:val="28"/>
        </w:rPr>
        <w:t>Техническое задание</w:t>
      </w:r>
    </w:p>
    <w:p w:rsidR="00693E75" w:rsidRDefault="00246B4B" w:rsidP="00693E75">
      <w:pPr>
        <w:ind w:right="-1"/>
        <w:jc w:val="center"/>
        <w:rPr>
          <w:rFonts w:eastAsia="Calibri"/>
          <w:b/>
          <w:snapToGrid w:val="0"/>
          <w:sz w:val="24"/>
          <w:szCs w:val="24"/>
        </w:rPr>
      </w:pPr>
      <w:r w:rsidRPr="002C29F2">
        <w:rPr>
          <w:b/>
          <w:snapToGrid w:val="0"/>
          <w:sz w:val="24"/>
        </w:rPr>
        <w:t xml:space="preserve">на выполнение работ по </w:t>
      </w:r>
      <w:r w:rsidRPr="002C29F2">
        <w:rPr>
          <w:rFonts w:eastAsia="Calibri"/>
          <w:b/>
          <w:snapToGrid w:val="0"/>
          <w:sz w:val="24"/>
          <w:szCs w:val="24"/>
        </w:rPr>
        <w:t xml:space="preserve">строительству светофорного объекта </w:t>
      </w:r>
      <w:r>
        <w:rPr>
          <w:rFonts w:eastAsia="Calibri"/>
          <w:b/>
          <w:snapToGrid w:val="0"/>
          <w:sz w:val="24"/>
          <w:szCs w:val="24"/>
        </w:rPr>
        <w:t xml:space="preserve">на </w:t>
      </w:r>
      <w:r w:rsidR="00693E75" w:rsidRPr="00693E75">
        <w:rPr>
          <w:rFonts w:eastAsia="Calibri"/>
          <w:b/>
          <w:snapToGrid w:val="0"/>
          <w:sz w:val="24"/>
          <w:szCs w:val="24"/>
        </w:rPr>
        <w:t>перекрестке ул. Леонова – ул. Беляева в Индус</w:t>
      </w:r>
      <w:r w:rsidR="00693E75">
        <w:rPr>
          <w:rFonts w:eastAsia="Calibri"/>
          <w:b/>
          <w:snapToGrid w:val="0"/>
          <w:sz w:val="24"/>
          <w:szCs w:val="24"/>
        </w:rPr>
        <w:t>триальном районе в городе Перми</w:t>
      </w:r>
    </w:p>
    <w:p w:rsidR="00693E75" w:rsidRDefault="00693E75" w:rsidP="00693E75">
      <w:pPr>
        <w:ind w:right="-1"/>
        <w:jc w:val="center"/>
        <w:rPr>
          <w:rFonts w:eastAsia="Calibri"/>
          <w:b/>
          <w:snapToGrid w:val="0"/>
          <w:sz w:val="24"/>
          <w:szCs w:val="24"/>
        </w:rPr>
      </w:pPr>
    </w:p>
    <w:p w:rsidR="00693E75" w:rsidRDefault="00693E75" w:rsidP="00693E75">
      <w:pPr>
        <w:ind w:right="-1"/>
        <w:jc w:val="center"/>
        <w:rPr>
          <w:rFonts w:eastAsia="Calibri"/>
          <w:b/>
          <w:snapToGrid w:val="0"/>
          <w:sz w:val="24"/>
          <w:szCs w:val="24"/>
        </w:rPr>
      </w:pPr>
    </w:p>
    <w:p w:rsidR="00246B4B" w:rsidRPr="002C29F2" w:rsidRDefault="00246B4B" w:rsidP="00693E75">
      <w:pPr>
        <w:ind w:right="-1"/>
        <w:jc w:val="center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Разработка проектной документации</w:t>
      </w:r>
    </w:p>
    <w:p w:rsidR="00246B4B" w:rsidRPr="002C29F2" w:rsidRDefault="00246B4B" w:rsidP="00246B4B">
      <w:pPr>
        <w:numPr>
          <w:ilvl w:val="1"/>
          <w:numId w:val="1"/>
        </w:numPr>
        <w:ind w:left="0" w:right="-1" w:firstLine="0"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Разработать проект по строительству светофорного объекта на </w:t>
      </w:r>
      <w:r>
        <w:rPr>
          <w:rFonts w:eastAsia="Calibri"/>
          <w:sz w:val="24"/>
          <w:szCs w:val="24"/>
        </w:rPr>
        <w:t>перекрестке</w:t>
      </w:r>
      <w:r w:rsidRPr="002C29F2">
        <w:rPr>
          <w:rFonts w:eastAsia="Calibri"/>
          <w:sz w:val="24"/>
          <w:szCs w:val="24"/>
        </w:rPr>
        <w:t xml:space="preserve"> ул. Леонова </w:t>
      </w:r>
      <w:r>
        <w:rPr>
          <w:rFonts w:eastAsia="Calibri"/>
          <w:sz w:val="24"/>
          <w:szCs w:val="24"/>
        </w:rPr>
        <w:t>– ул. Беляева</w:t>
      </w:r>
      <w:r w:rsidRPr="002C29F2">
        <w:rPr>
          <w:rFonts w:eastAsia="Calibri"/>
          <w:sz w:val="24"/>
          <w:szCs w:val="24"/>
        </w:rPr>
        <w:t xml:space="preserve">   в Индустриальном районе в городе Перми с учетом обустройства места выполнения работ дорожными знаками, ограждениями и дорожной разметкой, в соответствии с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 № 1),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52282-2004 «Технические средства организации дорожного движения. Светофоры дорожные. Типы, основные параметры, общие технические требования, методы испытаний»,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52290-2004 «Технические средства организации движения. знаки дорожные. Общие технические требования» и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50597-1993 «Автомобильные дороги и улицы. Требования к эксплуатационному состоянию, допустимому по условиям обеспечения безопасности дорожного движения». Состав и оформление проекта принять в соответствии с Положением о составе разделов проектной документации и требованиях к ее содержанию, утвержденным Постановлением Правительства Российской Федерации от 16.02.2008 № 87 и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21.1101-2009 «Система проектной документации для строительства. Основные требования к проектной и рабочей документации». Согласовать проект с отделом ГИБДД Управления МВД России по г. Перми, балансодержателем автодороги, утвердить у Заказчика.</w:t>
      </w:r>
    </w:p>
    <w:p w:rsidR="00246B4B" w:rsidRPr="002C29F2" w:rsidRDefault="00246B4B" w:rsidP="00246B4B">
      <w:pPr>
        <w:numPr>
          <w:ilvl w:val="1"/>
          <w:numId w:val="1"/>
        </w:numPr>
        <w:ind w:left="0" w:right="-1" w:firstLine="0"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Проектная документация на строительство светофорного объекта должна содержать проект организации дорожного движения, с соответствующими изменениями, согласованный и утвержденный в установленном порядке (Заказчик, отдел ГИБДД Управления МВД России по г. Перми, балансодержатель автодороги, Департамент дорог и транспорта администрации г. Перми). Изменения в проекте организации дорожного движения должны быть выполнены в масштабе 1:500. Документы, входящие в состав проекта организации дорожного движения должны быть выполнены в соответствии с порядком разработки и утверждения проектов организации дорожного движения на автомобильных дорогах, утвержденным приказом Федерального дорожного агентства от 7 августа 2006  г. № 01-29/5313.</w:t>
      </w:r>
    </w:p>
    <w:p w:rsidR="00246B4B" w:rsidRPr="002C29F2" w:rsidRDefault="00246B4B" w:rsidP="00246B4B">
      <w:pPr>
        <w:numPr>
          <w:ilvl w:val="1"/>
          <w:numId w:val="1"/>
        </w:numPr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Получить технические условия на проведение работ от всех собственников объектов, попадающих в зону проведения работ. </w:t>
      </w:r>
    </w:p>
    <w:p w:rsidR="00246B4B" w:rsidRPr="002C29F2" w:rsidRDefault="00246B4B" w:rsidP="00246B4B">
      <w:pPr>
        <w:numPr>
          <w:ilvl w:val="1"/>
          <w:numId w:val="1"/>
        </w:numPr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По окончании работ передать Заказчику комплект проектной документации в двух экземплярах на бумажном носителе и в электронном виде.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Место выполнения работ</w:t>
      </w:r>
      <w:r w:rsidRPr="002C29F2">
        <w:rPr>
          <w:rFonts w:eastAsia="Calibri"/>
          <w:sz w:val="24"/>
          <w:szCs w:val="24"/>
        </w:rPr>
        <w:t>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       Выполнить работы по строительству светофорного объекта на </w:t>
      </w:r>
      <w:r>
        <w:rPr>
          <w:rFonts w:eastAsia="Calibri"/>
          <w:sz w:val="24"/>
          <w:szCs w:val="24"/>
        </w:rPr>
        <w:t>перекрестке</w:t>
      </w:r>
      <w:r w:rsidRPr="002C29F2">
        <w:rPr>
          <w:rFonts w:eastAsia="Calibri"/>
          <w:sz w:val="24"/>
          <w:szCs w:val="24"/>
        </w:rPr>
        <w:t xml:space="preserve"> ул. Леонова </w:t>
      </w:r>
      <w:r>
        <w:rPr>
          <w:rFonts w:eastAsia="Calibri"/>
          <w:sz w:val="24"/>
          <w:szCs w:val="24"/>
        </w:rPr>
        <w:t>– ул. Беляева</w:t>
      </w:r>
      <w:r w:rsidRPr="002C29F2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в </w:t>
      </w:r>
      <w:r w:rsidRPr="002C29F2">
        <w:rPr>
          <w:rFonts w:eastAsia="Calibri"/>
          <w:sz w:val="24"/>
          <w:szCs w:val="24"/>
        </w:rPr>
        <w:t>Индустриальном районе в городе Перми.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Подготовка к выполнению работ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Разработать план производства работ.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lastRenderedPageBreak/>
        <w:t>Разработать и согласовать в установленном порядке схемы движения транспорта при производстве работ, связанных с ограничением движения транспортных средств.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Согласовать в установленном порядке производство земляных работ. 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Объем и технические требования к выполняемым работам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Оборудовать светофорный объект транспортными светофорами (исполнение Т.1 по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52282-2004) для всех направлений движения транспорта и пешеходными светофорами для всех направлений движения пешеходов (исполнение П.1 по ГОСТ Р 52282-2004) </w:t>
      </w:r>
      <w:r w:rsidR="00366A11" w:rsidRPr="002C29F2">
        <w:rPr>
          <w:rFonts w:eastAsia="Calibri"/>
          <w:sz w:val="24"/>
          <w:szCs w:val="24"/>
        </w:rPr>
        <w:t xml:space="preserve">с диаметром выходной апертуры сигналов светофоров 300 мм </w:t>
      </w:r>
      <w:r w:rsidRPr="002C29F2">
        <w:rPr>
          <w:rFonts w:eastAsia="Calibri"/>
          <w:sz w:val="24"/>
          <w:szCs w:val="24"/>
        </w:rPr>
        <w:t xml:space="preserve">согласно разработанной проектной документации. Светофоры должны соответствовать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52282-2004, СНиП 2.05.02-85 и «Правил устройства электроустановок», с техническим характеристиками, представленными в приложении № 1 к техническому заданию.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Оборудовать светофорный объект дорожным контроллером типа «КДУ 3.2» или эквивалентным. 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Дорожный контроллер установить в монтажный шкаф уличного всепогодного </w:t>
      </w:r>
      <w:proofErr w:type="spellStart"/>
      <w:r w:rsidRPr="002C29F2">
        <w:rPr>
          <w:rFonts w:eastAsia="Calibri"/>
          <w:sz w:val="24"/>
          <w:szCs w:val="24"/>
        </w:rPr>
        <w:t>вандалоустойчивого</w:t>
      </w:r>
      <w:proofErr w:type="spellEnd"/>
      <w:r w:rsidRPr="002C29F2">
        <w:rPr>
          <w:rFonts w:eastAsia="Calibri"/>
          <w:sz w:val="24"/>
          <w:szCs w:val="24"/>
        </w:rPr>
        <w:t xml:space="preserve"> исполнения. Монтажный шкаф оборудовать необходимым оборудованием электропитания (в </w:t>
      </w:r>
      <w:proofErr w:type="spellStart"/>
      <w:r w:rsidRPr="002C29F2">
        <w:rPr>
          <w:rFonts w:eastAsia="Calibri"/>
          <w:sz w:val="24"/>
          <w:szCs w:val="24"/>
        </w:rPr>
        <w:t>т.ч</w:t>
      </w:r>
      <w:proofErr w:type="spellEnd"/>
      <w:r w:rsidRPr="002C29F2">
        <w:rPr>
          <w:rFonts w:eastAsia="Calibri"/>
          <w:sz w:val="24"/>
          <w:szCs w:val="24"/>
        </w:rPr>
        <w:t>. электрозащиты и учета электроэнергии). Монтажный шкаф разместить в непосредственной близости от светофорного объекта.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Оборудовать светофорный объект устройством звукового сопровождения для слабовидящих пешеходов  (далее - УЗС), предназначенным для обеспечения безопасности слабовидящих граждан при пересечении проезжей части в зоне регулируемого пешеходного перехода за счёт получения ими информации о режиме работы светофора с помощью звукового сигнала.</w:t>
      </w:r>
      <w:r w:rsidRPr="002C29F2">
        <w:rPr>
          <w:sz w:val="24"/>
          <w:szCs w:val="24"/>
          <w:lang w:eastAsia="ar-SA"/>
        </w:rPr>
        <w:t xml:space="preserve"> </w:t>
      </w:r>
      <w:r w:rsidRPr="002C29F2">
        <w:rPr>
          <w:rFonts w:eastAsia="Calibri"/>
          <w:sz w:val="24"/>
          <w:szCs w:val="24"/>
        </w:rPr>
        <w:t xml:space="preserve">В утреннее и вечернее время суток звуковой сигнал излучается на пониженной громкости, в ночное время суток – отключается полностью.  Установить устройства звукового сопровождения, дублирующие сигналы светофоров, в соответствии  с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51648-2000 «Сигналы звуковые и осязательные, дублирующие сигналы светофора, для слепых и слепоглухих людей», ГОСТ 17187-81 «</w:t>
      </w:r>
      <w:proofErr w:type="spellStart"/>
      <w:r w:rsidRPr="002C29F2">
        <w:rPr>
          <w:rFonts w:eastAsia="Calibri"/>
          <w:sz w:val="24"/>
          <w:szCs w:val="24"/>
        </w:rPr>
        <w:t>Шумомеры</w:t>
      </w:r>
      <w:proofErr w:type="spellEnd"/>
      <w:r w:rsidRPr="002C29F2">
        <w:rPr>
          <w:rFonts w:eastAsia="Calibri"/>
          <w:sz w:val="24"/>
          <w:szCs w:val="24"/>
        </w:rPr>
        <w:t>. Общие технические требования и методы испытаний»,  ГОСТ 23457-86 «Технические средства организации дорожного движения. Правила применения», иными действующими правовыми актами, с техническим характеристиками, представленными в приложении № 1 к техническому заданию.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Оборудовать светофорный объект табло обратного отчета времени (ТООВ) для обеспечения </w:t>
      </w:r>
      <w:r w:rsidR="00E60182">
        <w:rPr>
          <w:rFonts w:eastAsia="Calibri"/>
          <w:sz w:val="24"/>
          <w:szCs w:val="24"/>
        </w:rPr>
        <w:t>водителей транспортных средств</w:t>
      </w:r>
      <w:r w:rsidRPr="002C29F2">
        <w:rPr>
          <w:rFonts w:eastAsia="Calibri"/>
          <w:sz w:val="24"/>
          <w:szCs w:val="24"/>
        </w:rPr>
        <w:t xml:space="preserve"> информацией о времени, оставшемся до окончания действия разрешающего и запрещающего сигналов светофора,  с техническими характеристиками, представленными в приложении № 1 к техническому заданию.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Выполнить работы по подключению светофорных секций светофорного объекта, табло обратного отчета времени,  устрой</w:t>
      </w:r>
      <w:proofErr w:type="gramStart"/>
      <w:r w:rsidRPr="002C29F2">
        <w:rPr>
          <w:rFonts w:eastAsia="Calibri"/>
          <w:sz w:val="24"/>
          <w:szCs w:val="24"/>
        </w:rPr>
        <w:t>ств зв</w:t>
      </w:r>
      <w:proofErr w:type="gramEnd"/>
      <w:r w:rsidRPr="002C29F2">
        <w:rPr>
          <w:rFonts w:eastAsia="Calibri"/>
          <w:sz w:val="24"/>
          <w:szCs w:val="24"/>
        </w:rPr>
        <w:t>укового сопровожд</w:t>
      </w:r>
      <w:r>
        <w:rPr>
          <w:rFonts w:eastAsia="Calibri"/>
          <w:sz w:val="24"/>
          <w:szCs w:val="24"/>
        </w:rPr>
        <w:t>ения для слабовидящих пешеходов</w:t>
      </w:r>
      <w:r w:rsidR="00366A11">
        <w:rPr>
          <w:rFonts w:eastAsia="Calibri"/>
          <w:sz w:val="24"/>
          <w:szCs w:val="24"/>
        </w:rPr>
        <w:t xml:space="preserve"> к дорожному контроллеру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Выполнить необходимые согласования и получить разрешение на подключение светофорного объекта к постоянному электропитанию. Выполнить работы по подключению светофорного объекта к электропитанию. </w:t>
      </w:r>
    </w:p>
    <w:p w:rsidR="00246B4B" w:rsidRDefault="00246B4B" w:rsidP="00246B4B">
      <w:pPr>
        <w:numPr>
          <w:ilvl w:val="1"/>
          <w:numId w:val="1"/>
        </w:numPr>
        <w:spacing w:line="276" w:lineRule="auto"/>
        <w:ind w:left="0" w:right="-1" w:firstLine="0"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Обустроить в месте выполнения работ по строительству светофорного объекта пешеходные переходы техническими средствами организации дорожного движения (дорожными знаками и т.п.). </w:t>
      </w:r>
    </w:p>
    <w:p w:rsidR="000E3D35" w:rsidRDefault="000E3D35" w:rsidP="000E3D35">
      <w:pPr>
        <w:numPr>
          <w:ilvl w:val="1"/>
          <w:numId w:val="1"/>
        </w:numPr>
        <w:spacing w:line="276" w:lineRule="auto"/>
        <w:ind w:left="0" w:right="-1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Выполнить работы по организации подземной кабельной канализации с прокладкой необходимых кабельных линий.</w:t>
      </w:r>
    </w:p>
    <w:p w:rsidR="000E3D35" w:rsidRPr="002C29F2" w:rsidRDefault="000E3D35" w:rsidP="000E3D35">
      <w:pPr>
        <w:numPr>
          <w:ilvl w:val="1"/>
          <w:numId w:val="1"/>
        </w:numPr>
        <w:spacing w:line="276" w:lineRule="auto"/>
        <w:ind w:left="0" w:right="-1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Обеспечить содержание, уборку места производства работ и по окончании работ произвести восстановление дорожного покрытия проезжей части, тротуаров, газонов и т.п.</w:t>
      </w: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Ввод светофорного объекта в эксплуатацию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5.1. Провести пуско-наладочные работы.</w:t>
      </w:r>
    </w:p>
    <w:p w:rsidR="00246B4B" w:rsidRPr="002C29F2" w:rsidRDefault="00246B4B" w:rsidP="00246B4B">
      <w:pPr>
        <w:numPr>
          <w:ilvl w:val="1"/>
          <w:numId w:val="3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proofErr w:type="gramStart"/>
      <w:r w:rsidRPr="002C29F2">
        <w:rPr>
          <w:rFonts w:eastAsia="Calibri"/>
          <w:sz w:val="24"/>
          <w:szCs w:val="24"/>
        </w:rPr>
        <w:t>Создать и оформить в виде документа и библиотеки программы координации (в графической и табличной формах с подробными комментариями) светофорного объекта.</w:t>
      </w:r>
      <w:proofErr w:type="gramEnd"/>
      <w:r w:rsidRPr="002C29F2">
        <w:rPr>
          <w:rFonts w:eastAsia="Calibri"/>
          <w:sz w:val="24"/>
          <w:szCs w:val="24"/>
        </w:rPr>
        <w:t xml:space="preserve"> Согласовать программы координации с отделом ГИБДД Управления МВД России по городу Перми, утвердить у Заказчика, оформить приложением к паспорту светофорного объекта.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5.3.Произвести запуск светофорного объекта в эксплуатацию.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5.4. Разработать и передать Заказчику паспорт светофорного объекта. Паспорт светофорного объекта должен содержать перечень установленного оборудования, с местом расположения оборудования и номеров производителя оборудования. В паспорте предусмотреть возможность отображения в дальнейшем информации о проводимых работах, замене, ремонте оборудования, изменения режима работы.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5.5. Установить срок тестовой эксплуатации светофорного объекта, в течение которого Подрядчик выполняет работы по изменению режима работы светофорного объекта по требованию Заказчика – 2 (Два) месяца с момента подписания Заказчиком акта приемки выполненных работ по строительству светофорного объекта.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5.6. Установить гарантийный срок на выполненные работы – 12  (Двенадцать) месяцев с момента подписания Заказчиком акта приемки выполненных работ по строительству светофорного объекта.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Срок выполнения работ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6.1. Начало выполнения работ – с момента подписания контракта.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6.2. Окончан</w:t>
      </w:r>
      <w:r w:rsidR="00366A11">
        <w:rPr>
          <w:rFonts w:eastAsia="Calibri"/>
          <w:sz w:val="24"/>
          <w:szCs w:val="24"/>
        </w:rPr>
        <w:t>ие выполнения  работ – не позднее 4 (четырех) недель с момента подписания контракта.</w:t>
      </w:r>
    </w:p>
    <w:p w:rsidR="00246B4B" w:rsidRPr="002C29F2" w:rsidRDefault="00246B4B" w:rsidP="00246B4B">
      <w:pPr>
        <w:ind w:right="-1"/>
        <w:jc w:val="both"/>
      </w:pPr>
    </w:p>
    <w:p w:rsidR="00246B4B" w:rsidRPr="002C29F2" w:rsidRDefault="00246B4B" w:rsidP="00246B4B">
      <w:pPr>
        <w:ind w:right="-1"/>
        <w:jc w:val="both"/>
        <w:rPr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FA61E7" w:rsidRDefault="00FA61E7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FA61E7" w:rsidRDefault="00FA61E7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FA61E7" w:rsidRDefault="00FA61E7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FA61E7" w:rsidRDefault="00FA61E7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FA61E7" w:rsidRDefault="00FA61E7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FA61E7" w:rsidRDefault="00FA61E7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bookmarkStart w:id="0" w:name="_GoBack"/>
      <w:bookmarkEnd w:id="0"/>
      <w:r w:rsidRPr="002C29F2">
        <w:rPr>
          <w:rFonts w:eastAsia="Calibri"/>
          <w:sz w:val="24"/>
          <w:szCs w:val="24"/>
        </w:rPr>
        <w:lastRenderedPageBreak/>
        <w:t>Приложение № 1</w:t>
      </w:r>
    </w:p>
    <w:p w:rsidR="00246B4B" w:rsidRPr="002C29F2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к техническому заданию</w:t>
      </w:r>
    </w:p>
    <w:p w:rsidR="00246B4B" w:rsidRPr="002C29F2" w:rsidRDefault="00246B4B" w:rsidP="00246B4B">
      <w:pPr>
        <w:ind w:right="-1"/>
        <w:jc w:val="both"/>
        <w:rPr>
          <w:sz w:val="24"/>
          <w:szCs w:val="24"/>
        </w:rPr>
      </w:pPr>
    </w:p>
    <w:p w:rsidR="00246B4B" w:rsidRPr="002C29F2" w:rsidRDefault="00246B4B" w:rsidP="00246B4B">
      <w:pPr>
        <w:ind w:right="-1"/>
        <w:jc w:val="center"/>
        <w:rPr>
          <w:b/>
          <w:bCs/>
          <w:iCs/>
          <w:sz w:val="24"/>
          <w:szCs w:val="24"/>
        </w:rPr>
      </w:pPr>
      <w:r w:rsidRPr="002C29F2">
        <w:rPr>
          <w:b/>
          <w:bCs/>
          <w:iCs/>
          <w:sz w:val="24"/>
          <w:szCs w:val="24"/>
        </w:rPr>
        <w:t>ТЕХНИЧЕСКИЕ ХАРАКТЕРИСТИКИ ОБОРУДОВАНИЯ</w:t>
      </w:r>
    </w:p>
    <w:p w:rsidR="00246B4B" w:rsidRPr="002C29F2" w:rsidRDefault="00246B4B" w:rsidP="00246B4B">
      <w:pPr>
        <w:ind w:right="-1"/>
        <w:jc w:val="both"/>
        <w:rPr>
          <w:bCs/>
          <w:iCs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4"/>
        <w:gridCol w:w="6841"/>
      </w:tblGrid>
      <w:tr w:rsidR="00246B4B" w:rsidRPr="002C29F2" w:rsidTr="00E87E9A">
        <w:trPr>
          <w:trHeight w:val="498"/>
        </w:trPr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Технические характеристики</w:t>
            </w:r>
          </w:p>
        </w:tc>
      </w:tr>
      <w:tr w:rsidR="00246B4B" w:rsidRPr="002C29F2" w:rsidTr="00E87E9A"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Контроллер типа 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«КДУ 3.2» или эквивалент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1. Режим работы – непрерывный;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2. Рабочий диапазон температуры окружающей среды ( от - 40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С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до + 60 С) #;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3.  Рабочий диапазон атмосферного давления</w:t>
            </w:r>
            <w:r w:rsidRPr="002C29F2">
              <w:rPr>
                <w:bCs/>
                <w:iCs/>
                <w:sz w:val="24"/>
                <w:szCs w:val="24"/>
              </w:rPr>
              <w:br/>
              <w:t xml:space="preserve"> (от 460 до </w:t>
            </w:r>
            <w:smartTag w:uri="urn:schemas-microsoft-com:office:smarttags" w:element="metricconverter">
              <w:smartTagPr>
                <w:attr w:name="ProductID" w:val="780 мм"/>
              </w:smartTagPr>
              <w:r w:rsidRPr="002C29F2">
                <w:rPr>
                  <w:bCs/>
                  <w:iCs/>
                  <w:sz w:val="24"/>
                  <w:szCs w:val="24"/>
                </w:rPr>
                <w:t xml:space="preserve">780 </w:t>
              </w:r>
              <w:proofErr w:type="spellStart"/>
              <w:r w:rsidRPr="002C29F2">
                <w:rPr>
                  <w:bCs/>
                  <w:iCs/>
                  <w:sz w:val="24"/>
                  <w:szCs w:val="24"/>
                </w:rPr>
                <w:t>мм</w:t>
              </w:r>
            </w:smartTag>
            <w:proofErr w:type="gramStart"/>
            <w:r w:rsidRPr="002C29F2">
              <w:rPr>
                <w:bCs/>
                <w:iCs/>
                <w:sz w:val="24"/>
                <w:szCs w:val="24"/>
              </w:rPr>
              <w:t>.р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>т.ст</w:t>
            </w:r>
            <w:proofErr w:type="spellEnd"/>
            <w:r w:rsidRPr="002C29F2">
              <w:rPr>
                <w:bCs/>
                <w:iCs/>
                <w:sz w:val="24"/>
                <w:szCs w:val="24"/>
              </w:rPr>
              <w:t>.) #;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3. Амплитуда вибрационный нагрузки 0,1 мм в диапазоне частот (от 5 Гц до 25 Гц) #;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4. Рабочий диапазон напряжения питания сети переменного тока (от 175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В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до 242 В) # с частотой (от 49 Гц до 51 Гц) #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5. Количество подключаемых групп светофорных ламп не менее 24;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6. Количество групп (красных ламп), контролируемых по выходному току не менее 8;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8.  Количество групп (зеленых ламп), контролируемых на наличие сетевого напряжения  менее 8;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9.Максимальный выходной ток по любой выходной группе не более 2,0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А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>;</w:t>
            </w:r>
            <w:r w:rsidRPr="002C29F2">
              <w:rPr>
                <w:bCs/>
                <w:iCs/>
                <w:sz w:val="24"/>
                <w:szCs w:val="24"/>
              </w:rPr>
              <w:br/>
              <w:t>10.  Максимальный выходной ток, коммутируемый в любой момент времени не более 20А;</w:t>
            </w:r>
            <w:r w:rsidRPr="002C29F2">
              <w:rPr>
                <w:bCs/>
                <w:iCs/>
                <w:sz w:val="24"/>
                <w:szCs w:val="24"/>
              </w:rPr>
              <w:br/>
              <w:t>11. Максимальная потребляемая мощность не более 30 Вт;</w:t>
            </w:r>
            <w:r w:rsidRPr="002C29F2">
              <w:rPr>
                <w:bCs/>
                <w:iCs/>
                <w:sz w:val="24"/>
                <w:szCs w:val="24"/>
              </w:rPr>
              <w:br/>
              <w:t xml:space="preserve">12. Масса не более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2C29F2">
                <w:rPr>
                  <w:bCs/>
                  <w:iCs/>
                  <w:sz w:val="24"/>
                  <w:szCs w:val="24"/>
                </w:rPr>
                <w:t>15 кг</w:t>
              </w:r>
            </w:smartTag>
            <w:r w:rsidRPr="002C29F2">
              <w:rPr>
                <w:bCs/>
                <w:iCs/>
                <w:sz w:val="24"/>
                <w:szCs w:val="24"/>
              </w:rPr>
              <w:t>;</w:t>
            </w:r>
            <w:r w:rsidRPr="002C29F2">
              <w:rPr>
                <w:bCs/>
                <w:iCs/>
                <w:sz w:val="24"/>
                <w:szCs w:val="24"/>
              </w:rPr>
              <w:br/>
              <w:t>13.  Средняя наработка на отказ 10000 час;</w:t>
            </w:r>
            <w:r w:rsidRPr="002C29F2">
              <w:rPr>
                <w:bCs/>
                <w:iCs/>
                <w:sz w:val="24"/>
                <w:szCs w:val="24"/>
              </w:rPr>
              <w:br/>
              <w:t>14. Среднее время восстановления не более 1 час;</w:t>
            </w:r>
            <w:r w:rsidRPr="002C29F2">
              <w:rPr>
                <w:bCs/>
                <w:iCs/>
                <w:sz w:val="24"/>
                <w:szCs w:val="24"/>
              </w:rPr>
              <w:br/>
              <w:t>15. Средний срок службы не менее 8 лет;</w:t>
            </w:r>
          </w:p>
          <w:p w:rsidR="00246B4B" w:rsidRPr="002C29F2" w:rsidRDefault="00246B4B" w:rsidP="00246B4B">
            <w:pPr>
              <w:ind w:right="-1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16.  Гарантийный срок эксплуатации – не менее 12 месяцев со дня ввода в эксплуатацию.</w:t>
            </w:r>
            <w:r w:rsidRPr="002C29F2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46B4B" w:rsidRPr="002C29F2" w:rsidTr="00E87E9A">
        <w:trPr>
          <w:trHeight w:val="3981"/>
        </w:trPr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Светофор светодиодный «СКДС» или эквивалент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Источник света - светоизлучающие диоды; 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Корпус - ударопрочный поликарбонат;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Потребляемая мощность излучающего элемента не более 40 Ватт;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Диаметр выходной апертуры сигналов светофоров  –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не менее 300 мм;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Климатическое исполнение светофоров УХЛ по ГОСТ 15150-69;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Степень защиты от воздействия внешних факторов IP 54;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Наработка на отказ не менее 50 000 часов;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На светофоры  изготовителем должен быть установлен гарантийный срок не менее 12 месяцев с момента ввода в эксплуатацию;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Режим работы – непрерывный.</w:t>
            </w:r>
          </w:p>
          <w:p w:rsidR="00246B4B" w:rsidRDefault="00246B4B" w:rsidP="00246B4B">
            <w:pPr>
              <w:spacing w:line="320" w:lineRule="exact"/>
              <w:ind w:right="-1"/>
              <w:rPr>
                <w:rFonts w:eastAsia="Calibri"/>
                <w:b/>
                <w:sz w:val="24"/>
                <w:szCs w:val="24"/>
              </w:rPr>
            </w:pP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46B4B" w:rsidRPr="002C29F2" w:rsidTr="00E87E9A"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Табло обратного отчета времени </w:t>
            </w:r>
            <w:r w:rsidRPr="002C29F2">
              <w:rPr>
                <w:bCs/>
                <w:iCs/>
                <w:sz w:val="24"/>
                <w:szCs w:val="24"/>
              </w:rPr>
              <w:lastRenderedPageBreak/>
              <w:t>(ТООВ)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lastRenderedPageBreak/>
              <w:t xml:space="preserve">Рабочий диапазон температуры окружающей среды </w:t>
            </w:r>
            <w:r w:rsidRPr="002C29F2">
              <w:rPr>
                <w:bCs/>
                <w:iCs/>
                <w:sz w:val="24"/>
                <w:szCs w:val="24"/>
              </w:rPr>
              <w:br/>
              <w:t>(от - 60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С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до + 70 С) #;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lastRenderedPageBreak/>
              <w:t>Рабочий диапазон напряжения питания сети переменного тока 220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В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 с частотой (от 49 Гц до 51 Гц) #;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Двухразрядное цифровое табло обратного отсчета времени;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При мигани</w:t>
            </w:r>
            <w:r>
              <w:rPr>
                <w:bCs/>
                <w:iCs/>
                <w:sz w:val="24"/>
                <w:szCs w:val="24"/>
              </w:rPr>
              <w:t>и</w:t>
            </w:r>
            <w:r w:rsidRPr="002C29F2">
              <w:rPr>
                <w:bCs/>
                <w:iCs/>
                <w:sz w:val="24"/>
                <w:szCs w:val="24"/>
              </w:rPr>
              <w:t xml:space="preserve"> сигнала светофора мигание значения на  ТООВ;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Обратный отсчет производится до «нуля» с шагом 1 сек.;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Вывод индикации на светодиодное  табло;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Высота цифр не менее 200 мм;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Срок службы не менее 10 лет;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Гарантийный срок эксплуатации не менее 24 месяцев;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Режим работы – непрерывный</w:t>
            </w: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sz w:val="24"/>
                <w:szCs w:val="24"/>
              </w:rPr>
            </w:pP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b/>
                <w:bCs/>
                <w:iCs/>
                <w:sz w:val="24"/>
                <w:szCs w:val="24"/>
              </w:rPr>
            </w:pPr>
          </w:p>
        </w:tc>
      </w:tr>
      <w:tr w:rsidR="00246B4B" w:rsidRPr="002C29F2" w:rsidTr="00E87E9A"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lastRenderedPageBreak/>
              <w:t>4.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Устройство звукового сопровождения для слабовидящих пешеходов (УЗС)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1. Диапазон напряжение питания переменного тока частотой 50 Гц  (от 187 до 242 В)</w:t>
            </w:r>
            <w:r w:rsidRPr="002C29F2">
              <w:rPr>
                <w:b/>
                <w:bCs/>
                <w:iCs/>
                <w:sz w:val="24"/>
                <w:szCs w:val="24"/>
              </w:rPr>
              <w:t xml:space="preserve"> #</w:t>
            </w:r>
            <w:r w:rsidRPr="002C29F2">
              <w:rPr>
                <w:bCs/>
                <w:iCs/>
                <w:sz w:val="24"/>
                <w:szCs w:val="24"/>
              </w:rPr>
              <w:t>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  <w:highlight w:val="yellow"/>
              </w:rPr>
            </w:pPr>
            <w:r w:rsidRPr="002C29F2">
              <w:rPr>
                <w:bCs/>
                <w:iCs/>
                <w:sz w:val="24"/>
                <w:szCs w:val="24"/>
              </w:rPr>
              <w:t>2. Потребляемая мощность, не более 2 Вт;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3. Уровень звука сигнала перехода при максимальном уровне громкости, 90 </w:t>
            </w:r>
            <w:proofErr w:type="spellStart"/>
            <w:r w:rsidRPr="002C29F2">
              <w:rPr>
                <w:bCs/>
                <w:iCs/>
                <w:sz w:val="24"/>
                <w:szCs w:val="24"/>
              </w:rPr>
              <w:t>дБА</w:t>
            </w:r>
            <w:proofErr w:type="spellEnd"/>
            <w:r w:rsidRPr="002C29F2">
              <w:rPr>
                <w:bCs/>
                <w:iCs/>
                <w:sz w:val="24"/>
                <w:szCs w:val="24"/>
              </w:rPr>
              <w:t>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4. Частота звукового сигнала перехода (2300±50)# Гц;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5. Частота повторения звукового сигнала перехода не менее 2 Гц;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6. Климатическое исполнение УХЛ по ГОСТ 15150-69;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7. Диапазон рабочих температур (от -60 до +45 °С) #;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8. Допустимая относительная влажность при температуре +25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>°С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 не более 98%</w:t>
            </w:r>
            <w:r w:rsidRPr="002C29F2">
              <w:rPr>
                <w:b/>
                <w:bCs/>
                <w:iCs/>
                <w:sz w:val="24"/>
                <w:szCs w:val="24"/>
              </w:rPr>
              <w:t>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9. Степень защиты оболочки УЗС по ГОСТ 14254 IP33;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10. Срок службы не менее 10 лет.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b/>
                <w:bCs/>
                <w:iCs/>
                <w:sz w:val="24"/>
                <w:szCs w:val="24"/>
              </w:rPr>
            </w:pPr>
          </w:p>
        </w:tc>
      </w:tr>
    </w:tbl>
    <w:p w:rsidR="00246B4B" w:rsidRPr="002C29F2" w:rsidRDefault="00246B4B" w:rsidP="00246B4B">
      <w:pPr>
        <w:ind w:right="-1"/>
        <w:jc w:val="both"/>
        <w:rPr>
          <w:bCs/>
          <w:iCs/>
          <w:sz w:val="24"/>
          <w:szCs w:val="24"/>
        </w:rPr>
      </w:pPr>
    </w:p>
    <w:p w:rsidR="00246B4B" w:rsidRPr="002C29F2" w:rsidRDefault="00246B4B" w:rsidP="00246B4B">
      <w:pPr>
        <w:ind w:right="-1"/>
        <w:jc w:val="both"/>
        <w:rPr>
          <w:bCs/>
          <w:iCs/>
          <w:sz w:val="24"/>
          <w:szCs w:val="24"/>
        </w:rPr>
      </w:pPr>
      <w:r w:rsidRPr="002C29F2">
        <w:rPr>
          <w:bCs/>
          <w:iCs/>
          <w:sz w:val="24"/>
          <w:szCs w:val="24"/>
        </w:rPr>
        <w:t>Все используемое при выполнении работ оборудование должно быть новым.</w:t>
      </w:r>
    </w:p>
    <w:p w:rsidR="00246B4B" w:rsidRPr="002C29F2" w:rsidRDefault="00246B4B" w:rsidP="00246B4B">
      <w:pPr>
        <w:ind w:right="-1"/>
        <w:jc w:val="both"/>
        <w:rPr>
          <w:bCs/>
          <w:iCs/>
          <w:sz w:val="24"/>
          <w:szCs w:val="24"/>
        </w:rPr>
      </w:pPr>
      <w:r w:rsidRPr="002C29F2">
        <w:rPr>
          <w:bCs/>
          <w:i/>
          <w:iCs/>
          <w:sz w:val="24"/>
          <w:szCs w:val="24"/>
        </w:rPr>
        <w:t xml:space="preserve">Отметкой «#»  указан диапазон, конкретным показателем которого может являться диапазон показателей, указанный заказчиком либо иной более широкий </w:t>
      </w:r>
      <w:proofErr w:type="gramStart"/>
      <w:r w:rsidRPr="002C29F2">
        <w:rPr>
          <w:bCs/>
          <w:i/>
          <w:iCs/>
          <w:sz w:val="24"/>
          <w:szCs w:val="24"/>
        </w:rPr>
        <w:t>диапазон</w:t>
      </w:r>
      <w:proofErr w:type="gramEnd"/>
      <w:r w:rsidRPr="002C29F2">
        <w:rPr>
          <w:bCs/>
          <w:i/>
          <w:iCs/>
          <w:sz w:val="24"/>
          <w:szCs w:val="24"/>
        </w:rPr>
        <w:t xml:space="preserve"> в состав которого входит диапазон, указанный заказчиком.</w:t>
      </w:r>
    </w:p>
    <w:p w:rsidR="0013025D" w:rsidRDefault="0013025D" w:rsidP="00246B4B">
      <w:pPr>
        <w:ind w:right="-1"/>
      </w:pPr>
    </w:p>
    <w:sectPr w:rsidR="0013025D" w:rsidSect="00693E75"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40F" w:rsidRDefault="0027540F" w:rsidP="004E7E84">
      <w:r>
        <w:separator/>
      </w:r>
    </w:p>
  </w:endnote>
  <w:endnote w:type="continuationSeparator" w:id="0">
    <w:p w:rsidR="0027540F" w:rsidRDefault="0027540F" w:rsidP="004E7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5333764"/>
      <w:docPartObj>
        <w:docPartGallery w:val="Page Numbers (Bottom of Page)"/>
        <w:docPartUnique/>
      </w:docPartObj>
    </w:sdtPr>
    <w:sdtContent>
      <w:p w:rsidR="004E7E84" w:rsidRDefault="004E7E8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E7E84" w:rsidRDefault="004E7E8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40F" w:rsidRDefault="0027540F" w:rsidP="004E7E84">
      <w:r>
        <w:separator/>
      </w:r>
    </w:p>
  </w:footnote>
  <w:footnote w:type="continuationSeparator" w:id="0">
    <w:p w:rsidR="0027540F" w:rsidRDefault="0027540F" w:rsidP="004E7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9252E"/>
    <w:multiLevelType w:val="hybridMultilevel"/>
    <w:tmpl w:val="36E8D194"/>
    <w:lvl w:ilvl="0" w:tplc="0419000F">
      <w:start w:val="1"/>
      <w:numFmt w:val="decimal"/>
      <w:lvlText w:val="%1."/>
      <w:lvlJc w:val="left"/>
      <w:pPr>
        <w:ind w:left="933" w:hanging="360"/>
      </w:p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">
    <w:nsid w:val="30F011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98246C5"/>
    <w:multiLevelType w:val="multilevel"/>
    <w:tmpl w:val="8DFEC9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51D17F79"/>
    <w:multiLevelType w:val="hybridMultilevel"/>
    <w:tmpl w:val="74AC7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4B"/>
    <w:rsid w:val="00080EEE"/>
    <w:rsid w:val="000E3D35"/>
    <w:rsid w:val="0013025D"/>
    <w:rsid w:val="00160D39"/>
    <w:rsid w:val="001E4A98"/>
    <w:rsid w:val="00246B4B"/>
    <w:rsid w:val="0027540F"/>
    <w:rsid w:val="0028488A"/>
    <w:rsid w:val="003278C5"/>
    <w:rsid w:val="00364888"/>
    <w:rsid w:val="00366A11"/>
    <w:rsid w:val="004464BB"/>
    <w:rsid w:val="00446A9C"/>
    <w:rsid w:val="004E7E84"/>
    <w:rsid w:val="00672313"/>
    <w:rsid w:val="00693E75"/>
    <w:rsid w:val="006B2CF0"/>
    <w:rsid w:val="006C2E4D"/>
    <w:rsid w:val="006D23AF"/>
    <w:rsid w:val="00856149"/>
    <w:rsid w:val="008F0784"/>
    <w:rsid w:val="009D78A8"/>
    <w:rsid w:val="00A15236"/>
    <w:rsid w:val="00B71245"/>
    <w:rsid w:val="00BD5470"/>
    <w:rsid w:val="00CC4C63"/>
    <w:rsid w:val="00D16321"/>
    <w:rsid w:val="00D346F0"/>
    <w:rsid w:val="00DC2B2C"/>
    <w:rsid w:val="00E60182"/>
    <w:rsid w:val="00FA61E7"/>
    <w:rsid w:val="00FB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12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2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E7E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7E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E7E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E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12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2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E7E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7E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E7E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E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1692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Бартов</dc:creator>
  <cp:lastModifiedBy>kshirinkina</cp:lastModifiedBy>
  <cp:revision>11</cp:revision>
  <cp:lastPrinted>2013-04-25T07:57:00Z</cp:lastPrinted>
  <dcterms:created xsi:type="dcterms:W3CDTF">2013-03-25T08:40:00Z</dcterms:created>
  <dcterms:modified xsi:type="dcterms:W3CDTF">2013-04-25T07:57:00Z</dcterms:modified>
</cp:coreProperties>
</file>