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A4" w:rsidRPr="00C26A82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26A82">
        <w:rPr>
          <w:rFonts w:ascii="Times New Roman" w:eastAsia="Times New Roman" w:hAnsi="Times New Roman"/>
          <w:b/>
          <w:lang w:eastAsia="ru-RU"/>
        </w:rPr>
        <w:t>ИЗВЕЩЕНИЕ №</w:t>
      </w:r>
      <w:r w:rsidR="00B9228D" w:rsidRPr="00C26A82">
        <w:rPr>
          <w:rFonts w:ascii="Times New Roman" w:eastAsia="Times New Roman" w:hAnsi="Times New Roman"/>
          <w:b/>
          <w:lang w:eastAsia="ru-RU"/>
        </w:rPr>
        <w:t>085630000021</w:t>
      </w:r>
      <w:r w:rsidR="00F526A8" w:rsidRPr="00C26A82">
        <w:rPr>
          <w:rFonts w:ascii="Times New Roman" w:eastAsia="Times New Roman" w:hAnsi="Times New Roman"/>
          <w:b/>
          <w:lang w:eastAsia="ru-RU"/>
        </w:rPr>
        <w:t>3</w:t>
      </w:r>
      <w:r w:rsidR="00B9228D" w:rsidRPr="00C26A82">
        <w:rPr>
          <w:rFonts w:ascii="Times New Roman" w:eastAsia="Times New Roman" w:hAnsi="Times New Roman"/>
          <w:b/>
          <w:lang w:eastAsia="ru-RU"/>
        </w:rPr>
        <w:t>0000</w:t>
      </w:r>
      <w:r w:rsidR="00896F3E" w:rsidRPr="00C26A82">
        <w:rPr>
          <w:rFonts w:ascii="Times New Roman" w:eastAsia="Times New Roman" w:hAnsi="Times New Roman"/>
          <w:b/>
          <w:lang w:eastAsia="ru-RU"/>
        </w:rPr>
        <w:t>2</w:t>
      </w:r>
      <w:r w:rsidR="00F34A45" w:rsidRPr="00C26A82">
        <w:rPr>
          <w:rFonts w:ascii="Times New Roman" w:eastAsia="Times New Roman" w:hAnsi="Times New Roman"/>
          <w:b/>
          <w:lang w:eastAsia="ru-RU"/>
        </w:rPr>
        <w:t>2</w:t>
      </w:r>
      <w:r w:rsidRPr="00C26A82">
        <w:rPr>
          <w:rFonts w:ascii="Times New Roman" w:eastAsia="Times New Roman" w:hAnsi="Times New Roman"/>
          <w:b/>
          <w:lang w:eastAsia="ru-RU"/>
        </w:rPr>
        <w:t xml:space="preserve"> от «</w:t>
      </w:r>
      <w:r w:rsidR="00896F3E" w:rsidRPr="00C26A82">
        <w:rPr>
          <w:rFonts w:ascii="Times New Roman" w:eastAsia="Times New Roman" w:hAnsi="Times New Roman"/>
          <w:b/>
          <w:lang w:eastAsia="ru-RU"/>
        </w:rPr>
        <w:t>2</w:t>
      </w:r>
      <w:r w:rsidR="00F34A45" w:rsidRPr="00C26A82">
        <w:rPr>
          <w:rFonts w:ascii="Times New Roman" w:eastAsia="Times New Roman" w:hAnsi="Times New Roman"/>
          <w:b/>
          <w:lang w:eastAsia="ru-RU"/>
        </w:rPr>
        <w:t>9</w:t>
      </w:r>
      <w:r w:rsidRPr="00C26A82">
        <w:rPr>
          <w:rFonts w:ascii="Times New Roman" w:eastAsia="Times New Roman" w:hAnsi="Times New Roman"/>
          <w:b/>
          <w:lang w:eastAsia="ru-RU"/>
        </w:rPr>
        <w:t>»</w:t>
      </w:r>
      <w:r w:rsidR="00F526A8" w:rsidRPr="00C26A82">
        <w:rPr>
          <w:rFonts w:ascii="Times New Roman" w:eastAsia="Times New Roman" w:hAnsi="Times New Roman"/>
          <w:b/>
          <w:lang w:eastAsia="ru-RU"/>
        </w:rPr>
        <w:t xml:space="preserve"> </w:t>
      </w:r>
      <w:r w:rsidR="00896F3E" w:rsidRPr="00C26A82">
        <w:rPr>
          <w:rFonts w:ascii="Times New Roman" w:eastAsia="Times New Roman" w:hAnsi="Times New Roman"/>
          <w:b/>
          <w:lang w:eastAsia="ru-RU"/>
        </w:rPr>
        <w:t>апреля</w:t>
      </w:r>
      <w:r w:rsidRPr="00C26A82">
        <w:rPr>
          <w:rFonts w:ascii="Times New Roman" w:eastAsia="Times New Roman" w:hAnsi="Times New Roman"/>
          <w:b/>
          <w:lang w:eastAsia="ru-RU"/>
        </w:rPr>
        <w:t xml:space="preserve"> 201</w:t>
      </w:r>
      <w:r w:rsidR="00F526A8" w:rsidRPr="00C26A82">
        <w:rPr>
          <w:rFonts w:ascii="Times New Roman" w:eastAsia="Times New Roman" w:hAnsi="Times New Roman"/>
          <w:b/>
          <w:lang w:eastAsia="ru-RU"/>
        </w:rPr>
        <w:t>3</w:t>
      </w:r>
      <w:r w:rsidRPr="00C26A82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B17CA4" w:rsidRPr="00C26A82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26A82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B44F92" w:rsidRPr="00C26A82" w:rsidRDefault="00B17CA4" w:rsidP="0061104D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</w:rPr>
      </w:pPr>
      <w:r w:rsidRPr="00C26A82">
        <w:rPr>
          <w:rFonts w:ascii="Times New Roman" w:hAnsi="Times New Roman"/>
          <w:color w:val="000000"/>
        </w:rPr>
        <w:t xml:space="preserve">на право заключить муниципальный контракт </w:t>
      </w:r>
      <w:r w:rsidR="00B06B04" w:rsidRPr="00C26A82">
        <w:rPr>
          <w:rFonts w:ascii="Times New Roman" w:hAnsi="Times New Roman"/>
          <w:color w:val="000000"/>
        </w:rPr>
        <w:t xml:space="preserve">на </w:t>
      </w:r>
      <w:r w:rsidR="0061104D" w:rsidRPr="00C26A82">
        <w:rPr>
          <w:rFonts w:ascii="Times New Roman" w:eastAsia="Times New Roman" w:hAnsi="Times New Roman"/>
          <w:lang w:eastAsia="ru-RU"/>
        </w:rPr>
        <w:t xml:space="preserve">оказание </w:t>
      </w:r>
      <w:r w:rsidR="00896F3E" w:rsidRPr="00C26A82">
        <w:rPr>
          <w:rFonts w:ascii="Times New Roman" w:eastAsia="Times New Roman" w:hAnsi="Times New Roman"/>
          <w:lang w:eastAsia="ru-RU"/>
        </w:rPr>
        <w:t>автотранспортных услуг для нужд муниципального казенного учреждения «Пермская дирекция дорожного движения»</w:t>
      </w: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F5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 w:rsidR="00F526A8" w:rsidRPr="00C26A82"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F52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 w:rsidR="00F526A8" w:rsidRPr="00C26A82"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F526A8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  <w:t>info@pddd.perm.ru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838F3" w:rsidRPr="00C26A82" w:rsidRDefault="00C838F3" w:rsidP="00C83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B17CA4" w:rsidRPr="00C26A82" w:rsidRDefault="00C838F3" w:rsidP="00C83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44F92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C26A82" w:rsidTr="00C258F9">
        <w:trPr>
          <w:trHeight w:val="346"/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896F3E" w:rsidP="0061104D">
            <w:pPr>
              <w:pStyle w:val="ConsNormal"/>
              <w:ind w:firstLine="283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26A82">
              <w:rPr>
                <w:rFonts w:ascii="Times New Roman" w:hAnsi="Times New Roman"/>
                <w:sz w:val="22"/>
                <w:szCs w:val="22"/>
              </w:rPr>
              <w:t>Оказание автотранспортных услуг для нужд муниципального казенного учреждения «Пермская дирекция дорожного движения»</w:t>
            </w:r>
          </w:p>
        </w:tc>
      </w:tr>
      <w:tr w:rsidR="00B17CA4" w:rsidRPr="00C26A82" w:rsidTr="0061104D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61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 xml:space="preserve">Объем </w:t>
            </w:r>
            <w:r w:rsidR="0061104D" w:rsidRPr="00C26A82">
              <w:rPr>
                <w:rFonts w:ascii="Times New Roman" w:eastAsia="Times New Roman" w:hAnsi="Times New Roman"/>
                <w:b/>
                <w:lang w:eastAsia="ru-RU"/>
              </w:rPr>
              <w:t>оказываемых услуг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C26A82" w:rsidRDefault="00896F3E" w:rsidP="00896F3E">
            <w:pPr>
              <w:tabs>
                <w:tab w:val="left" w:pos="-180"/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C26A82">
              <w:rPr>
                <w:rFonts w:ascii="Times New Roman" w:hAnsi="Times New Roman"/>
              </w:rPr>
              <w:t>Объем услуг по Контракту:</w:t>
            </w:r>
          </w:p>
          <w:p w:rsidR="00896F3E" w:rsidRPr="00C26A82" w:rsidRDefault="00896F3E" w:rsidP="00896F3E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C26A82">
              <w:rPr>
                <w:rFonts w:ascii="Times New Roman" w:hAnsi="Times New Roman"/>
                <w:snapToGrid w:val="0"/>
              </w:rPr>
              <w:t>2013 год – 1415 часов;</w:t>
            </w:r>
          </w:p>
          <w:p w:rsidR="00B17CA4" w:rsidRPr="00C26A82" w:rsidRDefault="00896F3E" w:rsidP="00896F3E">
            <w:pPr>
              <w:tabs>
                <w:tab w:val="left" w:pos="-180"/>
              </w:tabs>
              <w:spacing w:after="0" w:line="240" w:lineRule="auto"/>
              <w:jc w:val="both"/>
              <w:rPr>
                <w:b/>
              </w:rPr>
            </w:pPr>
            <w:r w:rsidRPr="00C26A82">
              <w:rPr>
                <w:rFonts w:ascii="Times New Roman" w:hAnsi="Times New Roman"/>
                <w:snapToGrid w:val="0"/>
              </w:rPr>
              <w:t>2014 год – 790 часов.</w:t>
            </w:r>
            <w:r w:rsidRPr="00C26A82">
              <w:rPr>
                <w:snapToGrid w:val="0"/>
              </w:rPr>
              <w:t xml:space="preserve"> </w:t>
            </w:r>
          </w:p>
        </w:tc>
      </w:tr>
      <w:tr w:rsidR="00B17CA4" w:rsidRPr="00C26A82" w:rsidTr="002E231C">
        <w:trPr>
          <w:trHeight w:val="733"/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611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 xml:space="preserve">Место </w:t>
            </w:r>
            <w:r w:rsidR="0061104D" w:rsidRPr="00C26A82">
              <w:rPr>
                <w:rFonts w:ascii="Times New Roman" w:eastAsia="Times New Roman" w:hAnsi="Times New Roman"/>
                <w:b/>
                <w:lang w:eastAsia="ru-RU"/>
              </w:rPr>
              <w:t>оказания услуг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C26A82" w:rsidRDefault="0061104D" w:rsidP="004E302C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Согласно требованиям технического задания и муниципального контракта (Приложения № 1, № 3 к документации об открытом аукционе в электронной форме)</w:t>
            </w:r>
          </w:p>
        </w:tc>
      </w:tr>
      <w:tr w:rsidR="00B17CA4" w:rsidRPr="00C26A82" w:rsidTr="004B3992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C26A82" w:rsidRDefault="00896F3E" w:rsidP="00896F3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26A82">
              <w:rPr>
                <w:rFonts w:ascii="Times New Roman" w:hAnsi="Times New Roman"/>
                <w:b/>
              </w:rPr>
              <w:t>463 050</w:t>
            </w:r>
            <w:r w:rsidR="002E231C" w:rsidRPr="00C26A82">
              <w:rPr>
                <w:rFonts w:ascii="Times New Roman" w:hAnsi="Times New Roman"/>
                <w:b/>
              </w:rPr>
              <w:t xml:space="preserve"> </w:t>
            </w:r>
            <w:r w:rsidR="000D6B85" w:rsidRPr="00C26A82">
              <w:rPr>
                <w:rFonts w:ascii="Times New Roman" w:hAnsi="Times New Roman"/>
                <w:b/>
              </w:rPr>
              <w:t xml:space="preserve">руб. </w:t>
            </w:r>
            <w:r w:rsidRPr="00C26A82">
              <w:rPr>
                <w:rFonts w:ascii="Times New Roman" w:hAnsi="Times New Roman"/>
                <w:b/>
              </w:rPr>
              <w:t>00</w:t>
            </w:r>
            <w:r w:rsidR="000D6B85" w:rsidRPr="00C26A82">
              <w:rPr>
                <w:rFonts w:ascii="Times New Roman" w:hAnsi="Times New Roman"/>
                <w:b/>
              </w:rPr>
              <w:t xml:space="preserve"> коп. (</w:t>
            </w:r>
            <w:r w:rsidRPr="00C26A82">
              <w:rPr>
                <w:rFonts w:ascii="Times New Roman" w:hAnsi="Times New Roman"/>
                <w:b/>
              </w:rPr>
              <w:t xml:space="preserve">Четыреста шестьдесят три тысячи пятьдесят рублей 00 </w:t>
            </w:r>
            <w:r w:rsidR="000D6B85" w:rsidRPr="00C26A82">
              <w:rPr>
                <w:rFonts w:ascii="Times New Roman" w:hAnsi="Times New Roman"/>
                <w:b/>
              </w:rPr>
              <w:t>копеек)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4E302C" w:rsidP="004E302C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hAnsi="Times New Roman"/>
                <w:bCs/>
              </w:rPr>
              <w:t>Обоснование</w:t>
            </w:r>
            <w:r w:rsidR="00B65619" w:rsidRPr="00C26A82">
              <w:rPr>
                <w:rFonts w:ascii="Times New Roman" w:hAnsi="Times New Roman"/>
                <w:bCs/>
              </w:rPr>
              <w:t xml:space="preserve"> начальной (максимальной) цены контракта </w:t>
            </w:r>
            <w:r w:rsidRPr="00C26A82">
              <w:rPr>
                <w:rFonts w:ascii="Times New Roman" w:hAnsi="Times New Roman"/>
                <w:bCs/>
              </w:rPr>
              <w:t xml:space="preserve">приведено в </w:t>
            </w:r>
            <w:r w:rsidR="00B65619" w:rsidRPr="00C26A82">
              <w:rPr>
                <w:rFonts w:ascii="Times New Roman" w:hAnsi="Times New Roman"/>
              </w:rPr>
              <w:t>Приложени</w:t>
            </w:r>
            <w:r w:rsidRPr="00C26A82">
              <w:rPr>
                <w:rFonts w:ascii="Times New Roman" w:hAnsi="Times New Roman"/>
              </w:rPr>
              <w:t>и</w:t>
            </w:r>
            <w:r w:rsidR="00B65619" w:rsidRPr="00C26A82">
              <w:rPr>
                <w:rFonts w:ascii="Times New Roman" w:hAnsi="Times New Roman"/>
              </w:rPr>
              <w:t xml:space="preserve"> № 2 к документации об открытом аукционе в электронной форме</w:t>
            </w:r>
            <w:r w:rsidR="00C712C7" w:rsidRPr="00C26A82">
              <w:rPr>
                <w:rFonts w:ascii="Times New Roman" w:hAnsi="Times New Roman"/>
              </w:rPr>
              <w:t>.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852E9C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«</w:t>
            </w:r>
            <w:r w:rsidR="00896F3E" w:rsidRPr="00C26A82">
              <w:rPr>
                <w:rFonts w:ascii="Times New Roman" w:eastAsia="Times New Roman" w:hAnsi="Times New Roman"/>
                <w:lang w:eastAsia="ru-RU"/>
              </w:rPr>
              <w:t>07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896F3E" w:rsidRPr="00C26A82">
              <w:rPr>
                <w:rFonts w:ascii="Times New Roman" w:eastAsia="Times New Roman" w:hAnsi="Times New Roman"/>
                <w:lang w:eastAsia="ru-RU"/>
              </w:rPr>
              <w:t xml:space="preserve">мая 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 xml:space="preserve">2013 года </w:t>
            </w:r>
            <w:r w:rsidR="00B9228D" w:rsidRPr="00C26A82">
              <w:rPr>
                <w:rFonts w:ascii="Times New Roman" w:eastAsia="Times New Roman" w:hAnsi="Times New Roman"/>
                <w:lang w:eastAsia="ru-RU"/>
              </w:rPr>
              <w:t>09</w:t>
            </w:r>
            <w:r w:rsidR="00B17CA4" w:rsidRPr="00C26A82">
              <w:rPr>
                <w:rFonts w:ascii="Times New Roman" w:eastAsia="Times New Roman" w:hAnsi="Times New Roman"/>
                <w:lang w:eastAsia="ru-RU"/>
              </w:rPr>
              <w:t xml:space="preserve">-00 час. </w:t>
            </w:r>
          </w:p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(время местное)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C26A82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852E9C" w:rsidP="00896F3E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«</w:t>
            </w:r>
            <w:r w:rsidR="00896F3E" w:rsidRPr="00C26A82">
              <w:rPr>
                <w:rFonts w:ascii="Times New Roman" w:eastAsia="Times New Roman" w:hAnsi="Times New Roman"/>
                <w:lang w:eastAsia="ru-RU"/>
              </w:rPr>
              <w:t>08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>»</w:t>
            </w:r>
            <w:r w:rsidR="00AF7407" w:rsidRPr="00C26A8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96F3E" w:rsidRPr="00C26A82">
              <w:rPr>
                <w:rFonts w:ascii="Times New Roman" w:eastAsia="Times New Roman" w:hAnsi="Times New Roman"/>
                <w:lang w:eastAsia="ru-RU"/>
              </w:rPr>
              <w:t>мая</w:t>
            </w:r>
            <w:r w:rsidR="00AF7407" w:rsidRPr="00C26A8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>2013 года</w:t>
            </w:r>
          </w:p>
        </w:tc>
      </w:tr>
      <w:tr w:rsidR="00B17CA4" w:rsidRPr="00C26A82" w:rsidTr="00B17CA4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C26A82" w:rsidRDefault="00852E9C" w:rsidP="00896F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6A82">
              <w:rPr>
                <w:rFonts w:ascii="Times New Roman" w:eastAsia="Times New Roman" w:hAnsi="Times New Roman"/>
                <w:lang w:eastAsia="ru-RU"/>
              </w:rPr>
              <w:t>«</w:t>
            </w:r>
            <w:r w:rsidR="00896F3E" w:rsidRPr="00C26A82">
              <w:rPr>
                <w:rFonts w:ascii="Times New Roman" w:eastAsia="Times New Roman" w:hAnsi="Times New Roman"/>
                <w:lang w:eastAsia="ru-RU"/>
              </w:rPr>
              <w:t>13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896F3E" w:rsidRPr="00C26A82">
              <w:rPr>
                <w:rFonts w:ascii="Times New Roman" w:eastAsia="Times New Roman" w:hAnsi="Times New Roman"/>
                <w:lang w:eastAsia="ru-RU"/>
              </w:rPr>
              <w:t>мая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 xml:space="preserve"> 2013 года</w:t>
            </w:r>
          </w:p>
        </w:tc>
      </w:tr>
    </w:tbl>
    <w:p w:rsidR="00B17CA4" w:rsidRPr="00C26A82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C26A82" w:rsidRDefault="00B17CA4" w:rsidP="00B17CA4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9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57"/>
        <w:gridCol w:w="4814"/>
      </w:tblGrid>
      <w:tr w:rsidR="00B17CA4" w:rsidRPr="00650310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C712C7">
            <w:pPr>
              <w:spacing w:after="0" w:line="240" w:lineRule="auto"/>
              <w:ind w:left="-259" w:firstLine="259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Начальник </w:t>
            </w:r>
            <w:r w:rsidR="00C712C7">
              <w:rPr>
                <w:rFonts w:ascii="Times New Roman" w:eastAsia="Times New Roman" w:hAnsi="Times New Roman"/>
                <w:lang w:eastAsia="ru-RU"/>
              </w:rPr>
              <w:t>МКУ «Пермская дирекция дорожного движения»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282CD2">
              <w:rPr>
                <w:rFonts w:ascii="Times New Roman" w:eastAsia="Times New Roman" w:hAnsi="Times New Roman"/>
                <w:lang w:eastAsia="ru-RU"/>
              </w:rPr>
              <w:t>3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B17CA4" w:rsidRPr="00B17CA4" w:rsidRDefault="00B17CA4" w:rsidP="00896F3E">
      <w:pPr>
        <w:pStyle w:val="ConsNormal"/>
        <w:ind w:firstLine="0"/>
        <w:jc w:val="center"/>
        <w:rPr>
          <w:rFonts w:ascii="Times New Roman" w:hAnsi="Times New Roman"/>
          <w:b/>
        </w:rPr>
      </w:pPr>
      <w:r w:rsidRPr="006D189C">
        <w:rPr>
          <w:rFonts w:ascii="Times New Roman" w:hAnsi="Times New Roman"/>
          <w:b/>
          <w:color w:val="000000"/>
          <w:sz w:val="22"/>
          <w:szCs w:val="22"/>
        </w:rPr>
        <w:t xml:space="preserve">на право </w:t>
      </w:r>
      <w:r w:rsidRPr="00C258F9">
        <w:rPr>
          <w:rFonts w:ascii="Times New Roman" w:hAnsi="Times New Roman"/>
          <w:b/>
          <w:color w:val="000000"/>
          <w:sz w:val="22"/>
          <w:szCs w:val="22"/>
        </w:rPr>
        <w:t xml:space="preserve">заключить муниципальный контракт </w:t>
      </w:r>
      <w:r w:rsidR="00B44F92" w:rsidRPr="00C258F9">
        <w:rPr>
          <w:rFonts w:ascii="Times New Roman" w:hAnsi="Times New Roman"/>
          <w:b/>
          <w:color w:val="000000"/>
          <w:sz w:val="22"/>
          <w:szCs w:val="22"/>
        </w:rPr>
        <w:t xml:space="preserve">на </w:t>
      </w:r>
      <w:r w:rsidR="00896F3E">
        <w:rPr>
          <w:rFonts w:ascii="Times New Roman" w:hAnsi="Times New Roman"/>
          <w:b/>
          <w:color w:val="000000"/>
          <w:sz w:val="22"/>
          <w:szCs w:val="22"/>
        </w:rPr>
        <w:t>о</w:t>
      </w:r>
      <w:r w:rsidR="00896F3E" w:rsidRPr="00896F3E">
        <w:rPr>
          <w:rFonts w:ascii="Times New Roman" w:hAnsi="Times New Roman"/>
          <w:b/>
          <w:color w:val="000000"/>
          <w:sz w:val="22"/>
          <w:szCs w:val="22"/>
        </w:rPr>
        <w:t>казание автотранспортных услуг для нужд муниципального казенного учреждения «Пермская дирекция дорожного движения»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9228D" w:rsidRDefault="00B9228D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838F3" w:rsidRDefault="00C838F3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838F3" w:rsidRDefault="00C838F3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258F9" w:rsidRDefault="00C258F9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258F9" w:rsidRDefault="00C258F9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838F3" w:rsidRDefault="00C838F3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838F3" w:rsidRDefault="00C838F3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838F3" w:rsidRDefault="00C838F3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9228D" w:rsidRDefault="00B9228D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896F3E" w:rsidRDefault="00896F3E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896F3E" w:rsidRDefault="00896F3E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9228D" w:rsidRPr="00B17CA4" w:rsidRDefault="00B9228D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 w:rsidR="00C838F3">
        <w:rPr>
          <w:rFonts w:ascii="Times New Roman" w:eastAsia="Times New Roman" w:hAnsi="Times New Roman"/>
          <w:lang w:eastAsia="ru-RU"/>
        </w:rPr>
        <w:t>3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4"/>
        <w:gridCol w:w="81"/>
        <w:gridCol w:w="84"/>
        <w:gridCol w:w="8047"/>
      </w:tblGrid>
      <w:tr w:rsidR="00B17CA4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1F47C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1F47C5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1F47C5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1F47C5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1F47C5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1F47C5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B17CA4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B17CA4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C83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 w:rsidR="00C838F3" w:rsidRPr="001F47C5">
              <w:rPr>
                <w:rFonts w:ascii="Times New Roman" w:eastAsia="Times New Roman" w:hAnsi="Times New Roman"/>
                <w:lang w:eastAsia="ru-RU"/>
              </w:rPr>
              <w:t xml:space="preserve">Пермская, 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>2а</w:t>
            </w:r>
          </w:p>
        </w:tc>
      </w:tr>
      <w:tr w:rsidR="00B17CA4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C83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 w:rsidR="00C838F3" w:rsidRPr="001F47C5"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B17CA4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C838F3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  <w:t>info@pddd.perm.ru</w:t>
            </w:r>
          </w:p>
        </w:tc>
      </w:tr>
      <w:tr w:rsidR="00B17CA4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B17CA4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44F92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B17CA4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1F47C5" w:rsidRDefault="00896F3E" w:rsidP="003F5799">
            <w:pPr>
              <w:pStyle w:val="ConsNormal"/>
              <w:ind w:firstLine="366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F47C5">
              <w:rPr>
                <w:rFonts w:ascii="Times New Roman" w:hAnsi="Times New Roman"/>
                <w:sz w:val="22"/>
                <w:szCs w:val="22"/>
              </w:rPr>
              <w:t>Оказание автотранспортных услуг для нужд муниципального казенного учреждения «Пермская дирекция дорожного движения»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707BC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F47C5">
              <w:rPr>
                <w:rFonts w:ascii="Times New Roman" w:hAnsi="Times New Roman"/>
                <w:b/>
              </w:rPr>
              <w:t>463 050 руб. 00 коп. (Четыреста шестьдесят три тысячи пятьдесят рублей 00 копеек)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C712C7">
            <w:pPr>
              <w:spacing w:after="0" w:line="240" w:lineRule="auto"/>
              <w:ind w:firstLine="36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</w:t>
            </w:r>
            <w:r w:rsidRPr="001F47C5">
              <w:rPr>
                <w:rFonts w:ascii="Times New Roman" w:hAnsi="Times New Roman"/>
              </w:rPr>
              <w:t>Приложении № 2 к документации об открытом аукционе в электронной форме.</w:t>
            </w:r>
          </w:p>
        </w:tc>
      </w:tr>
      <w:tr w:rsidR="00E447BB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447BB" w:rsidRPr="001F47C5" w:rsidRDefault="00E447BB" w:rsidP="005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Объем оказываемых услуг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447BB" w:rsidRPr="001F47C5" w:rsidRDefault="00E447BB" w:rsidP="00707BC4">
            <w:pPr>
              <w:tabs>
                <w:tab w:val="left" w:pos="-180"/>
                <w:tab w:val="num" w:pos="1440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1F47C5">
              <w:rPr>
                <w:rFonts w:ascii="Times New Roman" w:hAnsi="Times New Roman"/>
              </w:rPr>
              <w:t>Объем услуг по Контракту:</w:t>
            </w:r>
          </w:p>
          <w:p w:rsidR="00E447BB" w:rsidRPr="001F47C5" w:rsidRDefault="00E447BB" w:rsidP="00707BC4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1F47C5">
              <w:rPr>
                <w:rFonts w:ascii="Times New Roman" w:hAnsi="Times New Roman"/>
                <w:snapToGrid w:val="0"/>
              </w:rPr>
              <w:t>2013 год – 1415 часов;</w:t>
            </w:r>
          </w:p>
          <w:p w:rsidR="00E447BB" w:rsidRPr="001F47C5" w:rsidRDefault="00E447BB" w:rsidP="00707BC4">
            <w:pPr>
              <w:tabs>
                <w:tab w:val="left" w:pos="-180"/>
              </w:tabs>
              <w:spacing w:after="0" w:line="240" w:lineRule="auto"/>
              <w:jc w:val="both"/>
              <w:rPr>
                <w:b/>
              </w:rPr>
            </w:pPr>
            <w:r w:rsidRPr="001F47C5">
              <w:rPr>
                <w:rFonts w:ascii="Times New Roman" w:hAnsi="Times New Roman"/>
                <w:snapToGrid w:val="0"/>
              </w:rPr>
              <w:t>2014 год – 790 часов.</w:t>
            </w:r>
            <w:r w:rsidRPr="001F47C5">
              <w:rPr>
                <w:snapToGrid w:val="0"/>
              </w:rPr>
              <w:t xml:space="preserve"> 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5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Требования к оказываемым услугам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C258F9">
            <w:pPr>
              <w:autoSpaceDE w:val="0"/>
              <w:autoSpaceDN w:val="0"/>
              <w:adjustRightInd w:val="0"/>
              <w:spacing w:after="0" w:line="240" w:lineRule="auto"/>
              <w:ind w:firstLine="36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hAnsi="Times New Roman"/>
              </w:rPr>
              <w:t xml:space="preserve">Услуги должны быть оказаны в полном соответствии с требованиями документации об открытом аукционе в электронной форме, </w:t>
            </w:r>
            <w:r w:rsidRPr="001F47C5">
              <w:rPr>
                <w:rFonts w:ascii="Times New Roman" w:hAnsi="Times New Roman"/>
                <w:color w:val="000000"/>
              </w:rPr>
              <w:t>в том числе</w:t>
            </w:r>
            <w:r w:rsidRPr="001F47C5">
              <w:rPr>
                <w:rFonts w:ascii="Times New Roman" w:hAnsi="Times New Roman"/>
                <w:color w:val="FF0000"/>
              </w:rPr>
              <w:t xml:space="preserve"> </w:t>
            </w:r>
            <w:r w:rsidRPr="001F47C5">
              <w:rPr>
                <w:rFonts w:ascii="Times New Roman" w:hAnsi="Times New Roman"/>
              </w:rPr>
              <w:t>техническим заданием, условиями муниципального контракта – приложения № 1 и № 3 к документации об открытом аукционе в электронной форме. В случае</w:t>
            </w:r>
            <w:proofErr w:type="gramStart"/>
            <w:r w:rsidRPr="001F47C5">
              <w:rPr>
                <w:rFonts w:ascii="Times New Roman" w:hAnsi="Times New Roman"/>
              </w:rPr>
              <w:t>,</w:t>
            </w:r>
            <w:proofErr w:type="gramEnd"/>
            <w:r w:rsidRPr="001F47C5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5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hAnsi="Times New Roman"/>
              </w:rPr>
              <w:t xml:space="preserve">Показатели, используемые для определения соответствия потребности заказчика и (или) эквивалентности предлагаемого к использованию при оказании услуг товара (материала), максимальные и (или) минимальные </w:t>
            </w:r>
            <w:r w:rsidRPr="001F47C5">
              <w:rPr>
                <w:rFonts w:ascii="Times New Roman" w:hAnsi="Times New Roman"/>
              </w:rPr>
              <w:lastRenderedPageBreak/>
              <w:t>значения таких показателей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447BB" w:rsidRPr="001F47C5" w:rsidRDefault="00C26A82" w:rsidP="00E447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Конкретные показатели не установлены.</w:t>
            </w:r>
          </w:p>
          <w:p w:rsidR="00896F3E" w:rsidRPr="001F47C5" w:rsidRDefault="00896F3E" w:rsidP="00E447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5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lastRenderedPageBreak/>
              <w:t>Место оказания услуг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4E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Согласно требованиям технического задания и муниципального контракта (Приложения № 1, № 3 к документации об открытом аукционе в электронной форме)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5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Условия и сроки (периоды) оказания услуг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C258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Согласно требованиям технического задания и муниципального контракта (Приложения № 1, № 3 к документации об открытом аукционе в электронной форме)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5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услуг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C712C7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6F3E" w:rsidRPr="001F47C5" w:rsidTr="00EC75F0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5138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Форма, сроки и порядок оплаты услуг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C258F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91776F">
            <w:pPr>
              <w:spacing w:after="0" w:line="240" w:lineRule="auto"/>
              <w:ind w:firstLine="36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C26A82" w:rsidP="00F0278D">
            <w:pPr>
              <w:pStyle w:val="23"/>
              <w:tabs>
                <w:tab w:val="left" w:pos="1134"/>
              </w:tabs>
              <w:spacing w:after="0" w:line="240" w:lineRule="auto"/>
              <w:ind w:firstLine="366"/>
              <w:jc w:val="both"/>
              <w:rPr>
                <w:rFonts w:ascii="Times New Roman" w:hAnsi="Times New Roman"/>
                <w:lang w:eastAsia="x-none"/>
              </w:rPr>
            </w:pPr>
            <w:r w:rsidRPr="00C26A82">
              <w:rPr>
                <w:rFonts w:ascii="Times New Roman" w:hAnsi="Times New Roman"/>
                <w:lang w:eastAsia="x-none"/>
              </w:rPr>
              <w:t xml:space="preserve">Стоимость услуг включает в себя все налоги, выплаченные или подлежащие выплате, оплату транспортных расходов, в том числе горюче-смазочных материалов, стоимости медицинского осмотра и прочих расходов, связанных с оказанием услуг, также учитывает расходы на обслуживание транспортного средства, и иные расходы, которые могут возникнуть при исполнении настоящего Контракта.   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Сведения о валюте, используемой для формирования цены контракта и расчетов с Подрядчиком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FA47FE">
            <w:pPr>
              <w:autoSpaceDE w:val="0"/>
              <w:autoSpaceDN w:val="0"/>
              <w:adjustRightInd w:val="0"/>
              <w:spacing w:after="0" w:line="240" w:lineRule="auto"/>
              <w:ind w:firstLine="263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896F3E" w:rsidRPr="001F47C5" w:rsidRDefault="00896F3E" w:rsidP="00FA47FE">
            <w:pPr>
              <w:autoSpaceDE w:val="0"/>
              <w:autoSpaceDN w:val="0"/>
              <w:adjustRightInd w:val="0"/>
              <w:spacing w:after="0" w:line="240" w:lineRule="auto"/>
              <w:ind w:firstLine="263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922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1F47C5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F47C5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F47C5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1F47C5">
              <w:rPr>
                <w:rFonts w:ascii="Times New Roman" w:eastAsia="Times New Roman" w:hAnsi="Times New Roman"/>
                <w:lang w:eastAsia="ru-RU"/>
              </w:rPr>
              <w:lastRenderedPageBreak/>
              <w:t>стоимости активов участника размещения заказа</w:t>
            </w:r>
            <w:proofErr w:type="gramEnd"/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C26A82" w:rsidP="001F47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Сог</w:t>
            </w:r>
            <w:r w:rsidRPr="00C26A82">
              <w:rPr>
                <w:rFonts w:ascii="Times New Roman" w:eastAsia="Times New Roman" w:hAnsi="Times New Roman"/>
                <w:lang w:eastAsia="ru-RU"/>
              </w:rPr>
              <w:t>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>(рекомендуемая форма №1*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1F47C5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896F3E" w:rsidRPr="001F47C5" w:rsidTr="00F90F09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1F47C5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525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9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FA47FE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iCs/>
                <w:lang w:eastAsia="ru-RU"/>
              </w:rPr>
              <w:tab/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896F3E" w:rsidRPr="001F47C5" w:rsidRDefault="00896F3E" w:rsidP="00FA47FE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ab/>
              <w:t xml:space="preserve">В заявке </w:t>
            </w:r>
            <w:r w:rsidRPr="001F47C5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896F3E" w:rsidRPr="001F47C5" w:rsidRDefault="00896F3E" w:rsidP="00FA47FE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ab/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1F47C5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896F3E" w:rsidRPr="001F47C5" w:rsidRDefault="00896F3E" w:rsidP="00FA47FE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ab/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896F3E" w:rsidRPr="001F47C5" w:rsidRDefault="00896F3E" w:rsidP="00FA47FE">
            <w:pPr>
              <w:tabs>
                <w:tab w:val="left" w:pos="42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ab/>
            </w:r>
            <w:proofErr w:type="gramStart"/>
            <w:r w:rsidRPr="001F47C5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896F3E" w:rsidRPr="001F47C5" w:rsidTr="00A61D94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F47C5">
              <w:rPr>
                <w:rFonts w:ascii="Times New Roman" w:hAnsi="Times New Roman"/>
                <w:b/>
                <w:lang w:val="en-US"/>
              </w:rPr>
              <w:t>V</w:t>
            </w:r>
            <w:r w:rsidRPr="001F47C5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6F3E" w:rsidRPr="001F47C5" w:rsidRDefault="00896F3E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Размер обеспечения 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lastRenderedPageBreak/>
              <w:t>заявки на участие в аукционе</w:t>
            </w:r>
          </w:p>
        </w:tc>
        <w:tc>
          <w:tcPr>
            <w:tcW w:w="8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6F3E" w:rsidRPr="001F47C5" w:rsidRDefault="00896F3E" w:rsidP="001F47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5% 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начальной максимальной цены контракта, что составляет – </w:t>
            </w:r>
            <w:r w:rsidR="001F47C5" w:rsidRPr="001F47C5">
              <w:rPr>
                <w:rFonts w:ascii="Times New Roman" w:eastAsia="Times New Roman" w:hAnsi="Times New Roman"/>
                <w:b/>
                <w:lang w:eastAsia="ru-RU"/>
              </w:rPr>
              <w:t>23 152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 xml:space="preserve">  руб. </w:t>
            </w:r>
            <w:r w:rsidR="001F47C5" w:rsidRPr="001F47C5"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 xml:space="preserve"> коп. 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(</w:t>
            </w:r>
            <w:r w:rsidR="001F47C5" w:rsidRPr="001F47C5">
              <w:rPr>
                <w:rFonts w:ascii="Times New Roman" w:eastAsia="Times New Roman" w:hAnsi="Times New Roman"/>
                <w:b/>
                <w:lang w:eastAsia="ru-RU"/>
              </w:rPr>
              <w:t>Двадцать три тысячи сто пятьдесят два рубля 50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 xml:space="preserve"> копеек)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val="en-US" w:eastAsia="ru-RU"/>
              </w:rPr>
              <w:lastRenderedPageBreak/>
              <w:t>VI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6F3E" w:rsidRPr="001F47C5" w:rsidRDefault="00896F3E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6F3E" w:rsidRPr="001F47C5" w:rsidRDefault="00896F3E" w:rsidP="0070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«07» мая 2013 года 09-00 час. </w:t>
            </w:r>
          </w:p>
          <w:p w:rsidR="00896F3E" w:rsidRPr="001F47C5" w:rsidRDefault="00896F3E" w:rsidP="00707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(время местное)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6F3E" w:rsidRPr="001F47C5" w:rsidRDefault="00896F3E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1F47C5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6F3E" w:rsidRPr="001F47C5" w:rsidRDefault="00896F3E" w:rsidP="00707BC4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«08» мая 2013 года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6F3E" w:rsidRPr="001F47C5" w:rsidRDefault="00896F3E" w:rsidP="00707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«13» мая 2013 года</w:t>
            </w:r>
          </w:p>
        </w:tc>
      </w:tr>
      <w:tr w:rsidR="00896F3E" w:rsidRPr="001F47C5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896F3E" w:rsidRPr="001F47C5" w:rsidRDefault="00896F3E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1F47C5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ab/>
              <w:t xml:space="preserve">30% </w:t>
            </w:r>
            <w:r w:rsidRPr="001F47C5">
              <w:rPr>
                <w:rFonts w:ascii="Times New Roman" w:eastAsia="Times New Roman" w:hAnsi="Times New Roman"/>
                <w:lang w:eastAsia="ru-RU"/>
              </w:rPr>
              <w:t>начальной максимальной цены контракта, что составляет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 xml:space="preserve"> – </w:t>
            </w:r>
            <w:r w:rsidR="001F47C5" w:rsidRPr="001F47C5">
              <w:rPr>
                <w:rFonts w:ascii="Times New Roman" w:eastAsia="Times New Roman" w:hAnsi="Times New Roman"/>
                <w:b/>
                <w:lang w:eastAsia="ru-RU"/>
              </w:rPr>
              <w:t>138 915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 xml:space="preserve"> руб. </w:t>
            </w:r>
            <w:r w:rsidR="001F47C5" w:rsidRPr="001F47C5">
              <w:rPr>
                <w:rFonts w:ascii="Times New Roman" w:eastAsia="Times New Roman" w:hAnsi="Times New Roman"/>
                <w:b/>
                <w:lang w:eastAsia="ru-RU"/>
              </w:rPr>
              <w:t xml:space="preserve">00 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 xml:space="preserve">  коп. (</w:t>
            </w:r>
            <w:r w:rsidR="001F47C5" w:rsidRPr="001F47C5">
              <w:rPr>
                <w:rFonts w:ascii="Times New Roman" w:eastAsia="Times New Roman" w:hAnsi="Times New Roman"/>
                <w:b/>
                <w:lang w:eastAsia="ru-RU"/>
              </w:rPr>
              <w:t>Сто тридцать восемь тысяч девятьсот пятнадцать рублей 00</w:t>
            </w:r>
            <w:r w:rsidRPr="001F47C5">
              <w:rPr>
                <w:rFonts w:ascii="Times New Roman" w:eastAsia="Times New Roman" w:hAnsi="Times New Roman"/>
                <w:b/>
                <w:lang w:eastAsia="ru-RU"/>
              </w:rPr>
              <w:t xml:space="preserve"> копеек)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FA47FE">
            <w:p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ab/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896F3E" w:rsidRPr="001F47C5" w:rsidRDefault="00896F3E" w:rsidP="00FA47FE">
            <w:pPr>
              <w:tabs>
                <w:tab w:val="left" w:pos="42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ab/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9A15AF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hAnsi="Times New Roman"/>
              </w:rPr>
              <w:tab/>
            </w:r>
            <w:r w:rsidRPr="001F47C5">
              <w:rPr>
                <w:rFonts w:ascii="Times New Roman" w:eastAsia="Times New Roman" w:hAnsi="Times New Roman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896F3E" w:rsidRPr="001F47C5" w:rsidRDefault="00896F3E" w:rsidP="009A15A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896F3E" w:rsidRPr="001F47C5" w:rsidRDefault="00896F3E" w:rsidP="00F90F0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896F3E" w:rsidRPr="001F47C5" w:rsidRDefault="00896F3E" w:rsidP="00F90F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896F3E" w:rsidRPr="001F47C5" w:rsidRDefault="00896F3E" w:rsidP="00F90F0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896F3E" w:rsidRPr="001F47C5" w:rsidRDefault="00896F3E" w:rsidP="00F90F0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896F3E" w:rsidRPr="001F47C5" w:rsidRDefault="00896F3E" w:rsidP="009A15AF">
            <w:pPr>
              <w:widowControl w:val="0"/>
              <w:tabs>
                <w:tab w:val="left" w:pos="334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ab/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9E37D2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F47C5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47C5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96F3E" w:rsidRPr="001F47C5" w:rsidRDefault="00896F3E" w:rsidP="003A0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47C5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1F47C5">
              <w:rPr>
                <w:rFonts w:ascii="Times New Roman" w:hAnsi="Times New Roman"/>
              </w:rPr>
              <w:t>дств в к</w:t>
            </w:r>
            <w:proofErr w:type="gramEnd"/>
            <w:r w:rsidRPr="001F47C5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</w:t>
            </w:r>
            <w:r w:rsidRPr="001F47C5">
              <w:rPr>
                <w:rFonts w:ascii="Times New Roman" w:hAnsi="Times New Roman"/>
              </w:rPr>
              <w:lastRenderedPageBreak/>
              <w:t xml:space="preserve">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896F3E" w:rsidRPr="001F47C5" w:rsidTr="00124240">
              <w:tc>
                <w:tcPr>
                  <w:tcW w:w="1500" w:type="dxa"/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1F47C5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896F3E" w:rsidRPr="001F47C5" w:rsidRDefault="00896F3E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F47C5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1F47C5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1F47C5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896F3E" w:rsidRPr="001F47C5" w:rsidTr="00124240">
              <w:tc>
                <w:tcPr>
                  <w:tcW w:w="1500" w:type="dxa"/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1F47C5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896F3E" w:rsidRPr="001F47C5" w:rsidTr="00124240">
              <w:tc>
                <w:tcPr>
                  <w:tcW w:w="1500" w:type="dxa"/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1F47C5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896F3E" w:rsidRPr="001F47C5" w:rsidTr="00124240">
              <w:tc>
                <w:tcPr>
                  <w:tcW w:w="1500" w:type="dxa"/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proofErr w:type="gramStart"/>
                  <w:r w:rsidRPr="001F47C5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1F47C5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1F47C5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896F3E" w:rsidRPr="001F47C5" w:rsidTr="00124240">
              <w:tc>
                <w:tcPr>
                  <w:tcW w:w="1500" w:type="dxa"/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1F47C5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896F3E" w:rsidRPr="001F47C5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896F3E" w:rsidRPr="001F47C5" w:rsidRDefault="00896F3E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1F47C5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96F3E" w:rsidRPr="001F47C5" w:rsidRDefault="00896F3E" w:rsidP="001F47C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</w:rPr>
                    <w:t>Обеспечение исполнения контракта, извещение от 2</w:t>
                  </w:r>
                  <w:r w:rsidR="001F47C5">
                    <w:rPr>
                      <w:rFonts w:ascii="Times New Roman" w:hAnsi="Times New Roman"/>
                    </w:rPr>
                    <w:t>9</w:t>
                  </w:r>
                  <w:r w:rsidRPr="001F47C5">
                    <w:rPr>
                      <w:rFonts w:ascii="Times New Roman" w:hAnsi="Times New Roman"/>
                    </w:rPr>
                    <w:t>.0</w:t>
                  </w:r>
                  <w:r w:rsidR="001F47C5">
                    <w:rPr>
                      <w:rFonts w:ascii="Times New Roman" w:hAnsi="Times New Roman"/>
                    </w:rPr>
                    <w:t>4</w:t>
                  </w:r>
                  <w:r w:rsidRPr="001F47C5">
                    <w:rPr>
                      <w:rFonts w:ascii="Times New Roman" w:hAnsi="Times New Roman"/>
                    </w:rPr>
                    <w:t>.2013</w:t>
                  </w:r>
                  <w:r w:rsidRPr="001F47C5">
                    <w:rPr>
                      <w:rFonts w:ascii="Times New Roman" w:hAnsi="Times New Roman"/>
                    </w:rPr>
                    <w:br/>
                    <w:t>№ 08563000002130000</w:t>
                  </w:r>
                  <w:r w:rsidR="001F47C5">
                    <w:rPr>
                      <w:rFonts w:ascii="Times New Roman" w:hAnsi="Times New Roman"/>
                    </w:rPr>
                    <w:t>22</w:t>
                  </w:r>
                  <w:r w:rsidRPr="001F47C5">
                    <w:rPr>
                      <w:rFonts w:ascii="Times New Roman" w:hAnsi="Times New Roman"/>
                    </w:rPr>
                    <w:t xml:space="preserve">, Доп. </w:t>
                  </w:r>
                  <w:proofErr w:type="gramStart"/>
                  <w:r w:rsidRPr="001F47C5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Pr="001F47C5">
                    <w:rPr>
                      <w:rFonts w:ascii="Times New Roman" w:hAnsi="Times New Roman"/>
                    </w:rPr>
                    <w:t>. 30000</w:t>
                  </w:r>
                </w:p>
              </w:tc>
            </w:tr>
          </w:tbl>
          <w:p w:rsidR="00896F3E" w:rsidRPr="001F47C5" w:rsidRDefault="00896F3E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</w:p>
        </w:tc>
      </w:tr>
      <w:tr w:rsidR="00896F3E" w:rsidRPr="001F47C5" w:rsidTr="007C7DAD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1F47C5">
              <w:rPr>
                <w:b/>
                <w:sz w:val="22"/>
                <w:szCs w:val="22"/>
                <w:lang w:val="en-US"/>
              </w:rPr>
              <w:lastRenderedPageBreak/>
              <w:t>VIII</w:t>
            </w:r>
            <w:r w:rsidRPr="001F47C5">
              <w:rPr>
                <w:b/>
                <w:sz w:val="22"/>
                <w:szCs w:val="22"/>
              </w:rPr>
              <w:t>.Заключение контракта</w:t>
            </w:r>
          </w:p>
        </w:tc>
      </w:tr>
      <w:tr w:rsidR="00896F3E" w:rsidRPr="001F47C5" w:rsidTr="00F90F09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765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F47C5">
              <w:rPr>
                <w:rFonts w:ascii="Times New Roman" w:hAnsi="Times New Roman" w:cs="Times New Roman"/>
                <w:sz w:val="22"/>
                <w:szCs w:val="22"/>
              </w:rPr>
              <w:t>Порядок заключения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 w:rsidRPr="001F47C5">
              <w:rPr>
                <w:sz w:val="22"/>
                <w:szCs w:val="22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 w:rsidRPr="001F47C5">
              <w:rPr>
                <w:sz w:val="22"/>
                <w:szCs w:val="22"/>
              </w:rPr>
              <w:t>В контра</w:t>
            </w:r>
            <w:proofErr w:type="gramStart"/>
            <w:r w:rsidRPr="001F47C5">
              <w:rPr>
                <w:sz w:val="22"/>
                <w:szCs w:val="22"/>
              </w:rPr>
              <w:t>кт вкл</w:t>
            </w:r>
            <w:proofErr w:type="gramEnd"/>
            <w:r w:rsidRPr="001F47C5">
              <w:rPr>
                <w:sz w:val="22"/>
                <w:szCs w:val="22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proofErr w:type="gramStart"/>
            <w:r w:rsidRPr="001F47C5">
              <w:rPr>
                <w:sz w:val="22"/>
                <w:szCs w:val="22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 w:rsidRPr="001F47C5">
              <w:rPr>
                <w:sz w:val="22"/>
                <w:szCs w:val="22"/>
              </w:rPr>
              <w:t>В случае</w:t>
            </w:r>
            <w:proofErr w:type="gramStart"/>
            <w:r w:rsidRPr="001F47C5">
              <w:rPr>
                <w:sz w:val="22"/>
                <w:szCs w:val="22"/>
              </w:rPr>
              <w:t>,</w:t>
            </w:r>
            <w:proofErr w:type="gramEnd"/>
            <w:r w:rsidRPr="001F47C5">
              <w:rPr>
                <w:sz w:val="22"/>
                <w:szCs w:val="22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 w:rsidRPr="001F47C5">
              <w:rPr>
                <w:sz w:val="22"/>
                <w:szCs w:val="22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 w:rsidRPr="001F47C5">
              <w:rPr>
                <w:sz w:val="22"/>
                <w:szCs w:val="22"/>
              </w:rPr>
              <w:t>Перечисление заказчику денежных сре</w:t>
            </w:r>
            <w:proofErr w:type="gramStart"/>
            <w:r w:rsidRPr="001F47C5">
              <w:rPr>
                <w:sz w:val="22"/>
                <w:szCs w:val="22"/>
              </w:rPr>
              <w:t>дств в к</w:t>
            </w:r>
            <w:proofErr w:type="gramEnd"/>
            <w:r w:rsidRPr="001F47C5">
              <w:rPr>
                <w:sz w:val="22"/>
                <w:szCs w:val="22"/>
              </w:rPr>
              <w:t>ачестве оплаты права заключить контракт производится по следующим реквизитам:</w:t>
            </w:r>
          </w:p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610"/>
              <w:gridCol w:w="6142"/>
            </w:tblGrid>
            <w:tr w:rsidR="00896F3E" w:rsidRPr="001F47C5" w:rsidTr="007E6AE7">
              <w:tc>
                <w:tcPr>
                  <w:tcW w:w="1610" w:type="dxa"/>
                  <w:shd w:val="clear" w:color="auto" w:fill="auto"/>
                </w:tcPr>
                <w:p w:rsidR="00896F3E" w:rsidRPr="001F47C5" w:rsidRDefault="00896F3E" w:rsidP="007E6AE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1F47C5">
                    <w:rPr>
                      <w:rFonts w:ascii="Times New Roman" w:hAnsi="Times New Roman"/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96F3E" w:rsidRPr="001F47C5" w:rsidRDefault="00896F3E" w:rsidP="00765028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F47C5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1F47C5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1F47C5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896F3E" w:rsidRPr="001F47C5" w:rsidTr="007E6AE7">
              <w:tc>
                <w:tcPr>
                  <w:tcW w:w="1610" w:type="dxa"/>
                  <w:shd w:val="clear" w:color="auto" w:fill="auto"/>
                </w:tcPr>
                <w:p w:rsidR="00896F3E" w:rsidRPr="001F47C5" w:rsidRDefault="00896F3E" w:rsidP="007E6AE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1F47C5">
                    <w:rPr>
                      <w:rFonts w:ascii="Times New Roman" w:hAnsi="Times New Roman"/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96F3E" w:rsidRPr="001F47C5" w:rsidRDefault="00896F3E" w:rsidP="007650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896F3E" w:rsidRPr="001F47C5" w:rsidTr="007E6AE7">
              <w:tc>
                <w:tcPr>
                  <w:tcW w:w="1610" w:type="dxa"/>
                  <w:shd w:val="clear" w:color="auto" w:fill="auto"/>
                </w:tcPr>
                <w:p w:rsidR="00896F3E" w:rsidRPr="001F47C5" w:rsidRDefault="00896F3E" w:rsidP="007E6AE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1F47C5">
                    <w:rPr>
                      <w:rFonts w:ascii="Times New Roman" w:hAnsi="Times New Roman"/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96F3E" w:rsidRPr="001F47C5" w:rsidRDefault="00896F3E" w:rsidP="007650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896F3E" w:rsidRPr="001F47C5" w:rsidTr="007E6AE7">
              <w:tc>
                <w:tcPr>
                  <w:tcW w:w="1610" w:type="dxa"/>
                  <w:shd w:val="clear" w:color="auto" w:fill="auto"/>
                </w:tcPr>
                <w:p w:rsidR="00896F3E" w:rsidRPr="001F47C5" w:rsidRDefault="00896F3E" w:rsidP="007E6AE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1F47C5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1F47C5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96F3E" w:rsidRPr="001F47C5" w:rsidRDefault="00896F3E" w:rsidP="007650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1F47C5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896F3E" w:rsidRPr="001F47C5" w:rsidTr="007E6AE7">
              <w:tc>
                <w:tcPr>
                  <w:tcW w:w="1610" w:type="dxa"/>
                  <w:shd w:val="clear" w:color="auto" w:fill="auto"/>
                </w:tcPr>
                <w:p w:rsidR="00896F3E" w:rsidRPr="001F47C5" w:rsidRDefault="00896F3E" w:rsidP="007E6AE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</w:rPr>
                  </w:pPr>
                  <w:r w:rsidRPr="001F47C5">
                    <w:rPr>
                      <w:rFonts w:ascii="Times New Roman" w:hAnsi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96F3E" w:rsidRPr="001F47C5" w:rsidRDefault="00896F3E" w:rsidP="00765028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896F3E" w:rsidRPr="001F47C5" w:rsidTr="007E6AE7">
              <w:trPr>
                <w:trHeight w:val="515"/>
              </w:trPr>
              <w:tc>
                <w:tcPr>
                  <w:tcW w:w="1610" w:type="dxa"/>
                  <w:shd w:val="clear" w:color="auto" w:fill="auto"/>
                </w:tcPr>
                <w:p w:rsidR="00896F3E" w:rsidRPr="001F47C5" w:rsidRDefault="00896F3E" w:rsidP="007E6AE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F47C5">
                    <w:rPr>
                      <w:rFonts w:ascii="Times New Roman" w:hAnsi="Times New Roman"/>
                      <w:b/>
                      <w:color w:val="000000"/>
                    </w:rPr>
                    <w:t xml:space="preserve">Назначение </w:t>
                  </w:r>
                </w:p>
                <w:p w:rsidR="00896F3E" w:rsidRPr="001F47C5" w:rsidRDefault="00896F3E" w:rsidP="007E6AE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1F47C5">
                    <w:rPr>
                      <w:rFonts w:ascii="Times New Roman" w:hAnsi="Times New Roman"/>
                      <w:b/>
                      <w:color w:val="000000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96F3E" w:rsidRPr="001F47C5" w:rsidRDefault="00896F3E" w:rsidP="007E6AE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  <w:p w:rsidR="00896F3E" w:rsidRPr="001F47C5" w:rsidRDefault="00896F3E" w:rsidP="007E6AE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F47C5">
                    <w:rPr>
                      <w:rFonts w:ascii="Times New Roman" w:hAnsi="Times New Roman"/>
                    </w:rPr>
                    <w:t>Оплата права заключить контракт, извещение от 2</w:t>
                  </w:r>
                  <w:r w:rsidR="00F34A45">
                    <w:rPr>
                      <w:rFonts w:ascii="Times New Roman" w:hAnsi="Times New Roman"/>
                    </w:rPr>
                    <w:t>9</w:t>
                  </w:r>
                  <w:r w:rsidRPr="001F47C5">
                    <w:rPr>
                      <w:rFonts w:ascii="Times New Roman" w:hAnsi="Times New Roman"/>
                    </w:rPr>
                    <w:t>.0</w:t>
                  </w:r>
                  <w:r w:rsidR="00F34A45">
                    <w:rPr>
                      <w:rFonts w:ascii="Times New Roman" w:hAnsi="Times New Roman"/>
                    </w:rPr>
                    <w:t>4</w:t>
                  </w:r>
                  <w:r w:rsidRPr="001F47C5">
                    <w:rPr>
                      <w:rFonts w:ascii="Times New Roman" w:hAnsi="Times New Roman"/>
                    </w:rPr>
                    <w:t>.2013</w:t>
                  </w:r>
                  <w:r w:rsidRPr="001F47C5">
                    <w:rPr>
                      <w:rFonts w:ascii="Times New Roman" w:hAnsi="Times New Roman"/>
                    </w:rPr>
                    <w:br/>
                    <w:t xml:space="preserve"> № 08563000002130000</w:t>
                  </w:r>
                  <w:r w:rsidR="00F34A45">
                    <w:rPr>
                      <w:rFonts w:ascii="Times New Roman" w:hAnsi="Times New Roman"/>
                    </w:rPr>
                    <w:t>22</w:t>
                  </w:r>
                  <w:r w:rsidRPr="001F47C5">
                    <w:rPr>
                      <w:rFonts w:ascii="Times New Roman" w:hAnsi="Times New Roman"/>
                    </w:rPr>
                    <w:t xml:space="preserve">, Доп. </w:t>
                  </w:r>
                  <w:proofErr w:type="gramStart"/>
                  <w:r w:rsidRPr="001F47C5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Pr="001F47C5">
                    <w:rPr>
                      <w:rFonts w:ascii="Times New Roman" w:hAnsi="Times New Roman"/>
                    </w:rPr>
                    <w:t>. 30000</w:t>
                  </w:r>
                </w:p>
                <w:p w:rsidR="00896F3E" w:rsidRPr="001F47C5" w:rsidRDefault="00896F3E" w:rsidP="007E6AE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96F3E" w:rsidRPr="001F47C5" w:rsidRDefault="00896F3E" w:rsidP="0076502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:rsidR="00041F60" w:rsidRDefault="00041F60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275D" w:rsidRDefault="0047275D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275D" w:rsidRDefault="0047275D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26A82" w:rsidRDefault="00C26A82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26A82" w:rsidRDefault="00C26A82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26A82" w:rsidRDefault="00C26A82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26A82" w:rsidRDefault="00C26A82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B619C" w:rsidRDefault="006B619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275D" w:rsidRDefault="0047275D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3834E2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являются обязательными. </w:t>
      </w:r>
    </w:p>
    <w:sectPr w:rsidR="00913471" w:rsidSect="00D21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42" w:rsidRDefault="00811942" w:rsidP="00B9228D">
      <w:pPr>
        <w:spacing w:after="0" w:line="240" w:lineRule="auto"/>
      </w:pPr>
      <w:r>
        <w:separator/>
      </w:r>
    </w:p>
  </w:endnote>
  <w:endnote w:type="continuationSeparator" w:id="0">
    <w:p w:rsidR="00811942" w:rsidRDefault="00811942" w:rsidP="00B92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F44" w:rsidRPr="003A03D1" w:rsidRDefault="00D21B81">
    <w:pPr>
      <w:pStyle w:val="a8"/>
      <w:jc w:val="center"/>
      <w:rPr>
        <w:rFonts w:ascii="Times New Roman" w:hAnsi="Times New Roman"/>
      </w:rPr>
    </w:pPr>
    <w:r w:rsidRPr="003A03D1">
      <w:rPr>
        <w:rFonts w:ascii="Times New Roman" w:hAnsi="Times New Roman"/>
      </w:rPr>
      <w:fldChar w:fldCharType="begin"/>
    </w:r>
    <w:r w:rsidR="00645F44" w:rsidRPr="003A03D1">
      <w:rPr>
        <w:rFonts w:ascii="Times New Roman" w:hAnsi="Times New Roman"/>
      </w:rPr>
      <w:instrText>PAGE   \* MERGEFORMAT</w:instrText>
    </w:r>
    <w:r w:rsidRPr="003A03D1">
      <w:rPr>
        <w:rFonts w:ascii="Times New Roman" w:hAnsi="Times New Roman"/>
      </w:rPr>
      <w:fldChar w:fldCharType="separate"/>
    </w:r>
    <w:r w:rsidR="00C26A82">
      <w:rPr>
        <w:rFonts w:ascii="Times New Roman" w:hAnsi="Times New Roman"/>
        <w:noProof/>
      </w:rPr>
      <w:t>4</w:t>
    </w:r>
    <w:r w:rsidRPr="003A03D1">
      <w:rPr>
        <w:rFonts w:ascii="Times New Roman" w:hAnsi="Times New Roman"/>
      </w:rPr>
      <w:fldChar w:fldCharType="end"/>
    </w:r>
  </w:p>
  <w:p w:rsidR="00645F44" w:rsidRDefault="00645F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42" w:rsidRDefault="00811942" w:rsidP="00B9228D">
      <w:pPr>
        <w:spacing w:after="0" w:line="240" w:lineRule="auto"/>
      </w:pPr>
      <w:r>
        <w:separator/>
      </w:r>
    </w:p>
  </w:footnote>
  <w:footnote w:type="continuationSeparator" w:id="0">
    <w:p w:rsidR="00811942" w:rsidRDefault="00811942" w:rsidP="00B92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A0C1E"/>
    <w:multiLevelType w:val="hybridMultilevel"/>
    <w:tmpl w:val="20722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854BE"/>
    <w:multiLevelType w:val="multilevel"/>
    <w:tmpl w:val="F6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768E9"/>
    <w:multiLevelType w:val="multilevel"/>
    <w:tmpl w:val="AADC5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5" w:hanging="7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53B4E"/>
    <w:multiLevelType w:val="multilevel"/>
    <w:tmpl w:val="25DA80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8FF112B"/>
    <w:multiLevelType w:val="hybridMultilevel"/>
    <w:tmpl w:val="BAEEAF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7">
    <w:nsid w:val="6C3B509D"/>
    <w:multiLevelType w:val="hybridMultilevel"/>
    <w:tmpl w:val="782A6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76060A6B"/>
    <w:multiLevelType w:val="multilevel"/>
    <w:tmpl w:val="ADECB8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."/>
      <w:lvlJc w:val="left"/>
      <w:pPr>
        <w:ind w:left="1072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6"/>
  </w:num>
  <w:num w:numId="15">
    <w:abstractNumId w:val="2"/>
  </w:num>
  <w:num w:numId="16">
    <w:abstractNumId w:val="15"/>
  </w:num>
  <w:num w:numId="17">
    <w:abstractNumId w:val="7"/>
  </w:num>
  <w:num w:numId="18">
    <w:abstractNumId w:val="10"/>
  </w:num>
  <w:num w:numId="19">
    <w:abstractNumId w:val="16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9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01075"/>
    <w:rsid w:val="00007364"/>
    <w:rsid w:val="00041F60"/>
    <w:rsid w:val="00050EF7"/>
    <w:rsid w:val="0008492A"/>
    <w:rsid w:val="00092C8E"/>
    <w:rsid w:val="0009589B"/>
    <w:rsid w:val="000D494C"/>
    <w:rsid w:val="000D6B85"/>
    <w:rsid w:val="00103053"/>
    <w:rsid w:val="001149EE"/>
    <w:rsid w:val="00124240"/>
    <w:rsid w:val="00134243"/>
    <w:rsid w:val="0014516B"/>
    <w:rsid w:val="00154ABB"/>
    <w:rsid w:val="00175BB1"/>
    <w:rsid w:val="001B3202"/>
    <w:rsid w:val="001C1223"/>
    <w:rsid w:val="001C4293"/>
    <w:rsid w:val="001F47C5"/>
    <w:rsid w:val="00214823"/>
    <w:rsid w:val="0023327E"/>
    <w:rsid w:val="00233399"/>
    <w:rsid w:val="00240C33"/>
    <w:rsid w:val="00262EF9"/>
    <w:rsid w:val="00263983"/>
    <w:rsid w:val="002651C7"/>
    <w:rsid w:val="00273065"/>
    <w:rsid w:val="00282CD2"/>
    <w:rsid w:val="00286480"/>
    <w:rsid w:val="002D55D4"/>
    <w:rsid w:val="002E231C"/>
    <w:rsid w:val="002E6D7F"/>
    <w:rsid w:val="00315857"/>
    <w:rsid w:val="003211C7"/>
    <w:rsid w:val="0034208A"/>
    <w:rsid w:val="00346E25"/>
    <w:rsid w:val="003731A3"/>
    <w:rsid w:val="003834E2"/>
    <w:rsid w:val="00385986"/>
    <w:rsid w:val="00385F89"/>
    <w:rsid w:val="00393057"/>
    <w:rsid w:val="00396E8E"/>
    <w:rsid w:val="003A03D1"/>
    <w:rsid w:val="003D48F4"/>
    <w:rsid w:val="003F4514"/>
    <w:rsid w:val="003F5799"/>
    <w:rsid w:val="00426CFB"/>
    <w:rsid w:val="00436F6E"/>
    <w:rsid w:val="0047275D"/>
    <w:rsid w:val="00493CAB"/>
    <w:rsid w:val="00494574"/>
    <w:rsid w:val="00495764"/>
    <w:rsid w:val="004B3992"/>
    <w:rsid w:val="004B54B4"/>
    <w:rsid w:val="004D3277"/>
    <w:rsid w:val="004E302C"/>
    <w:rsid w:val="004F1AB2"/>
    <w:rsid w:val="005138F4"/>
    <w:rsid w:val="0053156E"/>
    <w:rsid w:val="005537B4"/>
    <w:rsid w:val="00560858"/>
    <w:rsid w:val="00564EE3"/>
    <w:rsid w:val="0058263E"/>
    <w:rsid w:val="00592169"/>
    <w:rsid w:val="005A69A7"/>
    <w:rsid w:val="005F3EA8"/>
    <w:rsid w:val="00603E01"/>
    <w:rsid w:val="0061104D"/>
    <w:rsid w:val="00620A6F"/>
    <w:rsid w:val="00645F44"/>
    <w:rsid w:val="00646595"/>
    <w:rsid w:val="00650310"/>
    <w:rsid w:val="006B619C"/>
    <w:rsid w:val="006C7D5B"/>
    <w:rsid w:val="006D189C"/>
    <w:rsid w:val="006E06C8"/>
    <w:rsid w:val="006E15C6"/>
    <w:rsid w:val="00704728"/>
    <w:rsid w:val="00706477"/>
    <w:rsid w:val="00707BC4"/>
    <w:rsid w:val="00714F71"/>
    <w:rsid w:val="00721813"/>
    <w:rsid w:val="007273DD"/>
    <w:rsid w:val="00746612"/>
    <w:rsid w:val="00765028"/>
    <w:rsid w:val="0077335D"/>
    <w:rsid w:val="007A2F2A"/>
    <w:rsid w:val="007A4ABE"/>
    <w:rsid w:val="007A72D1"/>
    <w:rsid w:val="007B2D49"/>
    <w:rsid w:val="007C7DAD"/>
    <w:rsid w:val="007E07CF"/>
    <w:rsid w:val="007E6AE7"/>
    <w:rsid w:val="00811942"/>
    <w:rsid w:val="008151A7"/>
    <w:rsid w:val="00827076"/>
    <w:rsid w:val="00852E9C"/>
    <w:rsid w:val="00853611"/>
    <w:rsid w:val="00895BBB"/>
    <w:rsid w:val="00896F3E"/>
    <w:rsid w:val="008B190F"/>
    <w:rsid w:val="008B2240"/>
    <w:rsid w:val="008C7EFE"/>
    <w:rsid w:val="00913471"/>
    <w:rsid w:val="0091776F"/>
    <w:rsid w:val="009416E9"/>
    <w:rsid w:val="00946A6F"/>
    <w:rsid w:val="00951859"/>
    <w:rsid w:val="00955458"/>
    <w:rsid w:val="00991230"/>
    <w:rsid w:val="009A15AF"/>
    <w:rsid w:val="009B1609"/>
    <w:rsid w:val="009D6A91"/>
    <w:rsid w:val="009E3706"/>
    <w:rsid w:val="009E37D2"/>
    <w:rsid w:val="009E39C7"/>
    <w:rsid w:val="009F21C9"/>
    <w:rsid w:val="00A11442"/>
    <w:rsid w:val="00A219B1"/>
    <w:rsid w:val="00A37C2A"/>
    <w:rsid w:val="00A61D94"/>
    <w:rsid w:val="00A7513A"/>
    <w:rsid w:val="00A831B1"/>
    <w:rsid w:val="00A953E5"/>
    <w:rsid w:val="00AA508A"/>
    <w:rsid w:val="00AC7C0E"/>
    <w:rsid w:val="00AF7407"/>
    <w:rsid w:val="00B06B04"/>
    <w:rsid w:val="00B13A4D"/>
    <w:rsid w:val="00B16FD7"/>
    <w:rsid w:val="00B17CA4"/>
    <w:rsid w:val="00B17D84"/>
    <w:rsid w:val="00B44F92"/>
    <w:rsid w:val="00B6399D"/>
    <w:rsid w:val="00B65619"/>
    <w:rsid w:val="00B9228D"/>
    <w:rsid w:val="00B9480B"/>
    <w:rsid w:val="00C07F58"/>
    <w:rsid w:val="00C258F9"/>
    <w:rsid w:val="00C26A82"/>
    <w:rsid w:val="00C63A5A"/>
    <w:rsid w:val="00C712C7"/>
    <w:rsid w:val="00C75A5B"/>
    <w:rsid w:val="00C838F3"/>
    <w:rsid w:val="00C93592"/>
    <w:rsid w:val="00CC613A"/>
    <w:rsid w:val="00D02825"/>
    <w:rsid w:val="00D13669"/>
    <w:rsid w:val="00D14DD1"/>
    <w:rsid w:val="00D21B81"/>
    <w:rsid w:val="00D67728"/>
    <w:rsid w:val="00D9185F"/>
    <w:rsid w:val="00DC66F8"/>
    <w:rsid w:val="00DC6C79"/>
    <w:rsid w:val="00DF4503"/>
    <w:rsid w:val="00E447BB"/>
    <w:rsid w:val="00E773F9"/>
    <w:rsid w:val="00EC1F2C"/>
    <w:rsid w:val="00EC75F0"/>
    <w:rsid w:val="00EF5489"/>
    <w:rsid w:val="00F023C6"/>
    <w:rsid w:val="00F0278D"/>
    <w:rsid w:val="00F14E31"/>
    <w:rsid w:val="00F32686"/>
    <w:rsid w:val="00F34A45"/>
    <w:rsid w:val="00F4540F"/>
    <w:rsid w:val="00F526A8"/>
    <w:rsid w:val="00F90F09"/>
    <w:rsid w:val="00FA47FE"/>
    <w:rsid w:val="00FB6843"/>
    <w:rsid w:val="00FB77FF"/>
    <w:rsid w:val="00FC342D"/>
    <w:rsid w:val="00FC7EE9"/>
    <w:rsid w:val="00FF4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0849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8492A"/>
  </w:style>
  <w:style w:type="paragraph" w:customStyle="1" w:styleId="25">
    <w:name w:val="Абзац списка2"/>
    <w:basedOn w:val="a"/>
    <w:rsid w:val="00134243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9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228D"/>
  </w:style>
  <w:style w:type="paragraph" w:styleId="a8">
    <w:name w:val="footer"/>
    <w:basedOn w:val="a"/>
    <w:link w:val="a9"/>
    <w:uiPriority w:val="99"/>
    <w:unhideWhenUsed/>
    <w:rsid w:val="00B9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228D"/>
  </w:style>
  <w:style w:type="paragraph" w:customStyle="1" w:styleId="ConsNormal">
    <w:name w:val="ConsNormal"/>
    <w:rsid w:val="00D67728"/>
    <w:pPr>
      <w:ind w:firstLine="720"/>
    </w:pPr>
    <w:rPr>
      <w:rFonts w:ascii="Consultant" w:eastAsia="Times New Roman" w:hAnsi="Consultant"/>
    </w:rPr>
  </w:style>
  <w:style w:type="paragraph" w:styleId="aa">
    <w:name w:val="Balloon Text"/>
    <w:basedOn w:val="a"/>
    <w:link w:val="ab"/>
    <w:uiPriority w:val="99"/>
    <w:semiHidden/>
    <w:unhideWhenUsed/>
    <w:rsid w:val="00A37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37C2A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9A15AF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9A15A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0849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8492A"/>
  </w:style>
  <w:style w:type="paragraph" w:customStyle="1" w:styleId="25">
    <w:name w:val="Абзац списка2"/>
    <w:basedOn w:val="a"/>
    <w:rsid w:val="00134243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9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228D"/>
  </w:style>
  <w:style w:type="paragraph" w:styleId="a8">
    <w:name w:val="footer"/>
    <w:basedOn w:val="a"/>
    <w:link w:val="a9"/>
    <w:uiPriority w:val="99"/>
    <w:unhideWhenUsed/>
    <w:rsid w:val="00B9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228D"/>
  </w:style>
  <w:style w:type="paragraph" w:customStyle="1" w:styleId="ConsNormal">
    <w:name w:val="ConsNormal"/>
    <w:rsid w:val="00D67728"/>
    <w:pPr>
      <w:ind w:firstLine="720"/>
    </w:pPr>
    <w:rPr>
      <w:rFonts w:ascii="Consultant" w:eastAsia="Times New Roman" w:hAnsi="Consultant"/>
    </w:rPr>
  </w:style>
  <w:style w:type="paragraph" w:styleId="aa">
    <w:name w:val="Balloon Text"/>
    <w:basedOn w:val="a"/>
    <w:link w:val="ab"/>
    <w:uiPriority w:val="99"/>
    <w:semiHidden/>
    <w:unhideWhenUsed/>
    <w:rsid w:val="00A37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37C2A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9A15AF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9A15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FD8D1-EEC3-4FF9-B094-EC62385A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</cp:revision>
  <cp:lastPrinted>2013-03-07T07:09:00Z</cp:lastPrinted>
  <dcterms:created xsi:type="dcterms:W3CDTF">2013-04-29T10:36:00Z</dcterms:created>
  <dcterms:modified xsi:type="dcterms:W3CDTF">2013-04-29T10:36:00Z</dcterms:modified>
</cp:coreProperties>
</file>