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45" w:rsidRPr="00140E53" w:rsidRDefault="00224A31" w:rsidP="00224A31">
      <w:pPr>
        <w:pStyle w:val="2"/>
        <w:numPr>
          <w:ilvl w:val="0"/>
          <w:numId w:val="0"/>
        </w:numPr>
        <w:tabs>
          <w:tab w:val="left" w:pos="708"/>
        </w:tabs>
        <w:jc w:val="left"/>
        <w:rPr>
          <w:rFonts w:ascii="Courier New" w:hAnsi="Courier New" w:cs="Courier New"/>
          <w:b/>
          <w:bCs/>
          <w:caps/>
          <w:sz w:val="16"/>
          <w:szCs w:val="16"/>
        </w:rPr>
      </w:pPr>
      <w:bookmarkStart w:id="0" w:name="_Toc294191417"/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>
        <w:rPr>
          <w:rFonts w:ascii="Courier New" w:hAnsi="Courier New" w:cs="Courier New"/>
          <w:b/>
          <w:bCs/>
          <w:caps/>
          <w:sz w:val="16"/>
          <w:szCs w:val="16"/>
        </w:rPr>
        <w:tab/>
      </w:r>
      <w:r w:rsidR="00140E53" w:rsidRPr="00140E53">
        <w:rPr>
          <w:rFonts w:ascii="Courier New" w:hAnsi="Courier New" w:cs="Courier New"/>
          <w:b/>
          <w:bCs/>
          <w:caps/>
          <w:sz w:val="16"/>
          <w:szCs w:val="16"/>
        </w:rPr>
        <w:t>Приложение № 2</w:t>
      </w:r>
    </w:p>
    <w:p w:rsidR="003B2075" w:rsidRPr="00140E53" w:rsidRDefault="00821645" w:rsidP="003B2075">
      <w:pPr>
        <w:ind w:left="5664" w:firstLine="708"/>
        <w:rPr>
          <w:rFonts w:ascii="Courier New" w:hAnsi="Courier New" w:cs="Courier New"/>
          <w:b/>
          <w:bCs/>
          <w:caps/>
          <w:sz w:val="16"/>
          <w:szCs w:val="16"/>
        </w:rPr>
      </w:pPr>
      <w:r w:rsidRPr="00140E53">
        <w:rPr>
          <w:rFonts w:ascii="Courier New" w:hAnsi="Courier New" w:cs="Courier New"/>
          <w:b/>
          <w:bCs/>
          <w:caps/>
          <w:sz w:val="16"/>
          <w:szCs w:val="16"/>
        </w:rPr>
        <w:t>К извещению</w:t>
      </w:r>
      <w:r w:rsidR="00224A31">
        <w:rPr>
          <w:rFonts w:ascii="Courier New" w:hAnsi="Courier New" w:cs="Courier New"/>
          <w:b/>
          <w:bCs/>
          <w:caps/>
          <w:sz w:val="16"/>
          <w:szCs w:val="16"/>
        </w:rPr>
        <w:t xml:space="preserve"> </w:t>
      </w:r>
      <w:r w:rsidR="003B2075" w:rsidRPr="00140E53">
        <w:rPr>
          <w:rFonts w:ascii="Courier New" w:hAnsi="Courier New" w:cs="Courier New"/>
          <w:b/>
          <w:bCs/>
          <w:caps/>
          <w:sz w:val="16"/>
          <w:szCs w:val="16"/>
        </w:rPr>
        <w:t>о запросе котировок</w:t>
      </w:r>
    </w:p>
    <w:p w:rsidR="00224A31" w:rsidRDefault="00224A31" w:rsidP="00224A31">
      <w:pPr>
        <w:ind w:left="6372"/>
        <w:rPr>
          <w:rFonts w:ascii="Courier New" w:hAnsi="Courier New" w:cs="Courier New"/>
          <w:b/>
          <w:bCs/>
          <w:caps/>
          <w:sz w:val="16"/>
          <w:szCs w:val="16"/>
        </w:rPr>
      </w:pPr>
      <w:r>
        <w:rPr>
          <w:rFonts w:ascii="Courier New" w:hAnsi="Courier New" w:cs="Courier New"/>
          <w:b/>
          <w:bCs/>
          <w:caps/>
          <w:sz w:val="16"/>
          <w:szCs w:val="16"/>
        </w:rPr>
        <w:t>№</w:t>
      </w:r>
      <w:r w:rsidR="00821645" w:rsidRPr="00140E53">
        <w:rPr>
          <w:rFonts w:ascii="Courier New" w:hAnsi="Courier New" w:cs="Courier New"/>
          <w:b/>
          <w:bCs/>
          <w:caps/>
          <w:sz w:val="16"/>
          <w:szCs w:val="16"/>
        </w:rPr>
        <w:t xml:space="preserve"> </w:t>
      </w:r>
      <w:r>
        <w:rPr>
          <w:rFonts w:ascii="Courier New" w:hAnsi="Courier New" w:cs="Courier New"/>
          <w:b/>
          <w:bCs/>
          <w:caps/>
          <w:sz w:val="16"/>
          <w:szCs w:val="16"/>
        </w:rPr>
        <w:t>______________</w:t>
      </w:r>
      <w:r w:rsidR="003B2075">
        <w:rPr>
          <w:rFonts w:ascii="Courier New" w:hAnsi="Courier New" w:cs="Courier New"/>
          <w:b/>
          <w:bCs/>
          <w:caps/>
          <w:sz w:val="16"/>
          <w:szCs w:val="16"/>
        </w:rPr>
        <w:t>_______________</w:t>
      </w:r>
    </w:p>
    <w:p w:rsidR="00821645" w:rsidRPr="00140E53" w:rsidRDefault="00140E53" w:rsidP="00224A31">
      <w:pPr>
        <w:ind w:left="5664" w:firstLine="708"/>
        <w:rPr>
          <w:rFonts w:ascii="Courier New" w:hAnsi="Courier New" w:cs="Courier New"/>
          <w:b/>
          <w:bCs/>
          <w:caps/>
          <w:sz w:val="16"/>
          <w:szCs w:val="16"/>
        </w:rPr>
      </w:pPr>
      <w:r w:rsidRPr="00140E53">
        <w:rPr>
          <w:rFonts w:ascii="Courier New" w:hAnsi="Courier New" w:cs="Courier New"/>
          <w:b/>
          <w:bCs/>
          <w:caps/>
          <w:sz w:val="16"/>
          <w:szCs w:val="16"/>
        </w:rPr>
        <w:t>от «31</w:t>
      </w:r>
      <w:r w:rsidR="00821645" w:rsidRPr="00140E53">
        <w:rPr>
          <w:rFonts w:ascii="Courier New" w:hAnsi="Courier New" w:cs="Courier New"/>
          <w:b/>
          <w:bCs/>
          <w:caps/>
          <w:sz w:val="16"/>
          <w:szCs w:val="16"/>
        </w:rPr>
        <w:t>» мая 2013 г.</w:t>
      </w:r>
    </w:p>
    <w:p w:rsidR="00821645" w:rsidRPr="00140E53" w:rsidRDefault="00821645" w:rsidP="00821645">
      <w:pPr>
        <w:jc w:val="right"/>
        <w:rPr>
          <w:rFonts w:ascii="Courier New" w:hAnsi="Courier New" w:cs="Courier New"/>
          <w:b/>
          <w:bCs/>
          <w:caps/>
          <w:sz w:val="16"/>
          <w:szCs w:val="16"/>
        </w:rPr>
      </w:pPr>
    </w:p>
    <w:p w:rsidR="00821645" w:rsidRDefault="00821645" w:rsidP="00821645">
      <w:pPr>
        <w:jc w:val="right"/>
        <w:rPr>
          <w:rFonts w:ascii="Courier New" w:hAnsi="Courier New" w:cs="Courier New"/>
          <w:b/>
          <w:bCs/>
          <w:caps/>
          <w:sz w:val="18"/>
          <w:szCs w:val="18"/>
        </w:rPr>
      </w:pPr>
    </w:p>
    <w:p w:rsidR="00FF35A3" w:rsidRDefault="00821645" w:rsidP="00140E53">
      <w:pPr>
        <w:jc w:val="center"/>
        <w:rPr>
          <w:rFonts w:ascii="Courier New" w:hAnsi="Courier New" w:cs="Courier New"/>
          <w:b/>
          <w:bCs/>
          <w:caps/>
          <w:sz w:val="18"/>
          <w:szCs w:val="18"/>
        </w:rPr>
      </w:pPr>
      <w:r>
        <w:rPr>
          <w:rFonts w:ascii="Courier New" w:hAnsi="Courier New" w:cs="Courier New"/>
          <w:b/>
          <w:bCs/>
          <w:caps/>
          <w:sz w:val="18"/>
          <w:szCs w:val="18"/>
        </w:rPr>
        <w:t>Техническое задание</w:t>
      </w:r>
      <w:bookmarkEnd w:id="0"/>
    </w:p>
    <w:p w:rsidR="00140E53" w:rsidRDefault="00140E53" w:rsidP="00140E53">
      <w:pPr>
        <w:jc w:val="center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на поставку клиентов</w:t>
      </w:r>
      <w:r w:rsidRPr="00140E53">
        <w:rPr>
          <w:rFonts w:ascii="Courier New" w:hAnsi="Courier New" w:cs="Courier New"/>
          <w:b/>
          <w:bCs/>
          <w:sz w:val="18"/>
          <w:szCs w:val="18"/>
        </w:rPr>
        <w:t xml:space="preserve"> обеспечения доверенного сеанса связи (</w:t>
      </w:r>
      <w:r w:rsidRPr="00140E53">
        <w:rPr>
          <w:rFonts w:ascii="Courier New" w:hAnsi="Courier New" w:cs="Courier New"/>
          <w:b/>
          <w:sz w:val="18"/>
          <w:szCs w:val="18"/>
        </w:rPr>
        <w:t>съемные защищенные загрузочные носители информации с комплексом размещаемых на нем операционной системы, программных средств и СКЗИ)</w:t>
      </w:r>
    </w:p>
    <w:p w:rsidR="00140E53" w:rsidRPr="00140E53" w:rsidRDefault="00140E53" w:rsidP="00140E53">
      <w:pPr>
        <w:jc w:val="center"/>
        <w:rPr>
          <w:rFonts w:ascii="Courier New" w:hAnsi="Courier New" w:cs="Courier New"/>
          <w:b/>
          <w:sz w:val="18"/>
          <w:szCs w:val="18"/>
        </w:rPr>
      </w:pPr>
    </w:p>
    <w:tbl>
      <w:tblPr>
        <w:tblW w:w="7498" w:type="pct"/>
        <w:tblInd w:w="-601" w:type="dxa"/>
        <w:tblLook w:val="0000"/>
      </w:tblPr>
      <w:tblGrid>
        <w:gridCol w:w="866"/>
        <w:gridCol w:w="5519"/>
        <w:gridCol w:w="1393"/>
        <w:gridCol w:w="2359"/>
        <w:gridCol w:w="1356"/>
        <w:gridCol w:w="1356"/>
        <w:gridCol w:w="1504"/>
      </w:tblGrid>
      <w:tr w:rsidR="00821645" w:rsidRPr="00B725A5" w:rsidTr="00246F83">
        <w:trPr>
          <w:gridAfter w:val="3"/>
          <w:wAfter w:w="4502" w:type="dxa"/>
          <w:trHeight w:val="102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645" w:rsidRDefault="00821645" w:rsidP="00246F83">
            <w:pPr>
              <w:jc w:val="center"/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</w:pPr>
          </w:p>
          <w:p w:rsidR="00821645" w:rsidRPr="00B725A5" w:rsidRDefault="008229DD" w:rsidP="00246F83">
            <w:pPr>
              <w:jc w:val="center"/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</w:pPr>
            <w:r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left:0;text-align:left;margin-left:0;margin-top:0;width:37.5pt;height:51pt;z-index:251660288;visibility:hidden" stroked="f" o:insetmode="auto">
                  <o:lock v:ext="edit" rotation="t"/>
                </v:shape>
              </w:pict>
            </w:r>
            <w:r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pict>
                <v:shape id="_x0000_s1027" type="#_x0000_t201" style="position:absolute;left:0;text-align:left;margin-left:0;margin-top:0;width:37.5pt;height:51pt;z-index:251661312;visibility:hidden" stroked="f" o:insetmode="auto">
                  <o:lock v:ext="edit" rotation="t"/>
                </v:shape>
              </w:pict>
            </w:r>
            <w:r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pict>
                <v:shape id="_x0000_s1028" type="#_x0000_t201" style="position:absolute;left:0;text-align:left;margin-left:0;margin-top:0;width:37.5pt;height:51pt;z-index:251662336;visibility:hidden" stroked="f" o:insetmode="auto">
                  <o:lock v:ext="edit" rotation="t"/>
                </v:shape>
              </w:pict>
            </w:r>
            <w:r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pict>
                <v:shape id="_x0000_s1029" type="#_x0000_t201" style="position:absolute;left:0;text-align:left;margin-left:0;margin-top:0;width:37.5pt;height:51pt;z-index:251663360;visibility:hidden" stroked="f" o:insetmode="auto">
                  <o:lock v:ext="edit" rotation="t"/>
                </v:shape>
              </w:pict>
            </w:r>
            <w:r w:rsidR="00821645" w:rsidRPr="00B725A5"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>№ пункта</w:t>
            </w:r>
          </w:p>
        </w:tc>
        <w:tc>
          <w:tcPr>
            <w:tcW w:w="5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>Требования к товару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>Параметры и условия требований к товару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i/>
                <w:sz w:val="18"/>
                <w:szCs w:val="18"/>
              </w:rPr>
              <w:t>Предлагаемые характеристики товара в рамках установленных параметров и условий (указать)</w:t>
            </w:r>
          </w:p>
        </w:tc>
      </w:tr>
      <w:tr w:rsidR="00821645" w:rsidRPr="00B725A5" w:rsidTr="00246F83">
        <w:trPr>
          <w:gridAfter w:val="3"/>
          <w:wAfter w:w="4502" w:type="dxa"/>
          <w:trHeight w:val="33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  <w:t xml:space="preserve">Клиент обеспечения доверенного сеанса </w:t>
            </w:r>
            <w:r w:rsidRPr="00140E53"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  <w:t>связи</w:t>
            </w:r>
            <w:r w:rsidRPr="00B725A5">
              <w:rPr>
                <w:rFonts w:ascii="Courier New" w:hAnsi="Courier New" w:cs="Courier New"/>
                <w:b/>
                <w:bCs/>
                <w:i/>
                <w:iCs/>
                <w:sz w:val="18"/>
                <w:szCs w:val="18"/>
              </w:rPr>
              <w:t xml:space="preserve"> (Клиент ДСС):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Наименование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Указать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8B047A" w:rsidRDefault="00821645" w:rsidP="00246F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B047A">
              <w:rPr>
                <w:rFonts w:ascii="Courier New" w:hAnsi="Courier New" w:cs="Courier New"/>
                <w:sz w:val="20"/>
                <w:szCs w:val="20"/>
              </w:rPr>
              <w:t>Средство обеспечения доверенного сеанса связи «МАРШ!»</w:t>
            </w:r>
          </w:p>
        </w:tc>
      </w:tr>
      <w:tr w:rsidR="00821645" w:rsidRPr="00B725A5" w:rsidTr="00246F83">
        <w:trPr>
          <w:gridAfter w:val="3"/>
          <w:wAfter w:w="4502" w:type="dxa"/>
          <w:trHeight w:val="5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Модель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Указать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8B047A" w:rsidRDefault="00821645" w:rsidP="00246F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B047A">
              <w:rPr>
                <w:rFonts w:ascii="Courier New" w:hAnsi="Courier New" w:cs="Courier New"/>
                <w:sz w:val="20"/>
                <w:szCs w:val="20"/>
              </w:rPr>
              <w:t>СОДС «МАРШ!»</w:t>
            </w:r>
          </w:p>
          <w:p w:rsidR="00821645" w:rsidRPr="008B047A" w:rsidRDefault="00821645" w:rsidP="00246F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B047A">
              <w:rPr>
                <w:rFonts w:ascii="Courier New" w:hAnsi="Courier New" w:cs="Courier New"/>
                <w:sz w:val="20"/>
                <w:szCs w:val="20"/>
              </w:rPr>
              <w:t>ТУ 4012-039-11443195-2011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Производитель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Указать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8B047A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B047A">
              <w:rPr>
                <w:rFonts w:ascii="Courier New" w:hAnsi="Courier New" w:cs="Courier New"/>
                <w:sz w:val="18"/>
                <w:szCs w:val="18"/>
              </w:rPr>
              <w:t>ФГУП «КБПМ»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Страна происхождения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Указать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Россия</w:t>
            </w:r>
          </w:p>
        </w:tc>
      </w:tr>
      <w:tr w:rsidR="00821645" w:rsidRPr="00B725A5" w:rsidTr="00246F83">
        <w:trPr>
          <w:gridAfter w:val="3"/>
          <w:wAfter w:w="4502" w:type="dxa"/>
          <w:trHeight w:val="21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Сертификат ФСТЭК России, подтверждающий возможность использования оборудования в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ИСПДн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до 1 класса включительно, отсутствие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недекларированных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возможностей по 4 уровню контроля при условиях обеспечения целостности загружаемой операционной системы, функционального программного обеспечения и данных, размещаемых в защищен</w:t>
            </w:r>
            <w:r>
              <w:rPr>
                <w:rFonts w:ascii="Courier New" w:hAnsi="Courier New" w:cs="Courier New"/>
                <w:sz w:val="18"/>
                <w:szCs w:val="18"/>
              </w:rPr>
              <w:t>ных разделах памяти устройства.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Сертификат ФСБ России, подтверждающий соответствие средств криптографической защиты информации в составе клиента ДСС требованиям к средствам криптографической защиты информации класса КС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1</w:t>
            </w:r>
            <w:proofErr w:type="gram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и выше.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Документация 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клиент ДСС в составе:</w:t>
            </w:r>
          </w:p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формуляр;</w:t>
            </w:r>
          </w:p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описание применения;</w:t>
            </w:r>
          </w:p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руководство оператора.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7A11B0" w:rsidRDefault="00821645" w:rsidP="00246F83">
            <w:pPr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7A11B0">
              <w:rPr>
                <w:rFonts w:ascii="Courier New" w:hAnsi="Courier New" w:cs="Courier New"/>
                <w:b/>
                <w:bCs/>
                <w:sz w:val="18"/>
                <w:szCs w:val="18"/>
              </w:rPr>
              <w:t xml:space="preserve">Количество </w:t>
            </w:r>
            <w:r w:rsidRPr="007A11B0">
              <w:rPr>
                <w:rFonts w:ascii="Courier New" w:hAnsi="Courier New" w:cs="Courier New"/>
                <w:bCs/>
                <w:sz w:val="18"/>
                <w:szCs w:val="18"/>
              </w:rPr>
              <w:t xml:space="preserve">клиентов ДСС: 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 xml:space="preserve">46 </w:t>
            </w:r>
            <w:r w:rsidRPr="007A11B0">
              <w:rPr>
                <w:rFonts w:ascii="Courier New" w:hAnsi="Courier New" w:cs="Courier New"/>
                <w:bCs/>
                <w:sz w:val="18"/>
                <w:szCs w:val="18"/>
              </w:rPr>
              <w:t>комплект</w:t>
            </w:r>
            <w:r>
              <w:rPr>
                <w:rFonts w:ascii="Courier New" w:hAnsi="Courier New" w:cs="Courier New"/>
                <w:bCs/>
                <w:sz w:val="18"/>
                <w:szCs w:val="18"/>
              </w:rPr>
              <w:t>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7A11B0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A11B0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7A11B0" w:rsidRDefault="00821645" w:rsidP="00246F83">
            <w:pPr>
              <w:jc w:val="center"/>
            </w:pPr>
            <w:r>
              <w:rPr>
                <w:rFonts w:ascii="Courier New" w:hAnsi="Courier New" w:cs="Courier New"/>
                <w:sz w:val="18"/>
                <w:szCs w:val="18"/>
              </w:rPr>
              <w:t>46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sz w:val="18"/>
                <w:szCs w:val="18"/>
              </w:rPr>
              <w:t>Общие требования: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Клиент ДСС должен представлять собой съемный защищенный загрузочный носитель информации с комплексом размещаемых на нем операционной системы, программных средств и СКЗИ, обеспечивающих организацию доверенного сеанса связи АРМ пользователей с защищаемыми информационными ресурсами (ЗИР) медицинской информационной системы Пермского края (МИС)</w:t>
            </w:r>
            <w:r w:rsidRPr="00B725A5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 xml:space="preserve">3 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с использованием центра обработки данных (ЦОД)</w:t>
            </w:r>
            <w:r w:rsidRPr="00B725A5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>4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общего назначения, в соответствии с требованиями действующего законодательства Российской Федерации. 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Память съемного защищенного загрузочного носителя информации должна быть разделена на ряд блоков, функционально подобных секторам жестких магнитных дисков. При этом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,</w:t>
            </w:r>
            <w:proofErr w:type="gram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по меньшей мере, один из блоков должен быть выполнен доступным для программирования (записи) из внешней среды только 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один раз, а далее доступным только для чтения для исключения возможности перезаписи критичных с точки зрения безопасности информации разделов памяти.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11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Клиент ДСС должен обеспечивать возможность функционирования АРМ пользователей в режиме ДСС, в котором обеспечивается доверенная среда и защищенный доступ к ЗИР. При этом носителем доверенной среды должен быть клиент ДСС.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Возможность «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апгрейда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» клиента ДСС для обеспечения следующей функциональности: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перезапись разделов, содержащих обновляемые компоненты операционной системы, программных средств и СКЗИ, разрешается при положительных результатах проверок целостности обновлений и их источника с помощью криптографических механизмов;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применение средств электронной подписи.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Клиент ДСС должен иметь локальное хранилище данных на 200 Мбайт для хранения локальных справочников,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кэша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браузера, идентификатора сессии. Локальное хранилище данных должно быть организовано для долговременного использования в различных временных сессиях.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Сетевые соединения между АРМ пользователей, загружаемых с клиентов ДСС, и защищаемыми информационными ресурсами (ЗИР) МИС должны осуществляться с использованием VPN-соединений.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15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Защита данных в рамках ДСС должна осуществляться на основе криптографических алгоритмов.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СКЗИ из состава клиента ДСС должно выполнять функции шифрования по алгоритму ГОСТ 28147-89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bCs/>
                <w:sz w:val="18"/>
                <w:szCs w:val="18"/>
              </w:rPr>
              <w:t>Требования к аппаратным средствам: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1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Интерфейс передачи данных – USB, спецификация 2.0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18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Тип разъема USB – тип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А</w:t>
            </w:r>
            <w:proofErr w:type="gram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(4х12 мм)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19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45" w:rsidRPr="00B725A5" w:rsidRDefault="00821645" w:rsidP="00246F8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Размер корпуса носителя (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ВхШхГ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) не более, 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80х30х10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45" w:rsidRDefault="00821645" w:rsidP="00246F83">
            <w:pPr>
              <w:jc w:val="center"/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80х30х10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45" w:rsidRPr="00B725A5" w:rsidRDefault="00821645" w:rsidP="00246F8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Объем памяти не менее, Гб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 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4 Гб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Время загрузки ОС до установки защищенного доверенного соединения при характеристиках АРМ не хуже: 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•Поддержка загрузки по USB в режиме 2.0 * 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•Процессор с частотой не менее 800 МГц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•Не менее 512 Мб оперативной памяти 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•Клавиатура, мышь (USB, PS/2)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•Видеокарта и монитор, с разрешением не менее 800x600 точек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не более, с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100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50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sz w:val="18"/>
                <w:szCs w:val="18"/>
              </w:rPr>
              <w:t>Требования к системам и компонентам: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</w:tr>
      <w:tr w:rsidR="00821645" w:rsidRPr="00B90FD6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Веб-браузер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с поддержкой: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поддержка стандарта HTML5;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- поддержка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Java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- поддержка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JavaScript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- поддержка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Java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applets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- поддержка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cookies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Предустановленный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плагин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для работы с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Microsoft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Silverlight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(или его эквивалентом)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Предустановленный клиент для подключения к терминальному серверу по протоколу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Remote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Desktop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Protocol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версии не ниже 6.1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25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Предустановленный</w:t>
            </w:r>
            <w:proofErr w:type="gram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плагин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для просмотра потокового видео в формате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Flash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Video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2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Предустановленная программа для просмотра файлов формата PDF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27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Предустановленная программа для просмотра и редактирования файлов текстовых документов и электронных таблиц в формате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Open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Document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28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Предустановленный архиватор с поддержкой форматов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rar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zip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tar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arj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90FD6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29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Предустановленное средство просмотра графических файлов форматов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jpg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jpeg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gif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png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tiff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bmp</w:t>
            </w:r>
            <w:proofErr w:type="spell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90FD6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Предустановленное средство просмотра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видеофайлов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форматов AVI, MP4, WMV, FLV, MKV,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Xvid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, MOV, MPEG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90FD6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Предустановленный клиент </w:t>
            </w: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VPN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обеспечивающий: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инкапсуляцию любого IP-трафика приложений в IP#241 и UDP;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шифрование по ГОСТ 28147-89;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- аутентификацию для каждого зашифрованного IP-пакета на основе технологии симметричного распределения ключей и уникального идентификатора.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Обеспечение целостности системного и функционального программного обеспечения, размещаемого на клиенте ДСС. Под функциональным программным обеспечением понимается программное обеспечение, перечисленное в пунктах </w:t>
            </w:r>
            <w:r w:rsidRPr="00B725A5">
              <w:rPr>
                <w:rFonts w:ascii="Courier New" w:hAnsi="Courier New" w:cs="Courier New"/>
                <w:b/>
                <w:sz w:val="18"/>
                <w:szCs w:val="18"/>
              </w:rPr>
              <w:t>22-31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настоящих сведений о функциональных характеристиках (потребительских свойствах) и качественных характеристиках товара.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Обеспечение контроля печати на сетевых и локальных принтерах с протоколированием вывода документов на печать и маркировкой с настраиваемыми параметрами полей штампа документов. При этом контролироваться должна печать из любого приложения, предполагающего вывод на печать.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34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Обеспечение возможности взаимодействия со считывателем смарт-карт или сканером через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java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appl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35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trike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предустановленных драйверов для работы оборудования, имеющегося у Заказчика.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36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341DB9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341DB9">
              <w:rPr>
                <w:rFonts w:ascii="Courier New" w:hAnsi="Courier New" w:cs="Courier New"/>
                <w:sz w:val="18"/>
                <w:szCs w:val="18"/>
              </w:rPr>
              <w:t>Обновление драйверов оборудования должно производиться с использованием центра обновления программного обеспечения клиента ДСС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37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341DB9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341DB9">
              <w:rPr>
                <w:rFonts w:ascii="Courier New" w:hAnsi="Courier New" w:cs="Courier New"/>
                <w:sz w:val="18"/>
                <w:szCs w:val="18"/>
              </w:rPr>
              <w:t>Обновление ключевой информации средств VPN должно производиться с использованием центра генерации и обновления ключевой информации клиента ДСС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D85F06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38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Обеспечение возможности «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апгрейда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>» клиента ДСС для обеспечения следующей функциональности: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•обеспечение изолированной программной среды для работы пользователя в сеансе связи с применением дискреционного и мандатного механизмов разграничения доступа. При этом атрибуты управления доступом должны обеспечивать описание непротиворечивых ПРД и правил изменения ПРД с использованием атрибутов чтения, записи, модификации, видимости объектов, контроля запуска задач и процессов и других;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•динамический контроль целостности исполняемых модулей (процессов). Этот контроль должен выполняться при каждом запуске контролируемого модуля, независимо от того, выполняется ли эта операция пользователем, или ОС;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•реализация механизма управления потоками информации, обработка информации определённого уровня конфиденциальности должна выполняться только с помощью выделенных модулей (процессов);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•обеспечение изоляции программных модулей 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(процессов);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•обеспечение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скорости шифрования/</w:t>
            </w:r>
            <w:proofErr w:type="spellStart"/>
            <w:r w:rsidRPr="00B725A5">
              <w:rPr>
                <w:rFonts w:ascii="Courier New" w:hAnsi="Courier New" w:cs="Courier New"/>
                <w:sz w:val="18"/>
                <w:szCs w:val="18"/>
              </w:rPr>
              <w:t>расшифрования</w:t>
            </w:r>
            <w:proofErr w:type="spellEnd"/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информации не менее: 10 Мб/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90FD6" w:rsidRDefault="00821645" w:rsidP="00246F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</w:t>
            </w:r>
            <w:r>
              <w:rPr>
                <w:rFonts w:ascii="Courier New" w:hAnsi="Courier New" w:cs="Courier New"/>
                <w:sz w:val="18"/>
                <w:szCs w:val="18"/>
              </w:rPr>
              <w:t>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i/>
                <w:sz w:val="18"/>
                <w:szCs w:val="18"/>
              </w:rPr>
              <w:lastRenderedPageBreak/>
              <w:t>Требования к комплектации поставляемого оборудования и программного обеспечения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39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Все поставляемое оборудование должно быть работоспособным и содержать все необходимые комплектующие для обеспечения этого требования.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Все лицензии на поставляемое программное обеспечение должны быть бессрочными, то есть не должны содержать ограничений по срокам на использование лицензиатом данных программных продуктов.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Все поставляемое оборудование должно быть обеспечено документацией.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Все предлагаемое к поставке оборудование должно быть новым и изготовленным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B725A5">
                <w:rPr>
                  <w:rFonts w:ascii="Courier New" w:hAnsi="Courier New" w:cs="Courier New"/>
                  <w:sz w:val="18"/>
                  <w:szCs w:val="18"/>
                </w:rPr>
                <w:t>2012 г</w:t>
              </w:r>
            </w:smartTag>
            <w:r w:rsidRPr="00B725A5">
              <w:rPr>
                <w:rFonts w:ascii="Courier New" w:hAnsi="Courier New" w:cs="Courier New"/>
                <w:sz w:val="18"/>
                <w:szCs w:val="18"/>
              </w:rPr>
              <w:t>., и иметь официальную гарантию производителя.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Качество оборудования должно соответствовать действующим государственным стандартам, техническим требованиям, паспортным данным, медико-биологическим и санитарным нормам, установленным в Российской Федерации.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i/>
                <w:sz w:val="18"/>
                <w:szCs w:val="18"/>
              </w:rPr>
              <w:t>Требования к эксплуатационным характеристикам оборудования</w:t>
            </w: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44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Шум, создаваемый от работы оборудования, не должен превышать санитарно-гигиенические нормы по данному виду оборудования.</w:t>
            </w:r>
          </w:p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Электромагнитные излучения при работе оборудования должны соответствовать санитарно-гигиеническим нормам.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trHeight w:val="25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b/>
                <w:i/>
                <w:sz w:val="18"/>
                <w:szCs w:val="18"/>
              </w:rPr>
              <w:t>Требования к гарантийному сопровождению</w:t>
            </w: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</w:p>
        </w:tc>
        <w:tc>
          <w:tcPr>
            <w:tcW w:w="1472" w:type="dxa"/>
          </w:tcPr>
          <w:p w:rsidR="00821645" w:rsidRPr="00B725A5" w:rsidRDefault="00821645" w:rsidP="00246F83">
            <w:pPr>
              <w:rPr>
                <w:rFonts w:ascii="Courier New" w:hAnsi="Courier New" w:cs="Courier New"/>
                <w:b/>
                <w:i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45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Срок предоставления гарантии качества производителя на поставляемое оборудование не менее, мес.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36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>
              <w:rPr>
                <w:rFonts w:ascii="Courier New" w:hAnsi="Courier New" w:cs="Courier New"/>
                <w:sz w:val="18"/>
                <w:szCs w:val="18"/>
              </w:rPr>
              <w:t>36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46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Сервисный центр на территории Российской Федерации (или созданный Поставщиком к началу срока исполнения гарантийных обязательств без дополнительных расходов Заказчика), обеспечивающий временные характеристики реакции, в случае наступления гарантийных случаев, указанных в пунктах 47-49 настоящих сведений о функциональных характеристиках (потребительских свойствах) и качественных характеристиках товара. </w:t>
            </w:r>
          </w:p>
          <w:p w:rsidR="00821645" w:rsidRPr="00B725A5" w:rsidRDefault="00821645" w:rsidP="00246F8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В случае если сервисный центр имеет фактическое местонахождение за пределами территории Пермского края, расходы на доставку оборудования от Заказчика в сервисный центр и обратно в течение срока предоставления гарантии качества несет Поставщик без дополнительных расходов Заказчика.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47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A0388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A03885">
              <w:rPr>
                <w:rFonts w:ascii="Courier New" w:hAnsi="Courier New" w:cs="Courier New"/>
                <w:sz w:val="18"/>
                <w:szCs w:val="18"/>
              </w:rPr>
              <w:t xml:space="preserve">Время реакции Исполнителя по замене неисправного оборудования, предоставленного в </w:t>
            </w:r>
            <w:proofErr w:type="gramStart"/>
            <w:r w:rsidRPr="00A03885">
              <w:rPr>
                <w:rFonts w:ascii="Courier New" w:hAnsi="Courier New" w:cs="Courier New"/>
                <w:sz w:val="18"/>
                <w:szCs w:val="18"/>
              </w:rPr>
              <w:t>сервисный</w:t>
            </w:r>
            <w:proofErr w:type="gramEnd"/>
            <w:r w:rsidRPr="00A03885">
              <w:rPr>
                <w:rFonts w:ascii="Courier New" w:hAnsi="Courier New" w:cs="Courier New"/>
                <w:sz w:val="18"/>
                <w:szCs w:val="18"/>
              </w:rPr>
              <w:t xml:space="preserve"> центр</w:t>
            </w:r>
            <w:r w:rsidRPr="00A03885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>5</w:t>
            </w:r>
            <w:r w:rsidRPr="00A03885">
              <w:rPr>
                <w:rFonts w:ascii="Courier New" w:hAnsi="Courier New" w:cs="Courier New"/>
                <w:sz w:val="18"/>
                <w:szCs w:val="18"/>
              </w:rPr>
              <w:t>, не более, ч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3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48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Время реакции Исполнителя по обновлению программного обеспечения клиентов ДСС</w:t>
            </w:r>
            <w:r w:rsidRPr="00B725A5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>5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должно составлять не более, 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49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Время реакции Исполнителя по обновлению ключевой информации клиентов </w:t>
            </w: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VPN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>, установленных на клиентах ДСС,</w:t>
            </w:r>
            <w:r w:rsidRPr="00B725A5">
              <w:rPr>
                <w:rFonts w:ascii="Courier New" w:hAnsi="Courier New" w:cs="Courier New"/>
                <w:sz w:val="18"/>
                <w:szCs w:val="18"/>
                <w:vertAlign w:val="superscript"/>
              </w:rPr>
              <w:t xml:space="preserve"> 5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 не более, </w:t>
            </w:r>
            <w:proofErr w:type="gramStart"/>
            <w:r w:rsidRPr="00B725A5">
              <w:rPr>
                <w:rFonts w:ascii="Courier New" w:hAnsi="Courier New" w:cs="Courier New"/>
                <w:sz w:val="18"/>
                <w:szCs w:val="18"/>
              </w:rPr>
              <w:t>ч</w:t>
            </w:r>
            <w:proofErr w:type="gramEnd"/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Default="00821645" w:rsidP="00246F83">
            <w:pPr>
              <w:jc w:val="center"/>
            </w:pPr>
            <w:r>
              <w:rPr>
                <w:rFonts w:ascii="Courier New" w:hAnsi="Courier New" w:cs="Courier New"/>
                <w:sz w:val="18"/>
                <w:szCs w:val="18"/>
              </w:rPr>
              <w:t>24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50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Обновление программного обеспечения клиентов ДСС производится централизовано, в сервисном центре, с использованием центра обновления программного обеспечения клиентов ДСС.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51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Сервисный центр обеспечивает  обновление программного обеспечения с учетом требований 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информационной безопасности: программно-аппаратное обеспечение целостности среды распространения обновлений с применением криптографических механизмов.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Наличие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Наличие 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lastRenderedPageBreak/>
              <w:t>52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Инициализация ключевой информации клиентов </w:t>
            </w: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VPN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производится централизовано, в сервисном центре, с использованием центра генерации и обновления ключевой информации клиента ДСС.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  <w:tr w:rsidR="00821645" w:rsidRPr="00B725A5" w:rsidTr="00246F83">
        <w:trPr>
          <w:gridAfter w:val="3"/>
          <w:wAfter w:w="4502" w:type="dxa"/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53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Сервисный центр обеспечивает генерацию и обновление ключевой информации клиентов </w:t>
            </w:r>
            <w:r w:rsidRPr="00B725A5">
              <w:rPr>
                <w:rFonts w:ascii="Courier New" w:hAnsi="Courier New" w:cs="Courier New"/>
                <w:sz w:val="18"/>
                <w:szCs w:val="18"/>
                <w:lang w:val="en-US"/>
              </w:rPr>
              <w:t>VPN</w:t>
            </w:r>
            <w:r w:rsidRPr="00B725A5">
              <w:rPr>
                <w:rFonts w:ascii="Courier New" w:hAnsi="Courier New" w:cs="Courier New"/>
                <w:sz w:val="18"/>
                <w:szCs w:val="18"/>
              </w:rPr>
              <w:t xml:space="preserve"> в соответствии с требованиями по информационной безопасности: программно-аппаратное обеспечение целостности среды генерации и распространения обновлений с применением криптографических механизмов.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645" w:rsidRPr="00B725A5" w:rsidRDefault="00821645" w:rsidP="00246F83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B725A5">
              <w:rPr>
                <w:rFonts w:ascii="Courier New" w:hAnsi="Courier New" w:cs="Courier New"/>
                <w:sz w:val="18"/>
                <w:szCs w:val="18"/>
              </w:rPr>
              <w:t>Наличие</w:t>
            </w:r>
          </w:p>
        </w:tc>
      </w:tr>
    </w:tbl>
    <w:p w:rsidR="00821645" w:rsidRDefault="00821645" w:rsidP="00821645"/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Примечания:</w:t>
      </w: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  <w:vertAlign w:val="superscript"/>
        </w:rPr>
        <w:t xml:space="preserve">1 </w:t>
      </w:r>
      <w:r>
        <w:rPr>
          <w:rFonts w:ascii="Courier New" w:hAnsi="Courier New" w:cs="Courier New"/>
          <w:sz w:val="18"/>
          <w:szCs w:val="18"/>
        </w:rPr>
        <w:t>Товарные знаки, указанные в Требованиях к Товару, указаны в целях обеспечения полной функциональной совместимости с системным и прикладным программным обеспечением, используемым Заказчиком. В случае</w:t>
      </w:r>
      <w:proofErr w:type="gramStart"/>
      <w:r>
        <w:rPr>
          <w:rFonts w:ascii="Courier New" w:hAnsi="Courier New" w:cs="Courier New"/>
          <w:sz w:val="18"/>
          <w:szCs w:val="18"/>
        </w:rPr>
        <w:t>,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если в документации об аукционе в электронной форме, в том числе в техническом задании содержатся указания на товарные знаки, товарный знак следует считать дополненным словами «или эквивалент/ информация о товаре российского происхождения отсутствует».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</w:p>
    <w:p w:rsidR="00EE200E" w:rsidRDefault="00EE200E" w:rsidP="00EE200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  <w:vertAlign w:val="superscript"/>
        </w:rPr>
        <w:t>2</w:t>
      </w:r>
      <w:r>
        <w:rPr>
          <w:rFonts w:ascii="Courier New" w:hAnsi="Courier New" w:cs="Courier New"/>
          <w:sz w:val="18"/>
          <w:szCs w:val="18"/>
        </w:rPr>
        <w:t xml:space="preserve"> Предоставление копии сертификата Заказчику при поставке Товара. </w:t>
      </w:r>
    </w:p>
    <w:p w:rsidR="00EE200E" w:rsidRDefault="00EE200E" w:rsidP="00EE200E">
      <w:pPr>
        <w:jc w:val="both"/>
        <w:rPr>
          <w:rFonts w:ascii="Courier New" w:hAnsi="Courier New" w:cs="Courier New"/>
          <w:sz w:val="18"/>
          <w:szCs w:val="18"/>
        </w:rPr>
      </w:pP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  <w:vertAlign w:val="superscript"/>
        </w:rPr>
        <w:t>3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Медицинская информационная система (МИС)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auto"/>
          <w:sz w:val="18"/>
          <w:szCs w:val="18"/>
        </w:rPr>
      </w:pPr>
      <w:r w:rsidRPr="00EE200E">
        <w:rPr>
          <w:rFonts w:ascii="Courier New" w:hAnsi="Courier New" w:cs="Courier New"/>
          <w:color w:val="auto"/>
          <w:sz w:val="18"/>
          <w:szCs w:val="18"/>
        </w:rPr>
        <w:t xml:space="preserve">Назначение МИС 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МИС обеспечивает выполнение следующих функций, позволяющих автоматизировать медико-статистическую и медико-экономическую учетно-отчетную деятельность медицинских учреждений (МУ) и аптечных учреждений (АУ), а также организацию и управление потоками пациентов при оказании плановой медицинской помощи населению: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сбор, хранение и обработка данных о медико-статистической и медико-экономической отчетной деятельности МУ;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формирование финансовых, отчетных и аналитических данных по результатам обработки информации о медико-статистической и медико-экономической учетной деятельности МУ;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организация, мониторинг и управление потоками пациентов при оказании плановой медицинской помощи населению;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ведение учета движения медикаментов (поставщик – аптека - пациент);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централизованное предоставление государственных услуг в здравоохранении населению и организациям через единый портал;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автоматизации процесса сбора, хранения и анализа данных о случаях оказания медицинской помощи гражданам;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– формирование и поддержка </w:t>
      </w:r>
      <w:proofErr w:type="gramStart"/>
      <w:r>
        <w:rPr>
          <w:rFonts w:ascii="Courier New" w:hAnsi="Courier New" w:cs="Courier New"/>
          <w:sz w:val="18"/>
          <w:szCs w:val="18"/>
        </w:rPr>
        <w:t>актуальности единого банка данных случаев оказания медицинской помощи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паспортов МУ;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ведение единой электронной медицинской карты гражданина;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ведение специализированных регистров по заболеваниям и карт диспансерного наблюдения;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автоматизация учетной и отчетной медицинской деятельности МУ, муниципалитета, региона;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поддержка системы финансирования МУ в системе ОМС региона за фактически оказанную медицинскую помощь на основании персонифицированных реестров;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поддержка информационного обмена в системе обеспечения необходимыми лекарственными средствами за счет федерального и регионального бюджетов;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учет движения медикаментов в системе здравоохранения региона, в т.ч. в системе ОНЛС (ДЛО);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организация, мониторинг и управление потоками пациентов при оказании плановой и экстренной медицинской помощи населению;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– мониторинг деятельности здравоохранения и состояния здоровья граждан; 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– автоматизированный контроль качества и доступности оказания медицинской помощи; 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– централизованное предоставление государственных услуг в здравоохранении населению и организациям по принципу «единого окна»;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обмен информацией с другими информационными системами.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Функциональные компоненты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МИС включает в себя следующие подсистемы: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«Территориальный орган управления здравоохранением»;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«Медицинский информационно-аналитический центр»;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«Амбулаторно-поликлинические отделения МУ»;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«Стационарные отделения МУ»;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</w:t>
      </w:r>
      <w:proofErr w:type="spellStart"/>
      <w:r>
        <w:rPr>
          <w:rFonts w:ascii="Courier New" w:hAnsi="Courier New" w:cs="Courier New"/>
          <w:sz w:val="18"/>
          <w:szCs w:val="18"/>
        </w:rPr>
        <w:t>Параклинические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отделения МУ»;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«Функциональная диагностика»;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«Лабораторная информационная система»;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«Патологоанатомические бюро»;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«Аптечные учреждения региона»;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«Региональный аптечный склад»;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«Электронная регистратура»;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«Запись на прием»;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«Станция скорой медицинской помощи»;</w:t>
      </w:r>
    </w:p>
    <w:p w:rsidR="00EE200E" w:rsidRDefault="00EE200E" w:rsidP="00EE200E">
      <w:pPr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– функциональная компонента «Пищеблок».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Состав МИС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Программное обеспечение Медицинской информационной системы является </w:t>
      </w:r>
      <w:proofErr w:type="spellStart"/>
      <w:r>
        <w:rPr>
          <w:rFonts w:ascii="Courier New" w:hAnsi="Courier New" w:cs="Courier New"/>
          <w:sz w:val="18"/>
          <w:szCs w:val="18"/>
        </w:rPr>
        <w:t>веб-приложением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состоящим из клиентской и серверной частей. </w:t>
      </w:r>
      <w:proofErr w:type="gramEnd"/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Клиентская часть реализует пользовательский интерфейс, формирует запросы к серверу и обрабатывает ответы от него. Для реализации пользовательского интерфейса используется язык разметки </w:t>
      </w:r>
      <w:r>
        <w:rPr>
          <w:rFonts w:ascii="Courier New" w:hAnsi="Courier New" w:cs="Courier New"/>
          <w:sz w:val="18"/>
          <w:szCs w:val="18"/>
          <w:lang w:val="en-US"/>
        </w:rPr>
        <w:t>HTML</w:t>
      </w:r>
      <w:r>
        <w:rPr>
          <w:rFonts w:ascii="Courier New" w:hAnsi="Courier New" w:cs="Courier New"/>
          <w:sz w:val="18"/>
          <w:szCs w:val="18"/>
        </w:rPr>
        <w:t xml:space="preserve"> с использованием подхода </w:t>
      </w:r>
      <w:r>
        <w:rPr>
          <w:rFonts w:ascii="Courier New" w:hAnsi="Courier New" w:cs="Courier New"/>
          <w:sz w:val="18"/>
          <w:szCs w:val="18"/>
          <w:lang w:val="en-US"/>
        </w:rPr>
        <w:t>AJAX</w:t>
      </w:r>
      <w:r>
        <w:rPr>
          <w:rFonts w:ascii="Courier New" w:hAnsi="Courier New" w:cs="Courier New"/>
          <w:sz w:val="18"/>
          <w:szCs w:val="18"/>
        </w:rPr>
        <w:t xml:space="preserve">. Для взаимодействия с различными устройствами ввода информации (сканер штрих-кода, </w:t>
      </w:r>
      <w:proofErr w:type="spellStart"/>
      <w:r>
        <w:rPr>
          <w:rFonts w:ascii="Courier New" w:hAnsi="Courier New" w:cs="Courier New"/>
          <w:sz w:val="18"/>
          <w:szCs w:val="18"/>
        </w:rPr>
        <w:t>кардридер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т.п.) используется язык </w:t>
      </w:r>
      <w:r>
        <w:rPr>
          <w:rFonts w:ascii="Courier New" w:hAnsi="Courier New" w:cs="Courier New"/>
          <w:sz w:val="18"/>
          <w:szCs w:val="18"/>
          <w:lang w:val="en-US"/>
        </w:rPr>
        <w:t>Java</w:t>
      </w:r>
      <w:r>
        <w:rPr>
          <w:rFonts w:ascii="Courier New" w:hAnsi="Courier New" w:cs="Courier New"/>
          <w:sz w:val="18"/>
          <w:szCs w:val="18"/>
        </w:rPr>
        <w:t xml:space="preserve">. Работа пользователя в системе происходит с помощью </w:t>
      </w:r>
      <w:proofErr w:type="spellStart"/>
      <w:r>
        <w:rPr>
          <w:rFonts w:ascii="Courier New" w:hAnsi="Courier New" w:cs="Courier New"/>
          <w:sz w:val="18"/>
          <w:szCs w:val="18"/>
        </w:rPr>
        <w:t>веб-браузера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поддерживающего стандарт </w:t>
      </w:r>
      <w:r>
        <w:rPr>
          <w:rFonts w:ascii="Courier New" w:hAnsi="Courier New" w:cs="Courier New"/>
          <w:sz w:val="18"/>
          <w:szCs w:val="18"/>
          <w:lang w:val="en-US"/>
        </w:rPr>
        <w:t>HTML</w:t>
      </w:r>
      <w:r>
        <w:rPr>
          <w:rFonts w:ascii="Courier New" w:hAnsi="Courier New" w:cs="Courier New"/>
          <w:sz w:val="18"/>
          <w:szCs w:val="18"/>
        </w:rPr>
        <w:t>5.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информационной системе существуют два типа рабочих мест: рабочие места сотрудников медицинских организаций, имеющих доступ к защищаемой информации, и рабочие места пользователей интернет, которые осуществляют самостоятельную запись к врачу без доступа к защищаемой информации.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Серверная часть состоит из сервера авторизации,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веб-сервера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сервера баз данных.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Сервер авторизации основан на протоколе </w:t>
      </w:r>
      <w:r>
        <w:rPr>
          <w:rFonts w:ascii="Courier New" w:hAnsi="Courier New" w:cs="Courier New"/>
          <w:sz w:val="18"/>
          <w:szCs w:val="18"/>
          <w:lang w:val="en-US"/>
        </w:rPr>
        <w:t>LDAP</w:t>
      </w:r>
      <w:r>
        <w:rPr>
          <w:rFonts w:ascii="Courier New" w:hAnsi="Courier New" w:cs="Courier New"/>
          <w:sz w:val="18"/>
          <w:szCs w:val="18"/>
        </w:rPr>
        <w:t>.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Веб-сервер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принимает запросы от клиентской части и формирует ответы на них по протоколу </w:t>
      </w:r>
      <w:r>
        <w:rPr>
          <w:rFonts w:ascii="Courier New" w:hAnsi="Courier New" w:cs="Courier New"/>
          <w:sz w:val="18"/>
          <w:szCs w:val="18"/>
          <w:lang w:val="en-US"/>
        </w:rPr>
        <w:t>HTTP</w:t>
      </w:r>
      <w:r>
        <w:rPr>
          <w:rFonts w:ascii="Courier New" w:hAnsi="Courier New" w:cs="Courier New"/>
          <w:sz w:val="18"/>
          <w:szCs w:val="18"/>
        </w:rPr>
        <w:t xml:space="preserve">. В системе используется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веб-сервер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 интерпретатором </w:t>
      </w:r>
      <w:r>
        <w:rPr>
          <w:rFonts w:ascii="Courier New" w:hAnsi="Courier New" w:cs="Courier New"/>
          <w:sz w:val="18"/>
          <w:szCs w:val="18"/>
          <w:lang w:val="en-US"/>
        </w:rPr>
        <w:t>PHP</w:t>
      </w:r>
      <w:r>
        <w:rPr>
          <w:rFonts w:ascii="Courier New" w:hAnsi="Courier New" w:cs="Courier New"/>
          <w:sz w:val="18"/>
          <w:szCs w:val="18"/>
        </w:rPr>
        <w:t>.</w:t>
      </w:r>
    </w:p>
    <w:p w:rsidR="00EE200E" w:rsidRDefault="00EE200E" w:rsidP="00EE200E">
      <w:pPr>
        <w:ind w:firstLine="567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Хранение информации на сервере баз данных осуществляется с помощью реляционной СУБД.</w:t>
      </w: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Специальное оборудование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К МИС возможно подключение диагностического медицинского оборудования.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Виды оборудования и способы подключения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Медицинские лабораторные анализаторы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Гематологические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Биохимические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Мочевые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Иммунологические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</w:t>
      </w:r>
      <w:proofErr w:type="spellStart"/>
      <w:r>
        <w:rPr>
          <w:rFonts w:ascii="Courier New" w:hAnsi="Courier New" w:cs="Courier New"/>
          <w:sz w:val="18"/>
          <w:szCs w:val="18"/>
        </w:rPr>
        <w:t>ИФА-ридеры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</w:t>
      </w:r>
      <w:proofErr w:type="spellStart"/>
      <w:r>
        <w:rPr>
          <w:rFonts w:ascii="Courier New" w:hAnsi="Courier New" w:cs="Courier New"/>
          <w:sz w:val="18"/>
          <w:szCs w:val="18"/>
        </w:rPr>
        <w:t>Коагулометры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Газы крови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</w:t>
      </w:r>
      <w:proofErr w:type="spellStart"/>
      <w:r>
        <w:rPr>
          <w:rFonts w:ascii="Courier New" w:hAnsi="Courier New" w:cs="Courier New"/>
          <w:sz w:val="18"/>
          <w:szCs w:val="18"/>
        </w:rPr>
        <w:t>Аллергологические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</w:t>
      </w:r>
      <w:proofErr w:type="spellStart"/>
      <w:r>
        <w:rPr>
          <w:rFonts w:ascii="Courier New" w:hAnsi="Courier New" w:cs="Courier New"/>
          <w:sz w:val="18"/>
          <w:szCs w:val="18"/>
        </w:rPr>
        <w:t>Real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Time</w:t>
      </w:r>
      <w:proofErr w:type="spellEnd"/>
      <w:r>
        <w:rPr>
          <w:rFonts w:ascii="Courier New" w:hAnsi="Courier New" w:cs="Courier New"/>
          <w:sz w:val="18"/>
          <w:szCs w:val="18"/>
        </w:rPr>
        <w:t> ПЦР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 Бактериологические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Подключение анализаторов происходит с помощью специального ПО, идущего в комплекте с анализатором (драйвера) по протоколу </w:t>
      </w:r>
      <w:r>
        <w:rPr>
          <w:rFonts w:ascii="Courier New" w:hAnsi="Courier New" w:cs="Courier New"/>
          <w:sz w:val="18"/>
          <w:szCs w:val="18"/>
          <w:lang w:val="en-US"/>
        </w:rPr>
        <w:t>TCP</w:t>
      </w:r>
      <w:r>
        <w:rPr>
          <w:rFonts w:ascii="Courier New" w:hAnsi="Courier New" w:cs="Courier New"/>
          <w:sz w:val="18"/>
          <w:szCs w:val="18"/>
        </w:rPr>
        <w:t>/</w:t>
      </w:r>
      <w:r>
        <w:rPr>
          <w:rFonts w:ascii="Courier New" w:hAnsi="Courier New" w:cs="Courier New"/>
          <w:sz w:val="18"/>
          <w:szCs w:val="18"/>
          <w:lang w:val="en-US"/>
        </w:rPr>
        <w:t>IP</w:t>
      </w:r>
      <w:r>
        <w:rPr>
          <w:rFonts w:ascii="Courier New" w:hAnsi="Courier New" w:cs="Courier New"/>
          <w:sz w:val="18"/>
          <w:szCs w:val="18"/>
        </w:rPr>
        <w:t>.</w:t>
      </w:r>
      <w:proofErr w:type="gramEnd"/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Медицинское диагностическое оборудование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Цифровые </w:t>
      </w:r>
      <w:proofErr w:type="spellStart"/>
      <w:r>
        <w:rPr>
          <w:rFonts w:ascii="Courier New" w:hAnsi="Courier New" w:cs="Courier New"/>
          <w:sz w:val="18"/>
          <w:szCs w:val="18"/>
        </w:rPr>
        <w:t>рентгенографы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Компьютерные </w:t>
      </w:r>
      <w:proofErr w:type="spellStart"/>
      <w:r>
        <w:rPr>
          <w:rFonts w:ascii="Courier New" w:hAnsi="Courier New" w:cs="Courier New"/>
          <w:sz w:val="18"/>
          <w:szCs w:val="18"/>
        </w:rPr>
        <w:t>рентгенографы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</w:t>
      </w:r>
      <w:proofErr w:type="spellStart"/>
      <w:r>
        <w:rPr>
          <w:rFonts w:ascii="Courier New" w:hAnsi="Courier New" w:cs="Courier New"/>
          <w:sz w:val="18"/>
          <w:szCs w:val="18"/>
        </w:rPr>
        <w:t>Ангиографы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Компьютерные томографы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Ядерно-магнитные томографы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</w:t>
      </w:r>
      <w:proofErr w:type="spellStart"/>
      <w:r>
        <w:rPr>
          <w:rFonts w:ascii="Courier New" w:hAnsi="Courier New" w:cs="Courier New"/>
          <w:sz w:val="18"/>
          <w:szCs w:val="18"/>
        </w:rPr>
        <w:t>Позитронно-эмиссионные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томографы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</w:t>
      </w:r>
      <w:proofErr w:type="spellStart"/>
      <w:r>
        <w:rPr>
          <w:rFonts w:ascii="Courier New" w:hAnsi="Courier New" w:cs="Courier New"/>
          <w:sz w:val="18"/>
          <w:szCs w:val="18"/>
        </w:rPr>
        <w:t>Маммографы</w:t>
      </w:r>
      <w:proofErr w:type="spellEnd"/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Аппараты ультразвуковой диагностики</w:t>
      </w:r>
    </w:p>
    <w:p w:rsidR="00EE200E" w:rsidRDefault="00EE200E" w:rsidP="00EE200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- Эндоскопы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Подключение оборудования этого класса происходит по протоколу DICOM </w:t>
      </w:r>
      <w:proofErr w:type="spellStart"/>
      <w:r>
        <w:rPr>
          <w:rFonts w:ascii="Courier New" w:hAnsi="Courier New" w:cs="Courier New"/>
          <w:sz w:val="18"/>
          <w:szCs w:val="18"/>
        </w:rPr>
        <w:t>Network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Protocol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Смежные системы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Системы федерального уровня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МИС взаимодействует с Единой государственной информационной системой в сфере здравоохранения (ЕГИСЗ) по следующим сервисам: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Интегрированная электронная медицинская карта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Взаимодействие с помощью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веб-сервиса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паспортные данные граждан, данные о случаях оказания медицинской помощи, диагнозы, оказанные услуги, лекарственные назначения, медицинские записи.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proofErr w:type="gramStart"/>
      <w:r>
        <w:rPr>
          <w:rFonts w:ascii="Courier New" w:hAnsi="Courier New" w:cs="Courier New"/>
          <w:b w:val="0"/>
          <w:sz w:val="18"/>
          <w:szCs w:val="18"/>
        </w:rPr>
        <w:t>Электронная</w:t>
      </w:r>
      <w:proofErr w:type="gramEnd"/>
      <w:r>
        <w:rPr>
          <w:rFonts w:ascii="Courier New" w:hAnsi="Courier New" w:cs="Courier New"/>
          <w:b w:val="0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 w:val="0"/>
          <w:sz w:val="18"/>
          <w:szCs w:val="18"/>
        </w:rPr>
        <w:t>самозапись</w:t>
      </w:r>
      <w:proofErr w:type="spellEnd"/>
      <w:r>
        <w:rPr>
          <w:rFonts w:ascii="Courier New" w:hAnsi="Courier New" w:cs="Courier New"/>
          <w:b w:val="0"/>
          <w:sz w:val="18"/>
          <w:szCs w:val="18"/>
        </w:rPr>
        <w:t xml:space="preserve"> и направление на прием к врачу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данные о МУ, профилях оказания медицинской помощи, расписание приема врачей и оказания медицинских услуг, записанных гражданах.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Ведение нормативно-справочной информации, единая аналитическая система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ведомственные справочники и классификаторы.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Управленческий учет административно-хозяйственной деятельности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паспорт МУ, регистр врачей и медицинского персонала, кадровый учет, штатное расписание, регистр медицинской техники и медицинского оборудования, финансовые отчеты.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Системы регионального уровня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Прикрепление граждан к амбулаторно-поликлиническим учреждениям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Территориальный фонд обязательного медицинского страхования (ТФОМС).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МИС.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прикрепление граждан к амбулаторно-поликлиническим учреждениям.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Единый регистр застрахованных граждан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Территориальный фонд обязательного медицинского страхования.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ТФОМС.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данные о страховании граждан в страховых медицинских организациях в системе ОМС.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Реестр случаев оказания медицинской помощи на оплату в системе ОМС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Территориальный фонд обязательного медицинского страхования.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ТФОМС.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данные о страховании граждан в страховых медицинских организациях в системе ОМС.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Электронная запись на прием к врачу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Администрация Пермского края, региональная часть портала </w:t>
      </w:r>
      <w:proofErr w:type="spellStart"/>
      <w:r>
        <w:rPr>
          <w:rFonts w:ascii="Courier New" w:hAnsi="Courier New" w:cs="Courier New"/>
          <w:sz w:val="18"/>
          <w:szCs w:val="18"/>
          <w:lang w:val="en-US"/>
        </w:rPr>
        <w:t>gosuslugi</w:t>
      </w:r>
      <w:proofErr w:type="spellEnd"/>
      <w:r>
        <w:rPr>
          <w:rFonts w:ascii="Courier New" w:hAnsi="Courier New" w:cs="Courier New"/>
          <w:sz w:val="18"/>
          <w:szCs w:val="18"/>
        </w:rPr>
        <w:t>.</w:t>
      </w:r>
      <w:proofErr w:type="spellStart"/>
      <w:r>
        <w:rPr>
          <w:rFonts w:ascii="Courier New" w:hAnsi="Courier New" w:cs="Courier New"/>
          <w:sz w:val="18"/>
          <w:szCs w:val="18"/>
          <w:lang w:val="en-US"/>
        </w:rPr>
        <w:t>ru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МИС.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данные о МУ, профилях оказания медицинской помощи, расписание приема врачей и оказания медицинских услуг, записанных гражданах.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lastRenderedPageBreak/>
        <w:t>Смежные функциональные системы</w:t>
      </w:r>
    </w:p>
    <w:p w:rsidR="00EE200E" w:rsidRDefault="00EE200E" w:rsidP="00EE200E">
      <w:pPr>
        <w:pStyle w:val="4"/>
        <w:numPr>
          <w:ilvl w:val="0"/>
          <w:numId w:val="0"/>
        </w:numPr>
        <w:tabs>
          <w:tab w:val="num" w:pos="1560"/>
        </w:tabs>
        <w:spacing w:before="240" w:after="60" w:line="360" w:lineRule="auto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Скорая медицинская помощь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Организация: Станция скорой медицинской помощи. </w:t>
      </w:r>
      <w:proofErr w:type="spellStart"/>
      <w:r>
        <w:rPr>
          <w:rFonts w:ascii="Courier New" w:hAnsi="Courier New" w:cs="Courier New"/>
          <w:sz w:val="18"/>
          <w:szCs w:val="18"/>
        </w:rPr>
        <w:t>Веб-сервис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находится на стороне МИС.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Состав передаваемых данных: информация о выездах бригад скорой медицинской помощи, паспортные данные граждан, диагнозы.</w:t>
      </w: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bCs/>
          <w:sz w:val="18"/>
          <w:szCs w:val="18"/>
          <w:vertAlign w:val="superscript"/>
        </w:rPr>
      </w:pPr>
    </w:p>
    <w:p w:rsidR="00EE200E" w:rsidRDefault="00EE200E" w:rsidP="00EE200E">
      <w:pPr>
        <w:pStyle w:val="2"/>
        <w:keepLines w:val="0"/>
        <w:numPr>
          <w:ilvl w:val="0"/>
          <w:numId w:val="0"/>
        </w:numPr>
        <w:tabs>
          <w:tab w:val="left" w:pos="708"/>
        </w:tabs>
        <w:overflowPunct/>
        <w:autoSpaceDE/>
        <w:adjustRightInd/>
        <w:spacing w:before="120" w:after="120" w:line="240" w:lineRule="auto"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  <w:vertAlign w:val="superscript"/>
        </w:rPr>
        <w:t>4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Центр обработки данных (ЦОД)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Обработка данных медицинской информационной системы (МИС) построена на использовании центра обработки данных (ЦОД) общего назначения и включает в себя следующие типовые компоненты со следующими характеристиками.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Состав оборудования</w:t>
      </w:r>
    </w:p>
    <w:p w:rsidR="00EE200E" w:rsidRDefault="00EE200E" w:rsidP="00EE200E">
      <w:pPr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Медицинская информационная система функционирует на следующем оборудовании:</w:t>
      </w:r>
    </w:p>
    <w:p w:rsidR="00EE200E" w:rsidRDefault="00EE200E" w:rsidP="00EE200E">
      <w:pPr>
        <w:numPr>
          <w:ilvl w:val="0"/>
          <w:numId w:val="2"/>
        </w:numPr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Серверы баз данных;</w:t>
      </w:r>
    </w:p>
    <w:p w:rsidR="00EE200E" w:rsidRDefault="00EE200E" w:rsidP="00EE200E">
      <w:pPr>
        <w:numPr>
          <w:ilvl w:val="0"/>
          <w:numId w:val="2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Дисковые массивы;</w:t>
      </w:r>
    </w:p>
    <w:p w:rsidR="00EE200E" w:rsidRDefault="00EE200E" w:rsidP="00EE200E">
      <w:pPr>
        <w:numPr>
          <w:ilvl w:val="0"/>
          <w:numId w:val="2"/>
        </w:num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  <w:lang w:val="en-US"/>
        </w:rPr>
        <w:t>Web</w:t>
      </w:r>
      <w:r>
        <w:rPr>
          <w:rFonts w:ascii="Courier New" w:hAnsi="Courier New" w:cs="Courier New"/>
          <w:sz w:val="18"/>
          <w:szCs w:val="18"/>
        </w:rPr>
        <w:t>-серверы;</w:t>
      </w:r>
    </w:p>
    <w:p w:rsidR="00EE200E" w:rsidRDefault="00EE200E" w:rsidP="00EE200E">
      <w:pPr>
        <w:numPr>
          <w:ilvl w:val="0"/>
          <w:numId w:val="2"/>
        </w:numPr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Контроллер домена;</w:t>
      </w:r>
    </w:p>
    <w:p w:rsidR="00EE200E" w:rsidRDefault="00EE200E" w:rsidP="00EE200E">
      <w:pPr>
        <w:numPr>
          <w:ilvl w:val="0"/>
          <w:numId w:val="2"/>
        </w:numPr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Персональные компьютеры, включая станцию администратора безопасности.</w:t>
      </w:r>
    </w:p>
    <w:p w:rsidR="00EE200E" w:rsidRPr="00EE200E" w:rsidRDefault="00EE200E" w:rsidP="00EE200E">
      <w:pPr>
        <w:pStyle w:val="3"/>
        <w:tabs>
          <w:tab w:val="num" w:pos="900"/>
        </w:tabs>
        <w:spacing w:before="120" w:after="120"/>
        <w:jc w:val="both"/>
        <w:rPr>
          <w:rFonts w:ascii="Courier New" w:hAnsi="Courier New" w:cs="Courier New"/>
          <w:color w:val="000000" w:themeColor="text1"/>
          <w:sz w:val="18"/>
          <w:szCs w:val="18"/>
        </w:rPr>
      </w:pPr>
      <w:r w:rsidRPr="00EE200E">
        <w:rPr>
          <w:rFonts w:ascii="Courier New" w:hAnsi="Courier New" w:cs="Courier New"/>
          <w:color w:val="000000" w:themeColor="text1"/>
          <w:sz w:val="18"/>
          <w:szCs w:val="18"/>
        </w:rPr>
        <w:t>Средства обеспечения информационной безопасности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На основании категории и объема обрабатываемых персональных данных, учитывая классификацию МИС как </w:t>
      </w:r>
      <w:proofErr w:type="spellStart"/>
      <w:r>
        <w:rPr>
          <w:rFonts w:ascii="Courier New" w:hAnsi="Courier New" w:cs="Courier New"/>
          <w:sz w:val="18"/>
          <w:szCs w:val="18"/>
        </w:rPr>
        <w:t>ИСПДн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класса К</w:t>
      </w:r>
      <w:proofErr w:type="gramStart"/>
      <w:r>
        <w:rPr>
          <w:rFonts w:ascii="Courier New" w:hAnsi="Courier New" w:cs="Courier New"/>
          <w:sz w:val="18"/>
          <w:szCs w:val="18"/>
        </w:rPr>
        <w:t>1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, в ЦОД используются средства информационной безопасности в соответствии с нормативно-правовыми документами ФСТЭК и </w:t>
      </w:r>
      <w:proofErr w:type="spellStart"/>
      <w:r>
        <w:rPr>
          <w:rFonts w:ascii="Courier New" w:hAnsi="Courier New" w:cs="Courier New"/>
          <w:sz w:val="18"/>
          <w:szCs w:val="18"/>
        </w:rPr>
        <w:t>Минздравсоцразвития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РФ.</w:t>
      </w:r>
    </w:p>
    <w:p w:rsidR="00EE200E" w:rsidRDefault="00EE200E" w:rsidP="00EE200E">
      <w:pPr>
        <w:rPr>
          <w:rFonts w:ascii="Courier New" w:hAnsi="Courier New" w:cs="Courier New"/>
          <w:sz w:val="18"/>
          <w:szCs w:val="18"/>
        </w:rPr>
      </w:pPr>
    </w:p>
    <w:p w:rsidR="00EE200E" w:rsidRDefault="00EE200E" w:rsidP="00EE200E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  <w:vertAlign w:val="superscript"/>
        </w:rPr>
        <w:t>5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П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од временем реакции понимается промежуток времени с момента информирования Исполнителя (любым способом документированной связи по реквизитам, указанным в контракте) о наступлении гарантийного случая до момента передачи исправного оборудования Заказчику. При этом обновление по инициативе Заказчика программного обеспечения поставленных клиентов ДСС и/или изменение ключевой информации установленных на них клиентов </w:t>
      </w:r>
      <w:r>
        <w:rPr>
          <w:rFonts w:ascii="Courier New" w:hAnsi="Courier New" w:cs="Courier New"/>
          <w:sz w:val="18"/>
          <w:szCs w:val="18"/>
          <w:lang w:val="en-US"/>
        </w:rPr>
        <w:t>VPN</w:t>
      </w:r>
      <w:r>
        <w:rPr>
          <w:rFonts w:ascii="Courier New" w:hAnsi="Courier New" w:cs="Courier New"/>
          <w:sz w:val="18"/>
          <w:szCs w:val="18"/>
        </w:rPr>
        <w:t xml:space="preserve"> допускается не более 3-х (трех) раз за период гарантийного сопровождения.</w:t>
      </w:r>
    </w:p>
    <w:p w:rsidR="00821645" w:rsidRDefault="00821645"/>
    <w:sectPr w:rsidR="00821645" w:rsidSect="00FF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66BBE"/>
    <w:multiLevelType w:val="hybridMultilevel"/>
    <w:tmpl w:val="5016B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1645"/>
    <w:rsid w:val="00140E53"/>
    <w:rsid w:val="00224A31"/>
    <w:rsid w:val="003B2075"/>
    <w:rsid w:val="0066208B"/>
    <w:rsid w:val="0067687A"/>
    <w:rsid w:val="00746780"/>
    <w:rsid w:val="00821645"/>
    <w:rsid w:val="008229DD"/>
    <w:rsid w:val="00EE200E"/>
    <w:rsid w:val="00FF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6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21645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aliases w:val="Знак"/>
    <w:basedOn w:val="a"/>
    <w:next w:val="a"/>
    <w:link w:val="20"/>
    <w:semiHidden/>
    <w:unhideWhenUsed/>
    <w:qFormat/>
    <w:rsid w:val="00821645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0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821645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semiHidden/>
    <w:unhideWhenUsed/>
    <w:qFormat/>
    <w:rsid w:val="00821645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1645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aliases w:val="Знак Знак"/>
    <w:basedOn w:val="a0"/>
    <w:link w:val="2"/>
    <w:semiHidden/>
    <w:rsid w:val="0082164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21645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2164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20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6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3221</Words>
  <Characters>18366</Characters>
  <Application>Microsoft Office Word</Application>
  <DocSecurity>0</DocSecurity>
  <Lines>153</Lines>
  <Paragraphs>43</Paragraphs>
  <ScaleCrop>false</ScaleCrop>
  <Company/>
  <LinksUpToDate>false</LinksUpToDate>
  <CharactersWithSpaces>21544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экон-1-2</dc:creator>
  <cp:lastModifiedBy>экон-1-2</cp:lastModifiedBy>
  <cp:revision>7</cp:revision>
  <dcterms:created xsi:type="dcterms:W3CDTF">2013-05-27T03:12:00Z</dcterms:created>
  <dcterms:modified xsi:type="dcterms:W3CDTF">2013-05-31T12:19:00Z</dcterms:modified>
</cp:coreProperties>
</file>