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005841D5">
        <w:rPr>
          <w:rFonts w:cs="Times New Roman"/>
        </w:rPr>
        <w:t>«Благоустройство Орджоникидзевского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005841D5">
        <w:rPr>
          <w:rFonts w:ascii="Times New Roman CYR" w:hAnsi="Times New Roman CYR" w:cs="Times New Roman CYR"/>
        </w:rPr>
        <w:t xml:space="preserve">в лице директора учреждения Карабатова </w:t>
      </w:r>
      <w:r w:rsidR="005841D5" w:rsidRPr="005841D5">
        <w:rPr>
          <w:rFonts w:ascii="Times New Roman CYR" w:hAnsi="Times New Roman CYR" w:cs="Times New Roman CYR"/>
        </w:rPr>
        <w:t>Евгения Вячеславовича</w:t>
      </w:r>
      <w:r w:rsidRPr="00B31067">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r w:rsidR="00BD47B5">
        <w:t>при</w:t>
      </w:r>
      <w:r w:rsidRPr="00460B8F">
        <w:t xml:space="preserve"> выполнени</w:t>
      </w:r>
      <w:r w:rsidR="00BC5954">
        <w:t xml:space="preserve">и </w:t>
      </w:r>
      <w:r w:rsidRPr="00460B8F">
        <w:t xml:space="preserve">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AA0B96">
        <w:rPr>
          <w:rFonts w:ascii="Times New Roman CYR" w:hAnsi="Times New Roman CYR" w:cs="Times New Roman CYR"/>
          <w:highlight w:val="yellow"/>
        </w:rPr>
        <w:t>20.0</w:t>
      </w:r>
      <w:r w:rsidR="00AA0B96" w:rsidRPr="003A403C">
        <w:rPr>
          <w:rFonts w:ascii="Times New Roman CYR" w:hAnsi="Times New Roman CYR" w:cs="Times New Roman CYR"/>
          <w:highlight w:val="yellow"/>
        </w:rPr>
        <w:t>8</w:t>
      </w:r>
      <w:r w:rsidR="00AA0B96" w:rsidRPr="00AA0B96">
        <w:rPr>
          <w:rFonts w:ascii="Times New Roman CYR" w:hAnsi="Times New Roman CYR" w:cs="Times New Roman CYR"/>
          <w:highlight w:val="yellow"/>
        </w:rPr>
        <w:t>.201</w:t>
      </w:r>
      <w:r w:rsidR="00AA0B96" w:rsidRPr="003A403C">
        <w:rPr>
          <w:rFonts w:ascii="Times New Roman CYR" w:hAnsi="Times New Roman CYR" w:cs="Times New Roman CYR"/>
          <w:highlight w:val="yellow"/>
        </w:rPr>
        <w:t>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AA0B96">
        <w:rPr>
          <w:rFonts w:ascii="Times New Roman CYR" w:hAnsi="Times New Roman CYR" w:cs="Times New Roman CYR"/>
          <w:highlight w:val="yellow"/>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BC5954">
      <w:pPr>
        <w:autoSpaceDE w:val="0"/>
        <w:ind w:firstLine="540"/>
        <w:jc w:val="both"/>
      </w:pPr>
      <w:r w:rsidRPr="00BD47B5">
        <w:rPr>
          <w:rFonts w:ascii="Times New Roman CYR" w:hAnsi="Times New Roman CYR" w:cs="Times New Roman CYR"/>
        </w:rPr>
        <w:t xml:space="preserve">4.6.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215D25">
        <w:rPr>
          <w:rFonts w:ascii="Times New Roman CYR" w:hAnsi="Times New Roman CYR" w:cs="Times New Roman CYR"/>
          <w:highlight w:val="yellow"/>
        </w:rPr>
        <w:t>20</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215D25">
        <w:rPr>
          <w:rFonts w:ascii="Times New Roman CYR" w:hAnsi="Times New Roman CYR" w:cs="Times New Roman CYR"/>
          <w:highlight w:val="yellow"/>
        </w:rPr>
        <w:t>25</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Default="00460B8F" w:rsidP="00460B8F">
      <w:pPr>
        <w:autoSpaceDE w:val="0"/>
        <w:ind w:firstLine="540"/>
        <w:jc w:val="both"/>
        <w:rPr>
          <w:rFonts w:cs="Times New Roman"/>
        </w:rPr>
      </w:pPr>
    </w:p>
    <w:p w:rsidR="00BC5954" w:rsidRDefault="00BC5954" w:rsidP="00460B8F">
      <w:pPr>
        <w:autoSpaceDE w:val="0"/>
        <w:ind w:firstLine="540"/>
        <w:jc w:val="both"/>
        <w:rPr>
          <w:rFonts w:cs="Times New Roman"/>
        </w:rPr>
      </w:pPr>
    </w:p>
    <w:p w:rsidR="00BC5954" w:rsidRDefault="00BC5954" w:rsidP="00460B8F">
      <w:pPr>
        <w:autoSpaceDE w:val="0"/>
        <w:ind w:firstLine="540"/>
        <w:jc w:val="both"/>
        <w:rPr>
          <w:rFonts w:cs="Times New Roman"/>
        </w:rPr>
      </w:pPr>
    </w:p>
    <w:p w:rsidR="00BC5954" w:rsidRPr="00B31067" w:rsidRDefault="00BC5954"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9458EC">
        <w:rPr>
          <w:rFonts w:ascii="Times New Roman CYR" w:hAnsi="Times New Roman CYR" w:cs="Times New Roman CYR"/>
          <w:highlight w:val="yellow"/>
        </w:rPr>
        <w:t>25.07.2013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Default="00460B8F" w:rsidP="00460B8F">
      <w:pPr>
        <w:autoSpaceDE w:val="0"/>
        <w:ind w:firstLine="540"/>
        <w:jc w:val="both"/>
        <w:rPr>
          <w:rFonts w:cs="Times New Roman"/>
        </w:rPr>
      </w:pPr>
    </w:p>
    <w:p w:rsidR="00BC5954" w:rsidRDefault="00BC5954" w:rsidP="00460B8F">
      <w:pPr>
        <w:autoSpaceDE w:val="0"/>
        <w:ind w:firstLine="540"/>
        <w:jc w:val="both"/>
        <w:rPr>
          <w:rFonts w:cs="Times New Roman"/>
        </w:rPr>
      </w:pPr>
    </w:p>
    <w:p w:rsidR="00BC5954" w:rsidRDefault="00BC5954" w:rsidP="00460B8F">
      <w:pPr>
        <w:autoSpaceDE w:val="0"/>
        <w:ind w:firstLine="540"/>
        <w:jc w:val="both"/>
        <w:rPr>
          <w:rFonts w:cs="Times New Roman"/>
        </w:rPr>
      </w:pPr>
    </w:p>
    <w:p w:rsidR="00BC5954" w:rsidRDefault="00BC5954" w:rsidP="00460B8F">
      <w:pPr>
        <w:autoSpaceDE w:val="0"/>
        <w:ind w:firstLine="540"/>
        <w:jc w:val="both"/>
        <w:rPr>
          <w:rFonts w:cs="Times New Roman"/>
        </w:rPr>
      </w:pPr>
    </w:p>
    <w:p w:rsidR="00BC5954" w:rsidRPr="00B31067" w:rsidRDefault="00BC5954"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E572EE">
        <w:rPr>
          <w:rFonts w:ascii="Times New Roman CYR" w:hAnsi="Times New Roman CYR" w:cs="Times New Roman CYR"/>
          <w:highlight w:val="yellow"/>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BC5954" w:rsidP="00460B8F">
      <w:pPr>
        <w:autoSpaceDE w:val="0"/>
        <w:ind w:firstLine="539"/>
        <w:jc w:val="both"/>
      </w:pPr>
      <w:r>
        <w:rPr>
          <w:rFonts w:cs="Times New Roman"/>
        </w:rPr>
        <w:lastRenderedPageBreak/>
        <w:t>9.7.3</w:t>
      </w:r>
      <w:r w:rsidR="00460B8F" w:rsidRPr="00B31067">
        <w:rPr>
          <w:rFonts w:cs="Times New Roman"/>
        </w:rPr>
        <w:t xml:space="preserve">.  </w:t>
      </w:r>
      <w:r w:rsidR="00460B8F"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BC5954" w:rsidP="00460B8F">
      <w:pPr>
        <w:autoSpaceDE w:val="0"/>
        <w:ind w:firstLine="540"/>
        <w:jc w:val="both"/>
      </w:pPr>
      <w:r>
        <w:rPr>
          <w:rFonts w:cs="Times New Roman"/>
        </w:rPr>
        <w:t>9.7.4</w:t>
      </w:r>
      <w:r w:rsidR="00460B8F" w:rsidRPr="00B31067">
        <w:rPr>
          <w:rFonts w:cs="Times New Roman"/>
        </w:rPr>
        <w:t xml:space="preserve">. </w:t>
      </w:r>
      <w:r w:rsidR="00460B8F"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BC5954" w:rsidP="00460B8F">
      <w:pPr>
        <w:autoSpaceDE w:val="0"/>
        <w:ind w:firstLine="539"/>
        <w:jc w:val="both"/>
      </w:pPr>
      <w:r>
        <w:rPr>
          <w:rFonts w:cs="Times New Roman"/>
        </w:rPr>
        <w:t>9.7.5</w:t>
      </w:r>
      <w:r w:rsidR="00460B8F" w:rsidRPr="00B31067">
        <w:rPr>
          <w:rFonts w:cs="Times New Roman"/>
        </w:rPr>
        <w:t xml:space="preserve">.   </w:t>
      </w:r>
      <w:proofErr w:type="gramStart"/>
      <w:r w:rsidR="00460B8F"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BC5954" w:rsidP="00460B8F">
      <w:pPr>
        <w:autoSpaceDE w:val="0"/>
        <w:ind w:firstLine="539"/>
        <w:jc w:val="both"/>
      </w:pPr>
      <w:r>
        <w:rPr>
          <w:rFonts w:cs="Times New Roman"/>
        </w:rPr>
        <w:t>9.7.6</w:t>
      </w:r>
      <w:r w:rsidR="00460B8F" w:rsidRPr="00B31067">
        <w:rPr>
          <w:rFonts w:cs="Times New Roman"/>
        </w:rPr>
        <w:t xml:space="preserve">. </w:t>
      </w:r>
      <w:r w:rsidR="00460B8F"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BC5954" w:rsidRDefault="00460B8F" w:rsidP="00460B8F">
      <w:pPr>
        <w:autoSpaceDE w:val="0"/>
        <w:jc w:val="center"/>
      </w:pPr>
      <w:r w:rsidRPr="00BC5954">
        <w:rPr>
          <w:rFonts w:cs="Times New Roman"/>
          <w:b/>
          <w:bCs/>
        </w:rPr>
        <w:t xml:space="preserve">12. </w:t>
      </w:r>
      <w:r w:rsidRPr="00BC5954">
        <w:rPr>
          <w:rFonts w:ascii="Times New Roman CYR" w:hAnsi="Times New Roman CYR" w:cs="Times New Roman CYR"/>
          <w:b/>
          <w:bCs/>
        </w:rPr>
        <w:t>Обеспечение исполнения Контракта</w:t>
      </w:r>
    </w:p>
    <w:p w:rsidR="00460B8F" w:rsidRPr="00BC5954" w:rsidRDefault="00460B8F" w:rsidP="00460B8F">
      <w:pPr>
        <w:jc w:val="both"/>
        <w:rPr>
          <w:rFonts w:cs="Times New Roman"/>
          <w:kern w:val="0"/>
        </w:rPr>
      </w:pPr>
      <w:r w:rsidRPr="00BC5954">
        <w:rPr>
          <w:rFonts w:cs="Times New Roman"/>
        </w:rPr>
        <w:t xml:space="preserve">         12.1. </w:t>
      </w:r>
      <w:r w:rsidRPr="00BC5954">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BC5954" w:rsidRDefault="00460B8F" w:rsidP="00460B8F">
      <w:pPr>
        <w:jc w:val="both"/>
        <w:rPr>
          <w:rFonts w:cs="Times New Roman"/>
          <w:kern w:val="0"/>
        </w:rPr>
      </w:pPr>
      <w:r w:rsidRPr="00BC5954">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BC5954">
        <w:rPr>
          <w:rFonts w:cs="Times New Roman"/>
          <w:kern w:val="0"/>
        </w:rPr>
        <w:t>-р</w:t>
      </w:r>
      <w:proofErr w:type="gramEnd"/>
      <w:r w:rsidRPr="00BC5954">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BC5954" w:rsidRDefault="00460B8F" w:rsidP="00460B8F">
      <w:pPr>
        <w:jc w:val="both"/>
        <w:rPr>
          <w:rFonts w:cs="Times New Roman"/>
          <w:kern w:val="0"/>
        </w:rPr>
      </w:pPr>
      <w:r w:rsidRPr="00BC5954">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BC5954">
        <w:rPr>
          <w:rFonts w:cs="Times New Roman"/>
          <w:kern w:val="0"/>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BC5954" w:rsidRDefault="00460B8F" w:rsidP="00460B8F">
      <w:pPr>
        <w:widowControl/>
        <w:suppressAutoHyphens w:val="0"/>
        <w:autoSpaceDN/>
        <w:ind w:firstLine="567"/>
        <w:jc w:val="both"/>
        <w:textAlignment w:val="auto"/>
        <w:rPr>
          <w:rFonts w:ascii="Times New Roman CYR" w:hAnsi="Times New Roman CYR" w:cs="Times New Roman CYR"/>
        </w:rPr>
      </w:pPr>
      <w:r w:rsidRPr="00BC5954">
        <w:rPr>
          <w:rFonts w:cs="Times New Roman"/>
        </w:rPr>
        <w:t xml:space="preserve">12.3. </w:t>
      </w:r>
      <w:proofErr w:type="gramStart"/>
      <w:r w:rsidRPr="00BC5954">
        <w:rPr>
          <w:rFonts w:cs="Times New Roman"/>
        </w:rPr>
        <w:t>В случае е</w:t>
      </w:r>
      <w:r w:rsidRPr="00BC5954">
        <w:rPr>
          <w:rFonts w:ascii="Times New Roman CYR" w:hAnsi="Times New Roman CYR" w:cs="Times New Roman CYR"/>
        </w:rPr>
        <w:t>сли по каким-либо причинам обеспечение исполнения Контракта, у</w:t>
      </w:r>
      <w:r w:rsidRPr="00BC5954">
        <w:rPr>
          <w:rFonts w:ascii="Times New Roman CYR" w:hAnsi="Times New Roman CYR" w:cs="Times New Roman CYR"/>
        </w:rPr>
        <w:t>с</w:t>
      </w:r>
      <w:r w:rsidRPr="00BC5954">
        <w:rPr>
          <w:rFonts w:ascii="Times New Roman CYR" w:hAnsi="Times New Roman CYR" w:cs="Times New Roman CYR"/>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BC5954">
        <w:rPr>
          <w:rFonts w:ascii="Times New Roman CYR" w:hAnsi="Times New Roman CYR" w:cs="Times New Roman CYR"/>
        </w:rPr>
        <w:t>н</w:t>
      </w:r>
      <w:r w:rsidRPr="00BC5954">
        <w:rPr>
          <w:rFonts w:ascii="Times New Roman CYR" w:hAnsi="Times New Roman CYR" w:cs="Times New Roman CYR"/>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BC5954">
        <w:rPr>
          <w:rFonts w:ascii="Times New Roman CYR" w:hAnsi="Times New Roman CYR" w:cs="Times New Roman CYR"/>
        </w:rPr>
        <w:t xml:space="preserve"> же </w:t>
      </w:r>
      <w:proofErr w:type="gramStart"/>
      <w:r w:rsidRPr="00BC5954">
        <w:rPr>
          <w:rFonts w:ascii="Times New Roman CYR" w:hAnsi="Times New Roman CYR" w:cs="Times New Roman CYR"/>
        </w:rPr>
        <w:t>размере</w:t>
      </w:r>
      <w:proofErr w:type="gramEnd"/>
      <w:r w:rsidRPr="00BC5954">
        <w:rPr>
          <w:rFonts w:ascii="Times New Roman CYR" w:hAnsi="Times New Roman CYR" w:cs="Times New Roman CYR"/>
        </w:rPr>
        <w:t>.</w:t>
      </w:r>
    </w:p>
    <w:p w:rsidR="00460B8F" w:rsidRPr="00BC5954" w:rsidRDefault="00460B8F" w:rsidP="00460B8F">
      <w:pPr>
        <w:widowControl/>
        <w:suppressAutoHyphens w:val="0"/>
        <w:autoSpaceDN/>
        <w:ind w:firstLine="567"/>
        <w:jc w:val="both"/>
        <w:textAlignment w:val="auto"/>
      </w:pPr>
      <w:r w:rsidRPr="00BC5954">
        <w:rPr>
          <w:rFonts w:ascii="Times New Roman CYR" w:hAnsi="Times New Roman CYR" w:cs="Times New Roman CYR"/>
        </w:rPr>
        <w:t>Залог денежных средств, в том числе в форме вклада (депозита) не может быть зам</w:t>
      </w:r>
      <w:r w:rsidRPr="00BC5954">
        <w:rPr>
          <w:rFonts w:ascii="Times New Roman CYR" w:hAnsi="Times New Roman CYR" w:cs="Times New Roman CYR"/>
        </w:rPr>
        <w:t>е</w:t>
      </w:r>
      <w:r w:rsidRPr="00BC5954">
        <w:rPr>
          <w:rFonts w:ascii="Times New Roman CYR" w:hAnsi="Times New Roman CYR" w:cs="Times New Roman CYR"/>
        </w:rPr>
        <w:t>нен другим способом обеспечения исполнения контракта.</w:t>
      </w:r>
    </w:p>
    <w:p w:rsidR="00460B8F" w:rsidRPr="00BC5954" w:rsidRDefault="00460B8F" w:rsidP="00460B8F">
      <w:pPr>
        <w:autoSpaceDE w:val="0"/>
        <w:ind w:firstLine="539"/>
        <w:jc w:val="both"/>
      </w:pPr>
      <w:r w:rsidRPr="00BC5954">
        <w:rPr>
          <w:rFonts w:cs="Times New Roman"/>
        </w:rPr>
        <w:t xml:space="preserve">12.3. </w:t>
      </w:r>
      <w:proofErr w:type="gramStart"/>
      <w:r w:rsidRPr="00BC5954">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BC5954">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BC5954">
        <w:rPr>
          <w:rFonts w:cs="Times New Roman"/>
        </w:rPr>
        <w:t xml:space="preserve">12.4. </w:t>
      </w:r>
      <w:r w:rsidRPr="00BC5954">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Муниципальное казённое учреждение </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«Благоустройство Орджоникидзевского района» </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Адрес: 614038, г. Пермь, ул. Веденеева, 86/а</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Т./факс. 284-35-35;</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Адрес электронной почты: mby-bor@yandex.ru </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ИНН 5907038291/590701001</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ОГРН 1085907001949, ОКПО 88061156</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ОКВЭД 75.11.31 </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УФК по Пермскому краю Департамент финансов</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 г</w:t>
            </w:r>
            <w:proofErr w:type="gramStart"/>
            <w:r w:rsidRPr="005841D5">
              <w:rPr>
                <w:rFonts w:ascii="Times New Roman CYR" w:hAnsi="Times New Roman CYR" w:cs="Times New Roman CYR"/>
              </w:rPr>
              <w:t>.П</w:t>
            </w:r>
            <w:proofErr w:type="gramEnd"/>
            <w:r w:rsidRPr="005841D5">
              <w:rPr>
                <w:rFonts w:ascii="Times New Roman CYR" w:hAnsi="Times New Roman CYR" w:cs="Times New Roman CYR"/>
              </w:rPr>
              <w:t xml:space="preserve">ерми (Муниципальное казенное учреждение </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«Благоустройство Орджоникидзевского района»,</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 xml:space="preserve"> </w:t>
            </w:r>
            <w:proofErr w:type="gramStart"/>
            <w:r w:rsidRPr="005841D5">
              <w:rPr>
                <w:rFonts w:ascii="Times New Roman CYR" w:hAnsi="Times New Roman CYR" w:cs="Times New Roman CYR"/>
              </w:rPr>
              <w:t>л</w:t>
            </w:r>
            <w:proofErr w:type="gramEnd"/>
            <w:r w:rsidRPr="005841D5">
              <w:rPr>
                <w:rFonts w:ascii="Times New Roman CYR" w:hAnsi="Times New Roman CYR" w:cs="Times New Roman CYR"/>
              </w:rPr>
              <w:t>/счет 02937018397)</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р/с 40204810300000000006</w:t>
            </w:r>
          </w:p>
          <w:p w:rsidR="005841D5" w:rsidRPr="005841D5" w:rsidRDefault="005841D5" w:rsidP="005841D5">
            <w:pPr>
              <w:autoSpaceDE w:val="0"/>
              <w:rPr>
                <w:rFonts w:ascii="Times New Roman CYR" w:hAnsi="Times New Roman CYR" w:cs="Times New Roman CYR"/>
              </w:rPr>
            </w:pPr>
            <w:r w:rsidRPr="005841D5">
              <w:rPr>
                <w:rFonts w:ascii="Times New Roman CYR" w:hAnsi="Times New Roman CYR" w:cs="Times New Roman CYR"/>
              </w:rPr>
              <w:t>ГРКЦ ГУ Банка России по Пермскому краю</w:t>
            </w:r>
          </w:p>
          <w:p w:rsidR="00460B8F" w:rsidRPr="00B31067" w:rsidRDefault="005841D5" w:rsidP="005841D5">
            <w:pPr>
              <w:autoSpaceDE w:val="0"/>
              <w:rPr>
                <w:rFonts w:ascii="Times New Roman CYR" w:hAnsi="Times New Roman CYR" w:cs="Times New Roman CYR"/>
              </w:rPr>
            </w:pPr>
            <w:r w:rsidRPr="005841D5">
              <w:rPr>
                <w:rFonts w:ascii="Times New Roman CYR" w:hAnsi="Times New Roman CYR" w:cs="Times New Roman CYR"/>
              </w:rPr>
              <w:t>БИК 045773001</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Директо</w:t>
            </w:r>
            <w:r w:rsidR="005841D5">
              <w:t>р _______________ Е.В.Карабатов</w:t>
            </w:r>
            <w:r w:rsidRPr="00B31067">
              <w:t xml:space="preserve">.  </w:t>
            </w:r>
          </w:p>
          <w:p w:rsidR="00460B8F" w:rsidRPr="00B31067" w:rsidRDefault="00460B8F" w:rsidP="00321610">
            <w:pPr>
              <w:autoSpaceDE w:val="0"/>
              <w:rPr>
                <w:rFonts w:ascii="Times New Roman CYR" w:hAnsi="Times New Roman CYR" w:cs="Times New Roman CYR"/>
              </w:rPr>
            </w:pPr>
            <w:r w:rsidRPr="00B31067">
              <w:t xml:space="preserve">                              м.п.</w:t>
            </w:r>
          </w:p>
          <w:p w:rsidR="00460B8F" w:rsidRPr="005841D5" w:rsidRDefault="00460B8F" w:rsidP="00321610">
            <w:pPr>
              <w:autoSpaceDE w:val="0"/>
              <w:jc w:val="both"/>
              <w:rPr>
                <w:rFonts w:cs="Times New Roman"/>
              </w:rPr>
            </w:pPr>
            <w:r w:rsidRPr="005841D5">
              <w:rPr>
                <w:rFonts w:cs="Times New Roman"/>
              </w:rPr>
              <w:t xml:space="preserve">                                                                                                                            </w:t>
            </w:r>
          </w:p>
          <w:p w:rsidR="00460B8F" w:rsidRPr="005841D5" w:rsidRDefault="00460B8F" w:rsidP="00321610">
            <w:pPr>
              <w:autoSpaceDE w:val="0"/>
              <w:rPr>
                <w:rFonts w:cs="Times New Roman"/>
              </w:rPr>
            </w:pPr>
            <w:r w:rsidRPr="005841D5">
              <w:rPr>
                <w:rFonts w:cs="Times New Roman"/>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5841D5"/>
    <w:p w:rsidR="00BC5954" w:rsidRDefault="00BC5954" w:rsidP="005841D5"/>
    <w:p w:rsidR="00BC5954" w:rsidRDefault="00BC5954" w:rsidP="005841D5"/>
    <w:p w:rsidR="005841D5" w:rsidRDefault="005841D5" w:rsidP="005841D5"/>
    <w:p w:rsidR="00460B8F" w:rsidRDefault="00460B8F" w:rsidP="00DF774E">
      <w:pPr>
        <w:jc w:val="right"/>
      </w:pPr>
    </w:p>
    <w:p w:rsidR="00460B8F" w:rsidRPr="005C727C" w:rsidRDefault="00460B8F" w:rsidP="00460B8F">
      <w:pPr>
        <w:jc w:val="right"/>
      </w:pPr>
      <w:r w:rsidRPr="005C727C">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w:t>
      </w:r>
      <w:r w:rsidR="00305D53">
        <w:lastRenderedPageBreak/>
        <w:t>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52" w:tblpY="765"/>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5"/>
        <w:gridCol w:w="1984"/>
        <w:gridCol w:w="12440"/>
      </w:tblGrid>
      <w:tr w:rsidR="004728CD" w:rsidRPr="005C727C" w:rsidTr="00BA04BA">
        <w:trPr>
          <w:trHeight w:val="412"/>
        </w:trPr>
        <w:tc>
          <w:tcPr>
            <w:tcW w:w="1135" w:type="dxa"/>
          </w:tcPr>
          <w:p w:rsidR="004728CD" w:rsidRPr="005C727C" w:rsidRDefault="004728CD" w:rsidP="00BA04BA">
            <w:pPr>
              <w:jc w:val="center"/>
            </w:pPr>
            <w:r w:rsidRPr="005C727C">
              <w:t>Балл</w:t>
            </w:r>
          </w:p>
        </w:tc>
        <w:tc>
          <w:tcPr>
            <w:tcW w:w="1984" w:type="dxa"/>
          </w:tcPr>
          <w:p w:rsidR="004728CD" w:rsidRPr="005C727C" w:rsidRDefault="004728CD" w:rsidP="00BA04BA">
            <w:pPr>
              <w:jc w:val="center"/>
            </w:pPr>
            <w:r w:rsidRPr="005C727C">
              <w:t>Вид содержания</w:t>
            </w:r>
          </w:p>
        </w:tc>
        <w:tc>
          <w:tcPr>
            <w:tcW w:w="12440" w:type="dxa"/>
          </w:tcPr>
          <w:p w:rsidR="004728CD" w:rsidRPr="005C727C" w:rsidRDefault="004728CD" w:rsidP="00BA04BA">
            <w:pPr>
              <w:jc w:val="center"/>
            </w:pPr>
            <w:r w:rsidRPr="005C727C">
              <w:t>Показатели оценки состояния благоустройства и содержания</w:t>
            </w:r>
          </w:p>
        </w:tc>
      </w:tr>
      <w:tr w:rsidR="004728CD" w:rsidRPr="005C727C" w:rsidTr="00BA04BA">
        <w:trPr>
          <w:trHeight w:val="132"/>
        </w:trPr>
        <w:tc>
          <w:tcPr>
            <w:tcW w:w="15559" w:type="dxa"/>
            <w:gridSpan w:val="3"/>
          </w:tcPr>
          <w:p w:rsidR="004728CD" w:rsidRPr="005C727C" w:rsidRDefault="004728CD" w:rsidP="00BA04BA">
            <w:pPr>
              <w:jc w:val="center"/>
            </w:pPr>
            <w:r w:rsidRPr="005C727C">
              <w:t>Улично-дорожная сеть 1 категории</w:t>
            </w:r>
          </w:p>
        </w:tc>
      </w:tr>
    </w:tbl>
    <w:tbl>
      <w:tblPr>
        <w:tblpPr w:leftFromText="180" w:rightFromText="180" w:vertAnchor="text" w:horzAnchor="margin" w:tblpXSpec="center" w:tblpY="1537"/>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BA04BA" w:rsidRPr="005C727C" w:rsidTr="00BA04BA">
        <w:tc>
          <w:tcPr>
            <w:tcW w:w="1252" w:type="dxa"/>
          </w:tcPr>
          <w:p w:rsidR="00BA04BA" w:rsidRPr="005C727C" w:rsidRDefault="00BA04BA" w:rsidP="00BA04BA">
            <w:pPr>
              <w:jc w:val="center"/>
            </w:pPr>
            <w:r w:rsidRPr="005C727C">
              <w:t xml:space="preserve">5 </w:t>
            </w:r>
          </w:p>
        </w:tc>
        <w:tc>
          <w:tcPr>
            <w:tcW w:w="1860" w:type="dxa"/>
          </w:tcPr>
          <w:p w:rsidR="00BA04BA" w:rsidRPr="005C727C" w:rsidRDefault="00BA04BA" w:rsidP="00BA04BA">
            <w:r w:rsidRPr="005C727C">
              <w:t>летний период содержания</w:t>
            </w:r>
          </w:p>
        </w:tc>
        <w:tc>
          <w:tcPr>
            <w:tcW w:w="12447" w:type="dxa"/>
          </w:tcPr>
          <w:p w:rsidR="00BA04BA" w:rsidRPr="00AE7730" w:rsidRDefault="00BA04BA" w:rsidP="00BA04BA">
            <w:pPr>
              <w:rPr>
                <w:b/>
              </w:rPr>
            </w:pPr>
            <w:r w:rsidRPr="00AE7730">
              <w:rPr>
                <w:b/>
              </w:rPr>
              <w:t>Норматив:</w:t>
            </w:r>
          </w:p>
          <w:p w:rsidR="00BA04BA" w:rsidRPr="005C727C" w:rsidRDefault="00BA04BA" w:rsidP="00BA04BA">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BA04BA" w:rsidRPr="005C727C" w:rsidRDefault="00BA04BA" w:rsidP="00BA04BA">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BA04BA" w:rsidRPr="005C727C" w:rsidRDefault="00BA04BA" w:rsidP="00BA04BA">
            <w:r w:rsidRPr="005C727C">
              <w:t xml:space="preserve">Прилотковая часть не имеет грунтово-песчаных наносов и загрязнений различным мусором. </w:t>
            </w:r>
          </w:p>
          <w:p w:rsidR="00BA04BA" w:rsidRPr="005C727C" w:rsidRDefault="00BA04BA" w:rsidP="00BA04BA">
            <w:r w:rsidRPr="005C727C">
              <w:t>Покрытие проезжай части не имеет просадок, выбоин, иных повреждений, затрудняющих движение транспортных средств.</w:t>
            </w:r>
          </w:p>
          <w:p w:rsidR="00BA04BA" w:rsidRDefault="00BA04BA" w:rsidP="00BA04BA">
            <w:r w:rsidRPr="005C727C">
              <w:t>Бортовой камень очищен от грязи, сорной растительности.</w:t>
            </w:r>
          </w:p>
          <w:p w:rsidR="00BA04BA" w:rsidRPr="005C727C" w:rsidRDefault="00BA04BA" w:rsidP="00BA04BA">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BA04BA" w:rsidRDefault="00BA04BA" w:rsidP="00BA04BA">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t xml:space="preserve">, в нормативном состоянии, </w:t>
            </w:r>
            <w:r w:rsidRPr="005C727C">
              <w:t xml:space="preserve">не переполнены. </w:t>
            </w:r>
            <w:r>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BA04BA" w:rsidRPr="005C727C" w:rsidRDefault="00BA04BA" w:rsidP="00BA04BA">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BA04BA" w:rsidRPr="005C727C" w:rsidTr="00BA04BA">
        <w:tc>
          <w:tcPr>
            <w:tcW w:w="1252" w:type="dxa"/>
          </w:tcPr>
          <w:p w:rsidR="00BA04BA" w:rsidRPr="005C727C" w:rsidRDefault="00BA04BA" w:rsidP="00BA04BA">
            <w:pPr>
              <w:jc w:val="center"/>
            </w:pPr>
            <w:r w:rsidRPr="005C727C">
              <w:t xml:space="preserve">4 </w:t>
            </w:r>
          </w:p>
        </w:tc>
        <w:tc>
          <w:tcPr>
            <w:tcW w:w="1860" w:type="dxa"/>
          </w:tcPr>
          <w:p w:rsidR="00BA04BA" w:rsidRPr="005C727C" w:rsidRDefault="00BA04BA" w:rsidP="00BA04BA">
            <w:r w:rsidRPr="005C727C">
              <w:t xml:space="preserve">летний период </w:t>
            </w:r>
            <w:r w:rsidRPr="005C727C">
              <w:lastRenderedPageBreak/>
              <w:t>содержания</w:t>
            </w:r>
          </w:p>
        </w:tc>
        <w:tc>
          <w:tcPr>
            <w:tcW w:w="12447" w:type="dxa"/>
          </w:tcPr>
          <w:p w:rsidR="00BA04BA" w:rsidRPr="001F5F52" w:rsidRDefault="00BA04BA" w:rsidP="00BA04BA">
            <w:pPr>
              <w:rPr>
                <w:b/>
              </w:rPr>
            </w:pPr>
            <w:r>
              <w:rPr>
                <w:b/>
              </w:rPr>
              <w:lastRenderedPageBreak/>
              <w:t>Отклонения от норматива:</w:t>
            </w:r>
          </w:p>
          <w:p w:rsidR="00BA04BA" w:rsidRDefault="00BA04BA" w:rsidP="00BA04BA">
            <w:r w:rsidRPr="005C727C">
              <w:lastRenderedPageBreak/>
              <w:t>Крышки люков смотровых колодцев и решеток дождеприемника установлены, отклонение крышки люка смотровых колодцев относит</w:t>
            </w:r>
            <w:r>
              <w:t>ельно уровня покрытия не более 2</w:t>
            </w:r>
            <w:r w:rsidRPr="005C727C">
              <w:t xml:space="preserve"> см, отклонение решетки дождеприемника отно</w:t>
            </w:r>
            <w:r>
              <w:t>сительно уровня лотка не более 3</w:t>
            </w:r>
            <w:r w:rsidRPr="005C727C">
              <w:t xml:space="preserve"> см.</w:t>
            </w:r>
          </w:p>
          <w:p w:rsidR="00BA04BA" w:rsidRDefault="00BA04BA" w:rsidP="00BA04BA">
            <w:pPr>
              <w:rPr>
                <w:b/>
              </w:rPr>
            </w:pPr>
            <w:r w:rsidRPr="00125733">
              <w:rPr>
                <w:b/>
              </w:rPr>
              <w:t>Или:</w:t>
            </w:r>
          </w:p>
          <w:p w:rsidR="00BA04BA" w:rsidRPr="005C727C" w:rsidRDefault="00BA04BA" w:rsidP="00BA04BA">
            <w:r w:rsidRPr="005C727C">
              <w:t>На проезжей части  имеются просадки, выбоины, иные повреждения, не превышающие по длине 15 см, ширине 60 см, глубине 5 см.</w:t>
            </w:r>
          </w:p>
          <w:p w:rsidR="00BA04BA" w:rsidRDefault="00BA04BA" w:rsidP="00BA04BA">
            <w:pPr>
              <w:rPr>
                <w:b/>
              </w:rPr>
            </w:pPr>
            <w:r w:rsidRPr="00125733">
              <w:rPr>
                <w:b/>
              </w:rPr>
              <w:t>Или:</w:t>
            </w:r>
          </w:p>
          <w:p w:rsidR="00BA04BA" w:rsidRPr="00125733" w:rsidRDefault="00BA04BA" w:rsidP="00BA04BA">
            <w:pPr>
              <w:rPr>
                <w:b/>
              </w:rPr>
            </w:pPr>
            <w:r w:rsidRPr="005C727C">
              <w:t>Высота травяного покрова более 1</w:t>
            </w:r>
            <w:r>
              <w:t>0</w:t>
            </w:r>
            <w:r w:rsidRPr="005C727C">
              <w:t xml:space="preserve"> см</w:t>
            </w:r>
            <w:r>
              <w:t xml:space="preserve"> но не более 15 см</w:t>
            </w:r>
            <w:r w:rsidRPr="005C727C">
              <w:t>.</w:t>
            </w:r>
          </w:p>
          <w:p w:rsidR="00BA04BA" w:rsidRPr="00125733" w:rsidRDefault="00BA04BA" w:rsidP="00BA04BA">
            <w:pPr>
              <w:rPr>
                <w:b/>
              </w:rPr>
            </w:pPr>
            <w:r w:rsidRPr="00125733">
              <w:rPr>
                <w:b/>
              </w:rPr>
              <w:t>Или:</w:t>
            </w:r>
          </w:p>
          <w:p w:rsidR="00BA04BA" w:rsidRPr="005C727C" w:rsidRDefault="00BA04BA" w:rsidP="00BA04BA">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BA04BA" w:rsidRPr="005C727C" w:rsidTr="00BA04BA">
        <w:tc>
          <w:tcPr>
            <w:tcW w:w="1252" w:type="dxa"/>
          </w:tcPr>
          <w:p w:rsidR="00BA04BA" w:rsidRPr="005C727C" w:rsidRDefault="00BA04BA" w:rsidP="00BA04BA">
            <w:pPr>
              <w:jc w:val="center"/>
            </w:pPr>
            <w:r w:rsidRPr="005C727C">
              <w:lastRenderedPageBreak/>
              <w:t xml:space="preserve">3 </w:t>
            </w:r>
          </w:p>
        </w:tc>
        <w:tc>
          <w:tcPr>
            <w:tcW w:w="1860" w:type="dxa"/>
          </w:tcPr>
          <w:p w:rsidR="00BA04BA" w:rsidRPr="005C727C" w:rsidRDefault="00BA04BA" w:rsidP="00BA04BA">
            <w:r w:rsidRPr="005C727C">
              <w:t>летний период содержания</w:t>
            </w:r>
          </w:p>
        </w:tc>
        <w:tc>
          <w:tcPr>
            <w:tcW w:w="12447" w:type="dxa"/>
          </w:tcPr>
          <w:p w:rsidR="00BA04BA" w:rsidRDefault="00BA04BA" w:rsidP="00BA04BA">
            <w:pPr>
              <w:rPr>
                <w:b/>
              </w:rPr>
            </w:pPr>
            <w:r w:rsidRPr="00125733">
              <w:rPr>
                <w:b/>
              </w:rPr>
              <w:t>Отклонение от норматива:</w:t>
            </w:r>
          </w:p>
          <w:p w:rsidR="00BA04BA" w:rsidRPr="00125733" w:rsidRDefault="00BA04BA" w:rsidP="00BA04BA">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BA04BA" w:rsidRDefault="00BA04BA" w:rsidP="00BA04BA">
            <w:pPr>
              <w:rPr>
                <w:b/>
              </w:rPr>
            </w:pPr>
            <w:r w:rsidRPr="00125733">
              <w:rPr>
                <w:b/>
              </w:rPr>
              <w:t>Или:</w:t>
            </w:r>
          </w:p>
          <w:p w:rsidR="00BA04BA" w:rsidRPr="00125733" w:rsidRDefault="00BA04BA" w:rsidP="00BA04BA">
            <w:pPr>
              <w:rPr>
                <w:b/>
              </w:rPr>
            </w:pPr>
            <w:r w:rsidRPr="005C727C">
              <w:t>Ширина полос загрязнения у кромки дорожного покрытия</w:t>
            </w:r>
            <w:r>
              <w:t xml:space="preserve"> не</w:t>
            </w:r>
            <w:r w:rsidRPr="005C727C">
              <w:t xml:space="preserve"> превышает 0,</w:t>
            </w:r>
            <w:r>
              <w:t>3 м.</w:t>
            </w:r>
          </w:p>
          <w:p w:rsidR="00BA04BA" w:rsidRPr="00125733" w:rsidRDefault="00BA04BA" w:rsidP="00BA04BA">
            <w:pPr>
              <w:rPr>
                <w:b/>
              </w:rPr>
            </w:pPr>
            <w:r w:rsidRPr="00125733">
              <w:rPr>
                <w:b/>
              </w:rPr>
              <w:t>Или:</w:t>
            </w:r>
          </w:p>
          <w:p w:rsidR="00BA04BA" w:rsidRPr="005C727C" w:rsidRDefault="00BA04BA" w:rsidP="00BA04BA">
            <w:r w:rsidRPr="005C727C">
              <w:t>Бортовой камень не очищен от грязи, сорной расти</w:t>
            </w:r>
            <w:r>
              <w:t>тельности по всей протяженности</w:t>
            </w:r>
            <w:r w:rsidRPr="005C727C">
              <w:t>.</w:t>
            </w:r>
          </w:p>
          <w:p w:rsidR="00BA04BA" w:rsidRPr="00125733" w:rsidRDefault="00BA04BA" w:rsidP="00BA04BA">
            <w:pPr>
              <w:rPr>
                <w:b/>
              </w:rPr>
            </w:pPr>
            <w:r w:rsidRPr="00125733">
              <w:rPr>
                <w:b/>
              </w:rPr>
              <w:t>Или:</w:t>
            </w:r>
          </w:p>
          <w:p w:rsidR="00BA04BA" w:rsidRDefault="00BA04BA" w:rsidP="00BA04BA">
            <w:r w:rsidRPr="005C727C">
              <w:t>Высота травяного покрова более 1</w:t>
            </w:r>
            <w:r>
              <w:t>5</w:t>
            </w:r>
            <w:r w:rsidRPr="005C727C">
              <w:t xml:space="preserve"> см. </w:t>
            </w:r>
          </w:p>
          <w:p w:rsidR="00BA04BA" w:rsidRPr="00125733" w:rsidRDefault="00BA04BA" w:rsidP="00BA04BA">
            <w:pPr>
              <w:rPr>
                <w:b/>
              </w:rPr>
            </w:pPr>
            <w:r w:rsidRPr="00125733">
              <w:rPr>
                <w:b/>
              </w:rPr>
              <w:t>Или:</w:t>
            </w:r>
          </w:p>
          <w:p w:rsidR="00BA04BA" w:rsidRDefault="00BA04BA" w:rsidP="00BA04BA">
            <w:r w:rsidRPr="005C727C">
              <w:t xml:space="preserve">Присутствуют неокрашенные МАФ. </w:t>
            </w:r>
          </w:p>
          <w:p w:rsidR="00BA04BA" w:rsidRPr="00125733" w:rsidRDefault="00BA04BA" w:rsidP="00BA04BA">
            <w:pPr>
              <w:rPr>
                <w:b/>
              </w:rPr>
            </w:pPr>
            <w:r w:rsidRPr="00125733">
              <w:rPr>
                <w:b/>
              </w:rPr>
              <w:t>Или:</w:t>
            </w:r>
          </w:p>
          <w:p w:rsidR="00BA04BA" w:rsidRDefault="00BA04BA" w:rsidP="00BA04BA">
            <w:pPr>
              <w:rPr>
                <w:b/>
              </w:rPr>
            </w:pPr>
            <w:r>
              <w:t>На остановочном павильоне имеется граффити.</w:t>
            </w:r>
            <w:r w:rsidRPr="00125733">
              <w:rPr>
                <w:b/>
              </w:rPr>
              <w:t xml:space="preserve"> </w:t>
            </w:r>
          </w:p>
          <w:p w:rsidR="00BA04BA" w:rsidRPr="00125733" w:rsidRDefault="00BA04BA" w:rsidP="00BA04BA">
            <w:pPr>
              <w:rPr>
                <w:b/>
              </w:rPr>
            </w:pPr>
            <w:r w:rsidRPr="00125733">
              <w:rPr>
                <w:b/>
              </w:rPr>
              <w:t>Или:</w:t>
            </w:r>
          </w:p>
          <w:p w:rsidR="00BA04BA" w:rsidRDefault="00BA04BA" w:rsidP="00BA04BA">
            <w:r>
              <w:t>Урны в ненормативном состоянии (имеется наличие грязи, урна установлена не вертикально, урна имеет повреждения, вмятины, дефекты)</w:t>
            </w:r>
          </w:p>
          <w:p w:rsidR="00BA04BA" w:rsidRPr="00125733" w:rsidRDefault="00BA04BA" w:rsidP="00BA04BA">
            <w:pPr>
              <w:rPr>
                <w:b/>
              </w:rPr>
            </w:pPr>
            <w:r w:rsidRPr="00125733">
              <w:rPr>
                <w:b/>
              </w:rPr>
              <w:t>Или:</w:t>
            </w:r>
          </w:p>
          <w:p w:rsidR="00BA04BA" w:rsidRPr="005C727C" w:rsidRDefault="00BA04BA" w:rsidP="00BA04BA">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BA04BA" w:rsidRPr="005C727C" w:rsidTr="00BA04BA">
        <w:tc>
          <w:tcPr>
            <w:tcW w:w="1252" w:type="dxa"/>
          </w:tcPr>
          <w:p w:rsidR="00BA04BA" w:rsidRPr="005C727C" w:rsidRDefault="00BA04BA" w:rsidP="00BA04BA">
            <w:pPr>
              <w:jc w:val="center"/>
            </w:pPr>
            <w:r w:rsidRPr="005C727C">
              <w:t xml:space="preserve">2  </w:t>
            </w:r>
          </w:p>
        </w:tc>
        <w:tc>
          <w:tcPr>
            <w:tcW w:w="1860" w:type="dxa"/>
          </w:tcPr>
          <w:p w:rsidR="00BA04BA" w:rsidRPr="005C727C" w:rsidRDefault="00BA04BA" w:rsidP="00BA04BA">
            <w:pPr>
              <w:jc w:val="center"/>
            </w:pPr>
            <w:r w:rsidRPr="005C727C">
              <w:t>летний период содержания</w:t>
            </w:r>
          </w:p>
        </w:tc>
        <w:tc>
          <w:tcPr>
            <w:tcW w:w="12447" w:type="dxa"/>
          </w:tcPr>
          <w:p w:rsidR="00BA04BA" w:rsidRPr="00D6797F" w:rsidRDefault="00BA04BA" w:rsidP="00BA04BA">
            <w:pPr>
              <w:rPr>
                <w:b/>
              </w:rPr>
            </w:pPr>
            <w:r w:rsidRPr="00D6797F">
              <w:rPr>
                <w:b/>
              </w:rPr>
              <w:t>Оклонение от норматива:</w:t>
            </w:r>
          </w:p>
          <w:p w:rsidR="00BA04BA" w:rsidRDefault="00BA04BA" w:rsidP="00BA04BA">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BA04BA" w:rsidRPr="00125733" w:rsidRDefault="00BA04BA" w:rsidP="00BA04BA">
            <w:pPr>
              <w:rPr>
                <w:b/>
              </w:rPr>
            </w:pPr>
            <w:r w:rsidRPr="00125733">
              <w:rPr>
                <w:b/>
              </w:rPr>
              <w:t>Или:</w:t>
            </w:r>
          </w:p>
          <w:p w:rsidR="00BA04BA" w:rsidRDefault="00BA04BA" w:rsidP="00BA04BA">
            <w:r w:rsidRPr="005C727C">
              <w:t xml:space="preserve">Присутствуют посторонние предметы, создающие аварийную обстановку. </w:t>
            </w:r>
          </w:p>
          <w:p w:rsidR="00BA04BA" w:rsidRPr="00125733" w:rsidRDefault="00BA04BA" w:rsidP="00BA04BA">
            <w:pPr>
              <w:rPr>
                <w:b/>
              </w:rPr>
            </w:pPr>
            <w:r w:rsidRPr="00125733">
              <w:rPr>
                <w:b/>
              </w:rPr>
              <w:lastRenderedPageBreak/>
              <w:t>Или:</w:t>
            </w:r>
          </w:p>
          <w:p w:rsidR="00BA04BA" w:rsidRPr="005C727C" w:rsidRDefault="00BA04BA" w:rsidP="00BA04BA">
            <w:r w:rsidRPr="005C727C">
              <w:t xml:space="preserve">Имеются полосы загрязнения у кромки дорожного покрытия свыше </w:t>
            </w:r>
            <w:r>
              <w:t>0,3</w:t>
            </w:r>
            <w:r w:rsidRPr="005C727C">
              <w:t xml:space="preserve"> м. </w:t>
            </w:r>
          </w:p>
          <w:p w:rsidR="00BA04BA" w:rsidRPr="00125733" w:rsidRDefault="00BA04BA" w:rsidP="00BA04BA">
            <w:pPr>
              <w:rPr>
                <w:b/>
              </w:rPr>
            </w:pPr>
            <w:r w:rsidRPr="00125733">
              <w:rPr>
                <w:b/>
              </w:rPr>
              <w:t>Или:</w:t>
            </w:r>
          </w:p>
          <w:p w:rsidR="00BA04BA" w:rsidRPr="005C727C" w:rsidRDefault="00BA04BA" w:rsidP="00BA04BA">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BA04BA" w:rsidRPr="00125733" w:rsidRDefault="00BA04BA" w:rsidP="00BA04BA">
            <w:pPr>
              <w:rPr>
                <w:b/>
              </w:rPr>
            </w:pPr>
            <w:r w:rsidRPr="00125733">
              <w:rPr>
                <w:b/>
              </w:rPr>
              <w:t>Или:</w:t>
            </w:r>
          </w:p>
          <w:p w:rsidR="00BA04BA" w:rsidRPr="005C727C" w:rsidRDefault="00BA04BA" w:rsidP="00BA04BA">
            <w:r w:rsidRPr="005C727C">
              <w:t xml:space="preserve">В прилотковой части имеются грунтово-песчаные наносы и загрязнения различным мусором. </w:t>
            </w:r>
          </w:p>
          <w:p w:rsidR="00BA04BA" w:rsidRPr="00125733" w:rsidRDefault="00BA04BA" w:rsidP="00BA04BA">
            <w:pPr>
              <w:rPr>
                <w:b/>
              </w:rPr>
            </w:pPr>
            <w:r w:rsidRPr="00125733">
              <w:rPr>
                <w:b/>
              </w:rPr>
              <w:t>Или:</w:t>
            </w:r>
          </w:p>
          <w:p w:rsidR="00BA04BA" w:rsidRPr="00125733" w:rsidRDefault="00BA04BA" w:rsidP="00BA04BA">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BA04BA" w:rsidRPr="00125733" w:rsidRDefault="00BA04BA" w:rsidP="00BA04BA">
            <w:pPr>
              <w:rPr>
                <w:b/>
              </w:rPr>
            </w:pPr>
            <w:r w:rsidRPr="00125733">
              <w:rPr>
                <w:b/>
              </w:rPr>
              <w:t>Или:</w:t>
            </w:r>
          </w:p>
          <w:p w:rsidR="00BA04BA" w:rsidRPr="005C727C" w:rsidRDefault="00BA04BA" w:rsidP="00BA04B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BA04BA" w:rsidRPr="00125733" w:rsidRDefault="00BA04BA" w:rsidP="00BA04BA">
            <w:pPr>
              <w:rPr>
                <w:b/>
              </w:rPr>
            </w:pPr>
            <w:r w:rsidRPr="00125733">
              <w:rPr>
                <w:b/>
              </w:rPr>
              <w:t>Или:</w:t>
            </w:r>
          </w:p>
          <w:p w:rsidR="00BA04BA" w:rsidRDefault="00BA04BA" w:rsidP="00BA04BA">
            <w:r w:rsidRPr="005C727C">
              <w:t>Тротуары, лестницы, пешеходные дорожки, МАФ, остановки общественного транспорта не очищены от грунтово-песч</w:t>
            </w:r>
            <w:r>
              <w:t>аных наносов, различного мусора, объявлений.</w:t>
            </w:r>
            <w:r w:rsidRPr="005C727C">
              <w:t xml:space="preserve"> </w:t>
            </w:r>
          </w:p>
          <w:p w:rsidR="00BA04BA" w:rsidRPr="00154401" w:rsidRDefault="00BA04BA" w:rsidP="00BA04BA">
            <w:pPr>
              <w:rPr>
                <w:b/>
              </w:rPr>
            </w:pPr>
            <w:r w:rsidRPr="00154401">
              <w:rPr>
                <w:b/>
              </w:rPr>
              <w:t>Или:</w:t>
            </w:r>
          </w:p>
          <w:p w:rsidR="00BA04BA" w:rsidRDefault="00BA04BA" w:rsidP="00BA04BA">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BA04BA" w:rsidRPr="00125733" w:rsidRDefault="00BA04BA" w:rsidP="00BA04BA">
            <w:pPr>
              <w:rPr>
                <w:b/>
              </w:rPr>
            </w:pPr>
            <w:r w:rsidRPr="00125733">
              <w:rPr>
                <w:b/>
              </w:rPr>
              <w:t>Или:</w:t>
            </w:r>
          </w:p>
          <w:p w:rsidR="00BA04BA" w:rsidRDefault="00BA04BA" w:rsidP="00BA04BA">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BA04BA" w:rsidRDefault="00BA04BA" w:rsidP="00BA04BA">
            <w:pPr>
              <w:rPr>
                <w:b/>
              </w:rPr>
            </w:pPr>
            <w:r w:rsidRPr="00125733">
              <w:rPr>
                <w:b/>
              </w:rPr>
              <w:t>Или:</w:t>
            </w:r>
          </w:p>
          <w:p w:rsidR="00BA04BA" w:rsidRDefault="00BA04BA" w:rsidP="00BA04BA">
            <w:r w:rsidRPr="005C727C">
              <w:t xml:space="preserve">Имеются сухие ветки и сорная растительность. </w:t>
            </w:r>
          </w:p>
          <w:p w:rsidR="00BA04BA" w:rsidRPr="00125733" w:rsidRDefault="00BA04BA" w:rsidP="00BA04BA">
            <w:pPr>
              <w:rPr>
                <w:b/>
              </w:rPr>
            </w:pPr>
            <w:r w:rsidRPr="00125733">
              <w:rPr>
                <w:b/>
              </w:rPr>
              <w:t>Или:</w:t>
            </w:r>
          </w:p>
          <w:p w:rsidR="00BA04BA" w:rsidRDefault="00BA04BA" w:rsidP="00BA04BA">
            <w:r w:rsidRPr="005C727C">
              <w:t>Урны переполнены.</w:t>
            </w:r>
          </w:p>
          <w:p w:rsidR="00BA04BA" w:rsidRPr="00125733" w:rsidRDefault="00BA04BA" w:rsidP="00BA04BA">
            <w:pPr>
              <w:rPr>
                <w:b/>
              </w:rPr>
            </w:pPr>
            <w:r w:rsidRPr="00125733">
              <w:rPr>
                <w:b/>
              </w:rPr>
              <w:t>Или:</w:t>
            </w:r>
          </w:p>
          <w:p w:rsidR="00BA04BA" w:rsidRDefault="00BA04BA" w:rsidP="00BA04BA">
            <w:r>
              <w:t>Остановочный павильон не очищен от объявлений или не вымыт.</w:t>
            </w:r>
          </w:p>
          <w:p w:rsidR="00BA04BA" w:rsidRPr="00125733" w:rsidRDefault="00BA04BA" w:rsidP="00BA04BA">
            <w:pPr>
              <w:rPr>
                <w:b/>
              </w:rPr>
            </w:pPr>
            <w:r w:rsidRPr="00125733">
              <w:rPr>
                <w:b/>
              </w:rPr>
              <w:t>Или:</w:t>
            </w:r>
          </w:p>
          <w:p w:rsidR="00BA04BA" w:rsidRDefault="00BA04BA" w:rsidP="00BA04BA">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BA04BA" w:rsidRPr="00125733" w:rsidRDefault="00BA04BA" w:rsidP="00BA04BA">
            <w:pPr>
              <w:rPr>
                <w:b/>
              </w:rPr>
            </w:pPr>
            <w:r w:rsidRPr="00125733">
              <w:rPr>
                <w:b/>
              </w:rPr>
              <w:t>Или:</w:t>
            </w:r>
          </w:p>
          <w:p w:rsidR="00BA04BA" w:rsidRDefault="00BA04BA" w:rsidP="00BA04BA">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 xml:space="preserve">ия по горизонтали свыше 20 </w:t>
            </w:r>
            <w:r>
              <w:lastRenderedPageBreak/>
              <w:t>мм</w:t>
            </w:r>
            <w:r w:rsidRPr="005C727C">
              <w:t>.</w:t>
            </w:r>
          </w:p>
          <w:p w:rsidR="00BA04BA" w:rsidRPr="00125733" w:rsidRDefault="00BA04BA" w:rsidP="00BA04BA">
            <w:pPr>
              <w:rPr>
                <w:b/>
              </w:rPr>
            </w:pPr>
            <w:r w:rsidRPr="00125733">
              <w:rPr>
                <w:b/>
              </w:rPr>
              <w:t>Или:</w:t>
            </w:r>
          </w:p>
          <w:p w:rsidR="00BA04BA" w:rsidRDefault="00BA04BA" w:rsidP="00BA04BA">
            <w:r>
              <w:t>Высота травяного покрова более 25</w:t>
            </w:r>
            <w:r w:rsidRPr="005C727C">
              <w:t xml:space="preserve"> см.</w:t>
            </w:r>
          </w:p>
          <w:p w:rsidR="00BA04BA" w:rsidRPr="00154401" w:rsidRDefault="00BA04BA" w:rsidP="00BA04BA">
            <w:pPr>
              <w:rPr>
                <w:b/>
              </w:rPr>
            </w:pPr>
            <w:r w:rsidRPr="00154401">
              <w:rPr>
                <w:b/>
              </w:rPr>
              <w:t>Или:</w:t>
            </w:r>
          </w:p>
          <w:p w:rsidR="00BA04BA" w:rsidRPr="00DF6836" w:rsidRDefault="00BA04BA" w:rsidP="00BA04BA">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BA04BA" w:rsidRPr="001F2A03" w:rsidRDefault="00BA04BA" w:rsidP="00BA04BA">
            <w:pPr>
              <w:rPr>
                <w:b/>
              </w:rPr>
            </w:pPr>
            <w:r w:rsidRPr="001F2A03">
              <w:rPr>
                <w:b/>
              </w:rPr>
              <w:t>Или:</w:t>
            </w:r>
          </w:p>
          <w:p w:rsidR="00BA04BA" w:rsidRPr="001F2A03" w:rsidRDefault="00BA04BA" w:rsidP="00BA04BA">
            <w:r w:rsidRPr="001F2A03">
              <w:t>Отклонение крышки люка смотрового колодца ливневой канализации относительно уровня покрытия более 2 см.</w:t>
            </w:r>
          </w:p>
          <w:p w:rsidR="00BA04BA" w:rsidRPr="001F2A03" w:rsidRDefault="00BA04BA" w:rsidP="00BA04BA">
            <w:pPr>
              <w:rPr>
                <w:b/>
              </w:rPr>
            </w:pPr>
            <w:r w:rsidRPr="001F2A03">
              <w:rPr>
                <w:b/>
              </w:rPr>
              <w:t>Или:</w:t>
            </w:r>
          </w:p>
          <w:p w:rsidR="00BA04BA" w:rsidRPr="001F2A03" w:rsidRDefault="00BA04BA" w:rsidP="00BA04BA">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BA04BA" w:rsidRPr="001F2A03" w:rsidRDefault="00BA04BA" w:rsidP="00BA04BA">
            <w:pPr>
              <w:rPr>
                <w:b/>
              </w:rPr>
            </w:pPr>
            <w:r w:rsidRPr="001F2A03">
              <w:rPr>
                <w:b/>
              </w:rPr>
              <w:t>Или:</w:t>
            </w:r>
          </w:p>
          <w:p w:rsidR="00BA04BA" w:rsidRPr="001F2A03" w:rsidRDefault="00BA04BA" w:rsidP="00BA04BA">
            <w:r w:rsidRPr="001F2A03">
              <w:t>Отклонение крышки люка дождеприемника относительно уровня лотка более 3 см.</w:t>
            </w:r>
          </w:p>
          <w:p w:rsidR="00BA04BA" w:rsidRPr="001F2A03" w:rsidRDefault="00BA04BA" w:rsidP="00BA04BA">
            <w:pPr>
              <w:rPr>
                <w:b/>
              </w:rPr>
            </w:pPr>
            <w:r w:rsidRPr="001F2A03">
              <w:rPr>
                <w:b/>
              </w:rPr>
              <w:t>Или:</w:t>
            </w:r>
          </w:p>
          <w:p w:rsidR="00BA04BA" w:rsidRPr="001F2A03" w:rsidRDefault="00BA04BA" w:rsidP="00BA04BA">
            <w:r w:rsidRPr="001F2A03">
              <w:t xml:space="preserve">Смещение в плане бортового камня свыше 5 см., локальное отсутствие бортовых камней </w:t>
            </w:r>
          </w:p>
          <w:p w:rsidR="00BA04BA" w:rsidRPr="001F2A03" w:rsidRDefault="00BA04BA" w:rsidP="00BA04BA">
            <w:pPr>
              <w:rPr>
                <w:b/>
              </w:rPr>
            </w:pPr>
            <w:r w:rsidRPr="001F2A03">
              <w:rPr>
                <w:b/>
              </w:rPr>
              <w:t>Или:</w:t>
            </w:r>
          </w:p>
          <w:p w:rsidR="00BA04BA" w:rsidRPr="001F2A03" w:rsidRDefault="00BA04BA" w:rsidP="00BA04BA">
            <w:r w:rsidRPr="001F2A03">
              <w:t>Застой воды, заиливание водопропускных труб, водоотводных канав</w:t>
            </w:r>
          </w:p>
          <w:p w:rsidR="00BA04BA" w:rsidRPr="001F2A03" w:rsidRDefault="00BA04BA" w:rsidP="00BA04BA">
            <w:pPr>
              <w:rPr>
                <w:b/>
              </w:rPr>
            </w:pPr>
            <w:r w:rsidRPr="001F2A03">
              <w:rPr>
                <w:b/>
              </w:rPr>
              <w:t>Или:</w:t>
            </w:r>
          </w:p>
          <w:p w:rsidR="00BA04BA" w:rsidRPr="001F2A03" w:rsidRDefault="00BA04BA" w:rsidP="00BA04BA">
            <w:r w:rsidRPr="001F2A03">
              <w:t>Наличие сухих (аварийных) деревьев, веток, создающих угрозу жизни (здоровью) пользователей объекта</w:t>
            </w:r>
          </w:p>
          <w:p w:rsidR="00BA04BA" w:rsidRPr="001F2A03" w:rsidRDefault="00BA04BA" w:rsidP="00BA04BA">
            <w:pPr>
              <w:rPr>
                <w:b/>
              </w:rPr>
            </w:pPr>
            <w:r w:rsidRPr="001F2A03">
              <w:rPr>
                <w:b/>
              </w:rPr>
              <w:t>Или:</w:t>
            </w:r>
          </w:p>
          <w:p w:rsidR="00BA04BA" w:rsidRPr="005C727C" w:rsidRDefault="00BA04BA" w:rsidP="00BA04BA">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4728CD" w:rsidRPr="005C727C" w:rsidRDefault="004728CD" w:rsidP="009F55CD">
            <w:r w:rsidRPr="005C727C">
              <w:lastRenderedPageBreak/>
              <w:t xml:space="preserve">В прилотковой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На проезжей части  имеются просадки, выбоины, иные повреждения, не превышающие по длине 15 см, ширине 60 см, глубине 5 см.</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lastRenderedPageBreak/>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r w:rsidRPr="00D6797F">
              <w:rPr>
                <w:b/>
              </w:rPr>
              <w:t>Оклонение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0,5 м.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25733" w:rsidRDefault="004728CD" w:rsidP="009F55CD">
            <w:pPr>
              <w:rPr>
                <w:b/>
              </w:rPr>
            </w:pPr>
            <w:r w:rsidRPr="00125733">
              <w:rPr>
                <w:b/>
              </w:rPr>
              <w:t>Или:</w:t>
            </w:r>
          </w:p>
          <w:p w:rsidR="004728CD" w:rsidRPr="005C727C" w:rsidRDefault="004728CD" w:rsidP="009F55CD">
            <w:r w:rsidRPr="005C727C">
              <w:t xml:space="preserve">В прилотковой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lastRenderedPageBreak/>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Ширина полос загрязнения у кромки дорожного покрытия не превышает 0,5 м.</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4728CD" w:rsidRPr="005C727C" w:rsidRDefault="004728CD" w:rsidP="009F55CD">
            <w:r w:rsidRPr="005C727C">
              <w:t xml:space="preserve">В прилотковой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4728CD" w:rsidRPr="00A34953" w:rsidRDefault="004728CD" w:rsidP="009F55CD">
            <w:pPr>
              <w:rPr>
                <w:b/>
              </w:rPr>
            </w:pPr>
            <w:r w:rsidRPr="00A34953">
              <w:rPr>
                <w:b/>
              </w:rPr>
              <w:lastRenderedPageBreak/>
              <w:t>Отклонение от норматива:</w:t>
            </w:r>
          </w:p>
          <w:p w:rsidR="004728CD" w:rsidRPr="005C727C" w:rsidRDefault="004728CD" w:rsidP="009F55CD">
            <w:r w:rsidRPr="005C727C">
              <w:lastRenderedPageBreak/>
              <w:t>На проезжей части имеются просадки, выбоины, иные повреждения, не превышающие по длине 15 см, ширине 60 см, глубине 5 см.</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прилотковой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15 см.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0,5 м.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54401" w:rsidRDefault="004728CD" w:rsidP="009F55CD">
            <w:pPr>
              <w:rPr>
                <w:b/>
              </w:rPr>
            </w:pPr>
            <w:r w:rsidRPr="00154401">
              <w:rPr>
                <w:b/>
              </w:rPr>
              <w:t>Или:</w:t>
            </w:r>
          </w:p>
          <w:p w:rsidR="004728CD" w:rsidRPr="005C727C" w:rsidRDefault="004728CD" w:rsidP="009F55CD">
            <w:r w:rsidRPr="005C727C">
              <w:t>В прилотковой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r w:rsidRPr="005C727C">
              <w:t xml:space="preserve">15 см, ширине 60 см, </w:t>
            </w:r>
            <w:r w:rsidRPr="005C727C">
              <w:lastRenderedPageBreak/>
              <w:t xml:space="preserve">глубине 5 см.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lastRenderedPageBreak/>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164"/>
      </w:tblGrid>
      <w:tr w:rsidR="004728CD" w:rsidRPr="005C727C" w:rsidTr="00BA04BA">
        <w:tc>
          <w:tcPr>
            <w:tcW w:w="15276" w:type="dxa"/>
            <w:gridSpan w:val="3"/>
          </w:tcPr>
          <w:p w:rsidR="004728CD" w:rsidRPr="005C727C" w:rsidRDefault="004728CD" w:rsidP="009F55CD">
            <w:pPr>
              <w:jc w:val="center"/>
            </w:pPr>
            <w:r w:rsidRPr="005C727C">
              <w:t>Внутриквартальные проезды</w:t>
            </w:r>
          </w:p>
        </w:tc>
      </w:tr>
      <w:tr w:rsidR="004728CD" w:rsidRPr="005C727C" w:rsidTr="00BA04BA">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164"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Газоны очищены от различного рода загрязнения, высота травостоя не более 15 см.</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BA04BA">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164"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На проезжей части имеются просадки, выбоины, иные повреждения, не превышающие по длине 15 см, ширине 60 см, глубине 5 см.</w:t>
            </w:r>
          </w:p>
        </w:tc>
      </w:tr>
      <w:tr w:rsidR="004728CD" w:rsidRPr="005C727C" w:rsidTr="00BA04BA">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164"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w:t>
            </w:r>
            <w:r w:rsidRPr="005C727C">
              <w:lastRenderedPageBreak/>
              <w:t xml:space="preserve">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высота травостоя более 15 см</w:t>
            </w:r>
            <w:r w:rsidR="00E2238A">
              <w:t xml:space="preserve">, но не более </w:t>
            </w:r>
            <w:r w:rsidRPr="005C727C">
              <w:t>25 см.</w:t>
            </w:r>
          </w:p>
        </w:tc>
      </w:tr>
      <w:tr w:rsidR="004728CD" w:rsidRPr="005C727C" w:rsidTr="00BA04BA">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164"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r w:rsidRPr="005C727C">
              <w:t>25 см.</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r w:rsidRPr="005C727C">
              <w:t xml:space="preserve">15 см, ширине 60 см, глубине 5 см.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BA04BA">
        <w:tc>
          <w:tcPr>
            <w:tcW w:w="1252" w:type="dxa"/>
          </w:tcPr>
          <w:p w:rsidR="00235331" w:rsidRPr="005C727C" w:rsidRDefault="00235331" w:rsidP="00235331"/>
        </w:tc>
        <w:tc>
          <w:tcPr>
            <w:tcW w:w="1860" w:type="dxa"/>
          </w:tcPr>
          <w:p w:rsidR="00235331" w:rsidRPr="005C727C" w:rsidRDefault="00235331" w:rsidP="009F55CD"/>
        </w:tc>
        <w:tc>
          <w:tcPr>
            <w:tcW w:w="12164"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r w:rsidRPr="00A41C02">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r w:rsidRPr="00A41C02">
              <w:t xml:space="preserve">Колейность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lastRenderedPageBreak/>
              <w:t>Или:</w:t>
            </w:r>
          </w:p>
          <w:p w:rsidR="00A41C02" w:rsidRDefault="00235331" w:rsidP="00A41C02">
            <w:pPr>
              <w:autoSpaceDE w:val="0"/>
              <w:adjustRightInd w:val="0"/>
            </w:pPr>
            <w:r w:rsidRPr="00A41C02">
              <w:t xml:space="preserve">Колейность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5 мм до плюс 5 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ных размеров до минус 10мм, остальные результаты измерений могут иметь отклонения от проектных размеров от минус 5 мм до плюс 5 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ных размеров до минус 10мм, остальные результаты измерений могут иметь отклонения от проектных размеров от минус 5 мм до плюс 5 мм</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10 мм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имеют значение просветов в пределах до 8мм остальные результаты измерений могут иметь значение просвета до 3 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От 5% до 10% результатов измерений имеют значение просветов в пределах до 8мм остальные результаты измерений могут иметь значение просвета до 3 мм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 ,или  результаты измерений имеют значение просвета свыше 8 мм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Разница в уровнях на поперечных сопряжениях (просвет под рейкой длинной 3 м)</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6 мм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более 6 мм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На 3 вырубках на 7000 м</w:t>
            </w:r>
            <w:r w:rsidRPr="005C727C">
              <w:rPr>
                <w:sz w:val="20"/>
                <w:vertAlign w:val="superscript"/>
              </w:rPr>
              <w:t>2</w:t>
            </w:r>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На 1 вырубке из трех на 7000 м</w:t>
            </w:r>
            <w:r w:rsidRPr="005C727C">
              <w:rPr>
                <w:sz w:val="20"/>
                <w:vertAlign w:val="superscript"/>
              </w:rPr>
              <w:t>2</w:t>
            </w:r>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На 2-х вырубках из трех на 7000 м</w:t>
            </w:r>
            <w:r w:rsidRPr="005C727C">
              <w:rPr>
                <w:sz w:val="20"/>
                <w:vertAlign w:val="superscript"/>
              </w:rPr>
              <w:t xml:space="preserve">2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одной вырубке из трех на 7000 м</w:t>
            </w:r>
            <w:r w:rsidRPr="005C727C">
              <w:rPr>
                <w:vertAlign w:val="superscript"/>
              </w:rPr>
              <w:t xml:space="preserve">2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2</w:t>
            </w:r>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2</w:t>
            </w:r>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r w:rsidRPr="005C727C">
              <w:rPr>
                <w:b/>
              </w:rPr>
              <w:t>Сдвигоустойчивость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Сдвигоустойчивость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 м</w:t>
            </w:r>
            <w:r w:rsidRPr="005C727C">
              <w:rPr>
                <w:vertAlign w:val="superscript"/>
              </w:rPr>
              <w:t>2</w:t>
            </w:r>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r w:rsidRPr="005C727C">
              <w:rPr>
                <w:b/>
              </w:rPr>
              <w:t>Трещиностойкость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Трещиностойкость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менее 7000 м</w:t>
            </w:r>
            <w:r w:rsidRPr="005C727C">
              <w:rPr>
                <w:vertAlign w:val="superscript"/>
              </w:rPr>
              <w:t>2</w:t>
            </w:r>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r>
              <w:t>Ед.изм</w:t>
            </w:r>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Методика испытаний противогололедных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периодическое кошение травы (при достижении травой высоты более 15 см)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С» и выше должна производиться химическим противогололедным материалом, при  температуре ниже « -15</w:t>
      </w:r>
      <w:r w:rsidRPr="005C727C">
        <w:rPr>
          <w:vertAlign w:val="superscript"/>
        </w:rPr>
        <w:t xml:space="preserve">о </w:t>
      </w:r>
      <w:r w:rsidRPr="005C727C">
        <w:t>С» должна производиться комбинированным противогололедным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r w:rsidRPr="005C727C">
        <w:lastRenderedPageBreak/>
        <w:t>противогололедных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(10-15 см свежевыпавшего снега в сутки) тротуары, пешеходные мостики, лестницы, подходы к родникам должны обрабатываться противогололедными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 начала интенсивного таяния снега с проезжей части и обочин должен  быть удален снег и лед. После просыхания покрытие тщательно очищают от грязи, пыли, противогололедных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распределение   противогололедных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материал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r w:rsidRPr="0043633F">
        <w:t>Шумозащитные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противогололедными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С началом снегопада в первую очередь обрабатываются противогололедными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(10-15 см свежевыпавшего снега в сутки) снегопадах циклы снегоочистки и обработки противогололедными материалами должны повторяться после каждых 5 см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2,5-3,0 см, что соответствует 5 см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При длительном снегопаде (сутки и более) циклы механизированного подметания проезжей части осуществляются после каждых 5 см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укладка снега и снежно-ледовых образований на проезжей части автомобильных дорог производится в виде валов, формируемых на расстоянии 0,5 м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0,5 м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ближе 20 м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2 м.</w:t>
      </w:r>
    </w:p>
    <w:p w:rsidR="004728CD" w:rsidRPr="005C727C" w:rsidRDefault="004728CD" w:rsidP="004728CD">
      <w:pPr>
        <w:autoSpaceDE w:val="0"/>
        <w:adjustRightInd w:val="0"/>
        <w:ind w:firstLine="709"/>
        <w:jc w:val="both"/>
      </w:pPr>
      <w:r w:rsidRPr="005C727C">
        <w:t>Ширина снежных валов в лотковой части автомобильной дороги не должна превышать 1,5 м, высота снежного вала не должна превышать 0,8 м,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2 см, шириной до 1 м. Допускается наличие равномерно уплотненного слоя снега толщиной не более 3 см на проезжей части внутриквартальных проездов.</w:t>
      </w:r>
    </w:p>
    <w:p w:rsidR="004728CD" w:rsidRPr="005C727C" w:rsidRDefault="004728CD" w:rsidP="004728CD">
      <w:pPr>
        <w:autoSpaceDE w:val="0"/>
        <w:adjustRightInd w:val="0"/>
        <w:ind w:firstLine="709"/>
        <w:jc w:val="both"/>
      </w:pPr>
      <w:r w:rsidRPr="005C727C">
        <w:t>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7 см.</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0,8 м,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1,0 мм, при 0,35 - 1,8 мм.</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крытия 3 мм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лее 15 x 60 x 5 см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до 3 см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3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10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20 мм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12 мм при размере    </w:t>
            </w:r>
            <w:r w:rsidRPr="005C727C">
              <w:rPr>
                <w:rFonts w:ascii="Times New Roman" w:hAnsi="Times New Roman" w:cs="Times New Roman"/>
                <w:bCs/>
                <w:sz w:val="24"/>
                <w:szCs w:val="24"/>
              </w:rPr>
              <w:br/>
              <w:t xml:space="preserve">сторон плиты 100 см и более 8 мм при размере сторон плиты до 50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травы высотой более 15 см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0,7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0,4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1,0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тали более 20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BA04BA" w:rsidRDefault="00BA04BA" w:rsidP="00BA04BA">
      <w:pPr>
        <w:autoSpaceDE w:val="0"/>
        <w:adjustRightInd w:val="0"/>
        <w:spacing w:line="276" w:lineRule="auto"/>
        <w:jc w:val="center"/>
        <w:outlineLvl w:val="2"/>
        <w:rPr>
          <w:b/>
          <w:bCs/>
          <w:sz w:val="28"/>
          <w:szCs w:val="28"/>
        </w:rPr>
      </w:pPr>
      <w:r>
        <w:rPr>
          <w:b/>
          <w:bCs/>
          <w:sz w:val="28"/>
          <w:szCs w:val="28"/>
        </w:rPr>
        <w:t>4.</w:t>
      </w:r>
      <w:r w:rsidR="004728CD" w:rsidRPr="00BA04BA">
        <w:rPr>
          <w:b/>
          <w:bCs/>
          <w:sz w:val="28"/>
          <w:szCs w:val="28"/>
        </w:rPr>
        <w:t>Требования к содержанию элементов автомобильных дорог IV категории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5 см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3,5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2,5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2,0 см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BA04BA" w:rsidRDefault="00BA04BA" w:rsidP="004728CD">
      <w:pPr>
        <w:jc w:val="right"/>
      </w:pPr>
      <w:bookmarkStart w:id="0" w:name="_GoBack"/>
      <w:bookmarkEnd w:id="0"/>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sidRPr="00460B8F">
        <w:rPr>
          <w:b/>
          <w:sz w:val="28"/>
          <w:szCs w:val="28"/>
        </w:rPr>
        <w:t xml:space="preserve"> </w:t>
      </w:r>
      <w:r>
        <w:rPr>
          <w:b/>
          <w:sz w:val="28"/>
          <w:szCs w:val="28"/>
        </w:rPr>
        <w:t>выполнени</w:t>
      </w:r>
      <w:r w:rsidR="00BC5954">
        <w:rPr>
          <w:b/>
          <w:sz w:val="28"/>
          <w:szCs w:val="28"/>
        </w:rPr>
        <w:t>и</w:t>
      </w:r>
      <w:r>
        <w:rPr>
          <w:b/>
          <w:sz w:val="28"/>
          <w:szCs w:val="28"/>
        </w:rPr>
        <w:t xml:space="preserve">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F91" w:rsidRDefault="003B7F91" w:rsidP="00B56057">
      <w:r>
        <w:separator/>
      </w:r>
    </w:p>
  </w:endnote>
  <w:endnote w:type="continuationSeparator" w:id="0">
    <w:p w:rsidR="003B7F91" w:rsidRDefault="003B7F91"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F91" w:rsidRDefault="003B7F91" w:rsidP="00B56057">
      <w:r w:rsidRPr="00B56057">
        <w:rPr>
          <w:color w:val="000000"/>
        </w:rPr>
        <w:separator/>
      </w:r>
    </w:p>
  </w:footnote>
  <w:footnote w:type="continuationSeparator" w:id="0">
    <w:p w:rsidR="003B7F91" w:rsidRDefault="003B7F91"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B7F91"/>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1D5"/>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D798A"/>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8512A"/>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04BA"/>
    <w:rsid w:val="00BA52CB"/>
    <w:rsid w:val="00BB395D"/>
    <w:rsid w:val="00BB58D8"/>
    <w:rsid w:val="00BC2B41"/>
    <w:rsid w:val="00BC2FA8"/>
    <w:rsid w:val="00BC31AF"/>
    <w:rsid w:val="00BC4DD7"/>
    <w:rsid w:val="00BC5954"/>
    <w:rsid w:val="00BC60C5"/>
    <w:rsid w:val="00BD47B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33DF9-3E47-491F-98D9-76EEDFC59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71</Pages>
  <Words>18506</Words>
  <Characters>139392</Characters>
  <Application>Microsoft Office Word</Application>
  <DocSecurity>0</DocSecurity>
  <Lines>1161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Опер2</cp:lastModifiedBy>
  <cp:revision>5</cp:revision>
  <cp:lastPrinted>2013-06-19T11:00:00Z</cp:lastPrinted>
  <dcterms:created xsi:type="dcterms:W3CDTF">2013-06-19T11:15:00Z</dcterms:created>
  <dcterms:modified xsi:type="dcterms:W3CDTF">2013-06-20T06:13:00Z</dcterms:modified>
</cp:coreProperties>
</file>