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6A0" w:rsidRDefault="002566A0" w:rsidP="002566A0">
      <w:pPr>
        <w:pStyle w:val="ab"/>
        <w:ind w:left="5580"/>
        <w:jc w:val="right"/>
        <w:rPr>
          <w:szCs w:val="28"/>
          <w:lang w:val="ru-RU"/>
        </w:rPr>
      </w:pPr>
    </w:p>
    <w:p w:rsidR="002566A0" w:rsidRPr="00183FE8" w:rsidRDefault="002566A0" w:rsidP="002566A0">
      <w:pPr>
        <w:pStyle w:val="ab"/>
        <w:ind w:left="5580"/>
        <w:jc w:val="right"/>
        <w:rPr>
          <w:szCs w:val="28"/>
        </w:rPr>
      </w:pPr>
      <w:r w:rsidRPr="00183FE8">
        <w:rPr>
          <w:szCs w:val="28"/>
        </w:rPr>
        <w:t>Приложение № 1</w:t>
      </w:r>
    </w:p>
    <w:p w:rsidR="002566A0" w:rsidRPr="00860E2B" w:rsidRDefault="002566A0" w:rsidP="002566A0">
      <w:pPr>
        <w:spacing w:after="0"/>
        <w:ind w:left="5580" w:right="-460"/>
        <w:jc w:val="right"/>
        <w:rPr>
          <w:rFonts w:ascii="Times New Roman" w:hAnsi="Times New Roman"/>
          <w:sz w:val="28"/>
          <w:szCs w:val="28"/>
        </w:rPr>
      </w:pPr>
      <w:r w:rsidRPr="00860E2B">
        <w:rPr>
          <w:rFonts w:ascii="Times New Roman" w:hAnsi="Times New Roman"/>
          <w:sz w:val="28"/>
          <w:szCs w:val="28"/>
        </w:rPr>
        <w:t>к Контракту № __ от ____ 201</w:t>
      </w:r>
      <w:r>
        <w:rPr>
          <w:rFonts w:ascii="Times New Roman" w:hAnsi="Times New Roman"/>
          <w:sz w:val="28"/>
          <w:szCs w:val="28"/>
        </w:rPr>
        <w:t xml:space="preserve">3 </w:t>
      </w:r>
      <w:r w:rsidRPr="00860E2B">
        <w:rPr>
          <w:rFonts w:ascii="Times New Roman" w:hAnsi="Times New Roman"/>
          <w:sz w:val="28"/>
          <w:szCs w:val="28"/>
        </w:rPr>
        <w:t xml:space="preserve">года </w:t>
      </w:r>
    </w:p>
    <w:p w:rsidR="002566A0" w:rsidRPr="00860E2B" w:rsidRDefault="002566A0" w:rsidP="002566A0">
      <w:pPr>
        <w:spacing w:before="100" w:beforeAutospacing="1"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566A0" w:rsidRPr="00860E2B" w:rsidRDefault="002566A0" w:rsidP="002566A0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YANDEX_0"/>
      <w:bookmarkEnd w:id="0"/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 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>Техническое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hyperlink r:id="rId6" w:anchor="YANDEX_1" w:history="1"/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bookmarkStart w:id="1" w:name="YANDEX_1"/>
      <w:bookmarkEnd w:id="1"/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_0" 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>задание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hyperlink r:id="rId7" w:anchor="YANDEX_2" w:history="1"/>
    </w:p>
    <w:p w:rsidR="002566A0" w:rsidRPr="00860E2B" w:rsidRDefault="002566A0" w:rsidP="002566A0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оказание услуг по </w:t>
      </w:r>
      <w:bookmarkStart w:id="2" w:name="YANDEX_2"/>
      <w:bookmarkEnd w:id="2"/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instrText xml:space="preserve">_1" </w:instrTex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hyperlink r:id="rId8" w:anchor="YANDEX_3" w:history="1"/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2566A0" w:rsidRPr="00860E2B" w:rsidRDefault="002566A0" w:rsidP="002566A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муниципальных служащих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департамента имущественных отношений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 администрации города Перми</w:t>
      </w:r>
    </w:p>
    <w:p w:rsidR="002566A0" w:rsidRPr="00860E2B" w:rsidRDefault="002566A0" w:rsidP="002566A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566A0" w:rsidRPr="00860E2B" w:rsidRDefault="002566A0" w:rsidP="002566A0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499F">
        <w:rPr>
          <w:rFonts w:ascii="Times New Roman" w:hAnsi="Times New Roman"/>
          <w:b/>
          <w:color w:val="000000"/>
          <w:sz w:val="28"/>
          <w:szCs w:val="28"/>
        </w:rPr>
        <w:t xml:space="preserve"> 1. Перечень</w:t>
      </w:r>
      <w:r w:rsidRPr="00860E2B">
        <w:rPr>
          <w:rFonts w:ascii="Times New Roman" w:hAnsi="Times New Roman"/>
          <w:b/>
          <w:color w:val="000000"/>
          <w:sz w:val="28"/>
          <w:szCs w:val="28"/>
        </w:rPr>
        <w:t xml:space="preserve"> и объем медицинских услуг.</w:t>
      </w:r>
    </w:p>
    <w:p w:rsidR="002566A0" w:rsidRPr="00860E2B" w:rsidRDefault="002566A0" w:rsidP="002566A0">
      <w:pPr>
        <w:spacing w:after="0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860E2B">
        <w:rPr>
          <w:rFonts w:ascii="Times New Roman" w:hAnsi="Times New Roman"/>
          <w:color w:val="000000"/>
          <w:sz w:val="28"/>
          <w:szCs w:val="28"/>
        </w:rPr>
        <w:t>.1. Наименование и объем медицинских услуг предоставляются в соответствии со следующим перечнем: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178"/>
        <w:gridCol w:w="4021"/>
      </w:tblGrid>
      <w:tr w:rsidR="002566A0" w:rsidRPr="00860E2B" w:rsidTr="00A81AC6">
        <w:trPr>
          <w:trHeight w:val="7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A0" w:rsidRPr="00860E2B" w:rsidRDefault="002566A0" w:rsidP="00A81A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2566A0" w:rsidRPr="00860E2B" w:rsidRDefault="002566A0" w:rsidP="00A81A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A0" w:rsidRPr="00860E2B" w:rsidRDefault="002566A0" w:rsidP="00A81AC6">
            <w:pPr>
              <w:spacing w:after="0"/>
              <w:jc w:val="center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</w:p>
          <w:p w:rsidR="002566A0" w:rsidRPr="00860E2B" w:rsidRDefault="002566A0" w:rsidP="00A81A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Наименование оказываемых медицинских услуг.</w:t>
            </w:r>
          </w:p>
          <w:p w:rsidR="002566A0" w:rsidRPr="00860E2B" w:rsidRDefault="002566A0" w:rsidP="00A81AC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A0" w:rsidRPr="00860E2B" w:rsidRDefault="002566A0" w:rsidP="00A81AC6">
            <w:pPr>
              <w:spacing w:after="0"/>
              <w:ind w:right="-108" w:hanging="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z w:val="28"/>
                <w:szCs w:val="28"/>
              </w:rPr>
              <w:t>Объем услуг (количество осмотров и исследований)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0E2B">
              <w:rPr>
                <w:rFonts w:ascii="Times New Roman" w:hAnsi="Times New Roman"/>
                <w:b/>
                <w:sz w:val="28"/>
                <w:szCs w:val="28"/>
              </w:rPr>
              <w:t>Специалисты:</w:t>
            </w:r>
            <w:r w:rsidRPr="00860E2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566A0" w:rsidRPr="00860E2B" w:rsidTr="00A81AC6">
        <w:trPr>
          <w:trHeight w:val="2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Терапевт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3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Акушер - гинеколог (для женщин)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85 </w:t>
            </w:r>
          </w:p>
        </w:tc>
      </w:tr>
      <w:tr w:rsidR="002566A0" w:rsidRPr="00860E2B" w:rsidTr="00A81AC6">
        <w:trPr>
          <w:trHeight w:val="3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Невролог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3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Уролог (для мужчин)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566A0" w:rsidRPr="00860E2B" w:rsidTr="00A81AC6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Хирург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3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Офтальмолог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3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7.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Отоларинголог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3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8.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Эндокринолог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Психиатр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10.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Психиатр- нарколог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9"/>
              <w:spacing w:before="10" w:after="0" w:line="320" w:lineRule="exact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1B68EA">
              <w:rPr>
                <w:b/>
                <w:sz w:val="28"/>
                <w:szCs w:val="28"/>
                <w:lang w:val="ru-RU" w:eastAsia="ru-RU"/>
              </w:rPr>
              <w:t>Лабораторные и функциональные  исследования: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>Клинический анализ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9"/>
              <w:spacing w:before="10" w:after="0"/>
              <w:ind w:hanging="283"/>
              <w:rPr>
                <w:sz w:val="28"/>
                <w:szCs w:val="28"/>
                <w:lang w:val="ru-RU" w:eastAsia="ru-RU"/>
              </w:rPr>
            </w:pPr>
            <w:r w:rsidRPr="001B68EA">
              <w:rPr>
                <w:sz w:val="28"/>
                <w:szCs w:val="28"/>
                <w:lang w:val="ru-RU" w:eastAsia="ru-RU"/>
              </w:rPr>
              <w:t>Клинический  анализ мочи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FF325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lastRenderedPageBreak/>
              <w:t>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9"/>
              <w:spacing w:before="10" w:after="0"/>
              <w:ind w:hanging="283"/>
              <w:rPr>
                <w:sz w:val="28"/>
                <w:szCs w:val="28"/>
                <w:lang w:val="ru-RU" w:eastAsia="ru-RU"/>
              </w:rPr>
            </w:pPr>
            <w:r w:rsidRPr="001B68EA">
              <w:rPr>
                <w:sz w:val="28"/>
                <w:szCs w:val="28"/>
                <w:lang w:val="ru-RU" w:eastAsia="ru-RU"/>
              </w:rPr>
              <w:t>Исследование уровня холестерина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ind w:hanging="283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 xml:space="preserve">              Исследование уровня сахара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ind w:hanging="283"/>
              <w:rPr>
                <w:rFonts w:ascii="Times New Roman" w:hAnsi="Times New Roman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sz w:val="28"/>
                <w:szCs w:val="28"/>
              </w:rPr>
              <w:t xml:space="preserve">              Исследование уровня билирубина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6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9"/>
              <w:spacing w:before="10" w:after="0"/>
              <w:ind w:hanging="283"/>
              <w:rPr>
                <w:sz w:val="28"/>
                <w:szCs w:val="28"/>
                <w:lang w:val="ru-RU" w:eastAsia="ru-RU"/>
              </w:rPr>
            </w:pPr>
            <w:r w:rsidRPr="001B68EA">
              <w:rPr>
                <w:sz w:val="28"/>
                <w:szCs w:val="28"/>
                <w:lang w:val="ru-RU" w:eastAsia="ru-RU"/>
              </w:rPr>
              <w:t>Исследование уровня общего белка сыворотки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7.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9"/>
              <w:spacing w:before="10" w:after="0"/>
              <w:ind w:hanging="283"/>
              <w:rPr>
                <w:sz w:val="28"/>
                <w:szCs w:val="28"/>
                <w:lang w:val="ru-RU" w:eastAsia="ru-RU"/>
              </w:rPr>
            </w:pPr>
            <w:r w:rsidRPr="001B68EA">
              <w:rPr>
                <w:sz w:val="28"/>
                <w:szCs w:val="28"/>
                <w:lang w:val="ru-RU" w:eastAsia="ru-RU"/>
              </w:rPr>
              <w:t>Исследование уровня амилазы сыворотки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8.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9"/>
              <w:spacing w:before="10" w:after="0"/>
              <w:ind w:hanging="283"/>
              <w:rPr>
                <w:sz w:val="28"/>
                <w:szCs w:val="28"/>
                <w:lang w:val="ru-RU" w:eastAsia="ru-RU"/>
              </w:rPr>
            </w:pPr>
            <w:r w:rsidRPr="001B68EA">
              <w:rPr>
                <w:sz w:val="28"/>
                <w:szCs w:val="28"/>
                <w:lang w:val="ru-RU" w:eastAsia="ru-RU"/>
              </w:rPr>
              <w:t>Исследование креатинина сыворотки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9"/>
              <w:spacing w:before="10" w:after="0"/>
              <w:ind w:hanging="283"/>
              <w:rPr>
                <w:sz w:val="28"/>
                <w:szCs w:val="28"/>
                <w:lang w:val="ru-RU" w:eastAsia="ru-RU"/>
              </w:rPr>
            </w:pPr>
            <w:r w:rsidRPr="001B68EA">
              <w:rPr>
                <w:sz w:val="28"/>
                <w:szCs w:val="28"/>
                <w:lang w:val="ru-RU" w:eastAsia="ru-RU"/>
              </w:rPr>
              <w:t>Исследование мочевой кислоты сыворотки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10.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>Исследование уровня триглицеридов сыворотки крови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4F099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>Онкомаркер специфический СА-125 (женщинам после 40 лет)</w:t>
            </w:r>
          </w:p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 xml:space="preserve">Онкомаркер специфический </w:t>
            </w:r>
            <w:r w:rsidRPr="00420B4B">
              <w:rPr>
                <w:szCs w:val="28"/>
                <w:lang w:val="en-US" w:eastAsia="ru-RU"/>
              </w:rPr>
              <w:t>PSA</w:t>
            </w:r>
            <w:r w:rsidRPr="001B68EA">
              <w:rPr>
                <w:szCs w:val="28"/>
                <w:lang w:val="ru-RU" w:eastAsia="ru-RU"/>
              </w:rPr>
              <w:t xml:space="preserve"> (мужчинам после 40 лет)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>Цитологическое исследование мазка из цервикального канала (женщинам)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>Электрокардиография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29046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>Флюорография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Default="002566A0" w:rsidP="00A81AC6">
            <w:pPr>
              <w:jc w:val="center"/>
            </w:pPr>
            <w:r w:rsidRPr="0029046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566A0" w:rsidRPr="00860E2B" w:rsidTr="00A81AC6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860E2B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17.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1B68EA" w:rsidRDefault="002566A0" w:rsidP="00A81AC6">
            <w:pPr>
              <w:pStyle w:val="ab"/>
              <w:spacing w:before="10"/>
              <w:jc w:val="left"/>
              <w:rPr>
                <w:szCs w:val="28"/>
                <w:lang w:val="ru-RU" w:eastAsia="ru-RU"/>
              </w:rPr>
            </w:pPr>
            <w:r w:rsidRPr="001B68EA">
              <w:rPr>
                <w:szCs w:val="28"/>
                <w:lang w:val="ru-RU" w:eastAsia="ru-RU"/>
              </w:rPr>
              <w:t>Маммография (женщинам после 40 лет)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A0" w:rsidRPr="00860E2B" w:rsidRDefault="002566A0" w:rsidP="00A81AC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2566A0" w:rsidRDefault="002566A0" w:rsidP="002566A0">
      <w:pPr>
        <w:spacing w:before="100" w:beforeAutospacing="1" w:after="0"/>
        <w:ind w:firstLine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>. Требования к характеристикам (описанию) предоставляемых услуг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, к их безопасности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.1. </w:t>
      </w:r>
      <w:bookmarkStart w:id="3" w:name="YANDEX_7"/>
      <w:bookmarkEnd w:id="3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_6"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Диспансеризация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9" w:anchor="YANDEX_8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муниципальных служащих </w:t>
      </w:r>
      <w:r>
        <w:rPr>
          <w:rFonts w:ascii="Times New Roman" w:hAnsi="Times New Roman"/>
          <w:bCs/>
          <w:color w:val="000000"/>
          <w:sz w:val="28"/>
          <w:szCs w:val="28"/>
        </w:rPr>
        <w:t>департамента имущественных отношений</w:t>
      </w:r>
      <w:r w:rsidRPr="00860E2B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 города</w:t>
      </w:r>
      <w:r w:rsidRPr="00860E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60E2B">
        <w:rPr>
          <w:rFonts w:ascii="Times New Roman" w:hAnsi="Times New Roman"/>
          <w:color w:val="000000"/>
          <w:sz w:val="28"/>
          <w:szCs w:val="28"/>
        </w:rPr>
        <w:t>проводится врачами-специалистами с использованием лабораторных и функциональных исследований в следующем объеме: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>.1.1. осмотр врачами-специалистами: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терапевтом,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акушером-гинекологом,</w:t>
      </w:r>
    </w:p>
    <w:p w:rsidR="002566A0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неврологом,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lastRenderedPageBreak/>
        <w:t>урологом (для мужского населения),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хирургом,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офтальмологом,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отоларингологом,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эндокринологом,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психиатром,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психиатром-наркологом;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>.1.2. проведение лабораторных и функциональных исследований: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клинический анализ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клинический анализ мочи,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уровня холестерина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уровня сахара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уровня билирубина,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уровня общего белка сыворотки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уровня амилазы сыворотки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креатинина сыворотки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мочевой кислоты сыворотки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уровня холестерина липопротеидов низкой плотности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сыворотки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исследование уровня триглицеридов сыворотки крови,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 xml:space="preserve">онкомаркер специфический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CA</w:t>
      </w:r>
      <w:r w:rsidRPr="00860E2B">
        <w:rPr>
          <w:rFonts w:ascii="Times New Roman" w:hAnsi="Times New Roman"/>
          <w:color w:val="000000"/>
          <w:sz w:val="28"/>
          <w:szCs w:val="28"/>
        </w:rPr>
        <w:t>-125 (женщинам после 40 лет),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 xml:space="preserve">онкомаркер специфический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PSA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(мужчинам после 40 лет),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цитологическое исследование мазка из цервикального канала,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электрокардиография,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флюорография (1 раз в год),</w:t>
      </w:r>
    </w:p>
    <w:p w:rsidR="002566A0" w:rsidRPr="00860E2B" w:rsidRDefault="002566A0" w:rsidP="002566A0">
      <w:pPr>
        <w:spacing w:after="0"/>
        <w:ind w:firstLine="544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маммография (женщинам после 40 лет, 1 раз в 2 года).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.2. Для прохождения </w:t>
      </w:r>
      <w:bookmarkStart w:id="4" w:name="YANDEX_12"/>
      <w:bookmarkEnd w:id="4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_11"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0" w:anchor="YANDEX_13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представитель нанимателя (Работодатель) составляет поименный список муниципальных служащих и направляет до начала </w:t>
      </w:r>
      <w:bookmarkStart w:id="5" w:name="YANDEX_13"/>
      <w:bookmarkEnd w:id="5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_12"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1" w:anchor="YANDEX_14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в соответствующее медицинское учреждение.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.3. Медицинское учреждение на основании полученного от представителя нанимателя (Работодателя) поименного списка муниципальных служащих, подлежащих </w:t>
      </w:r>
      <w:bookmarkStart w:id="6" w:name="YANDEX_14"/>
      <w:bookmarkEnd w:id="6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_13"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2" w:anchor="YANDEX_15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, утверждает совместно с представителем нанимателя (Работодателем) график прохождения </w:t>
      </w:r>
      <w:bookmarkStart w:id="7" w:name="YANDEX_15"/>
      <w:bookmarkEnd w:id="7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_14"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3" w:anchor="YANDEX_16" w:history="1"/>
      <w:r w:rsidRPr="00860E2B">
        <w:rPr>
          <w:rFonts w:ascii="Times New Roman" w:hAnsi="Times New Roman"/>
          <w:color w:val="000000"/>
          <w:sz w:val="28"/>
          <w:szCs w:val="28"/>
        </w:rPr>
        <w:t>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.4. На муниципального служащего, явившегося для прохождения </w:t>
      </w:r>
      <w:bookmarkStart w:id="8" w:name="YANDEX_16"/>
      <w:bookmarkEnd w:id="8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_15"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hyperlink r:id="rId14" w:anchor="YANDEX_17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, в регистратуре медицинского учреждения подбирается (или заполняется) учетная форма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025/у-04 «Медицинская карта амбулаторного больного», утвержденная Приказом </w:t>
      </w:r>
      <w:r w:rsidRPr="00860E2B">
        <w:rPr>
          <w:rFonts w:ascii="Times New Roman" w:hAnsi="Times New Roman"/>
          <w:color w:val="000000"/>
          <w:sz w:val="28"/>
          <w:szCs w:val="28"/>
        </w:rPr>
        <w:lastRenderedPageBreak/>
        <w:t xml:space="preserve">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 w:rsidRPr="00860E2B">
          <w:rPr>
            <w:rFonts w:ascii="Times New Roman" w:hAnsi="Times New Roman"/>
            <w:color w:val="000000"/>
            <w:sz w:val="28"/>
            <w:szCs w:val="28"/>
          </w:rPr>
          <w:t>2004 г</w:t>
        </w:r>
      </w:smartTag>
      <w:r w:rsidRPr="00860E2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 w:rsidRPr="00860E2B">
          <w:rPr>
            <w:rFonts w:ascii="Times New Roman" w:hAnsi="Times New Roman"/>
            <w:color w:val="000000"/>
            <w:sz w:val="28"/>
            <w:szCs w:val="28"/>
          </w:rPr>
          <w:t>2004 г</w:t>
        </w:r>
      </w:smartTag>
      <w:r w:rsidRPr="00860E2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6188)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 которое возложены функции по организации проведения </w:t>
      </w:r>
      <w:bookmarkStart w:id="9" w:name="YANDEX_17"/>
      <w:bookmarkEnd w:id="9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_16"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5" w:anchor="YANDEX_18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муниципальных служащих (далее - кабинет (отделение) медицинской профилактики).</w:t>
      </w:r>
    </w:p>
    <w:p w:rsidR="002566A0" w:rsidRPr="00860E2B" w:rsidRDefault="002566A0" w:rsidP="002566A0">
      <w:pPr>
        <w:autoSpaceDE w:val="0"/>
        <w:autoSpaceDN w:val="0"/>
        <w:adjustRightInd w:val="0"/>
        <w:spacing w:after="0"/>
        <w:ind w:firstLine="54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 xml:space="preserve">В кабинете (отделении) медицинской профилактики заполняются разделы учетной формы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025/у-ГС «Паспорт здоровья» (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 1 </w:t>
      </w:r>
      <w:r w:rsidRPr="00860E2B">
        <w:rPr>
          <w:rFonts w:ascii="Times New Roman" w:hAnsi="Times New Roman"/>
          <w:bCs/>
          <w:sz w:val="28"/>
          <w:szCs w:val="28"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 w:rsidRPr="00860E2B">
          <w:rPr>
            <w:rFonts w:ascii="Times New Roman" w:hAnsi="Times New Roman"/>
            <w:bCs/>
            <w:sz w:val="28"/>
            <w:szCs w:val="28"/>
          </w:rPr>
          <w:t>2009 г</w:t>
        </w:r>
      </w:smartTag>
      <w:r w:rsidRPr="00860E2B">
        <w:rPr>
          <w:rFonts w:ascii="Times New Roman" w:hAnsi="Times New Roman"/>
          <w:bCs/>
          <w:sz w:val="28"/>
          <w:szCs w:val="28"/>
        </w:rPr>
        <w:t>. N 984н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) (далее - Паспорт здоровья), после чего муниципальный служащий направляется к врачам-специалистам и на диагностические исследования, проводимые в рамках </w:t>
      </w:r>
      <w:bookmarkStart w:id="10" w:name="YANDEX_18"/>
      <w:bookmarkEnd w:id="10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_17"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hyperlink r:id="rId16" w:anchor="YANDEX_19" w:history="1"/>
      <w:r w:rsidRPr="00860E2B">
        <w:rPr>
          <w:rFonts w:ascii="Times New Roman" w:hAnsi="Times New Roman"/>
          <w:color w:val="000000"/>
          <w:sz w:val="28"/>
          <w:szCs w:val="28"/>
        </w:rPr>
        <w:t>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.5. Врачи-специалисты, принимающие участие в проведении </w:t>
      </w:r>
      <w:bookmarkStart w:id="11" w:name="YANDEX_19"/>
      <w:bookmarkEnd w:id="1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_18"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7" w:anchor="YANDEX_20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муниципальных служащих, заносят результаты проведенных ими в рамках </w:t>
      </w:r>
      <w:bookmarkStart w:id="12" w:name="YANDEX_20"/>
      <w:bookmarkEnd w:id="12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_19"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8" w:anchor="YANDEX_21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обследований в амбулаторную карту муниципального служащего и учетную форму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131/у-ГС «Карта учета </w:t>
      </w:r>
      <w:bookmarkStart w:id="13" w:name="YANDEX_21"/>
      <w:bookmarkEnd w:id="13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_20"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19" w:anchor="YANDEX_22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государственного гражданского служащего </w:t>
      </w:r>
      <w:r w:rsidRPr="00860E2B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860E2B">
        <w:rPr>
          <w:rFonts w:ascii="Times New Roman" w:hAnsi="Times New Roman"/>
          <w:color w:val="000000"/>
          <w:sz w:val="28"/>
          <w:szCs w:val="28"/>
        </w:rPr>
        <w:t>и муниципального служащего» (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 xml:space="preserve"> 2 </w:t>
      </w:r>
      <w:r w:rsidRPr="00860E2B">
        <w:rPr>
          <w:rFonts w:ascii="Times New Roman" w:hAnsi="Times New Roman"/>
          <w:bCs/>
          <w:sz w:val="28"/>
          <w:szCs w:val="28"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 w:rsidRPr="00860E2B">
          <w:rPr>
            <w:rFonts w:ascii="Times New Roman" w:hAnsi="Times New Roman"/>
            <w:bCs/>
            <w:sz w:val="28"/>
            <w:szCs w:val="28"/>
          </w:rPr>
          <w:t>2009 г</w:t>
        </w:r>
      </w:smartTag>
      <w:r w:rsidRPr="00860E2B">
        <w:rPr>
          <w:rFonts w:ascii="Times New Roman" w:hAnsi="Times New Roman"/>
          <w:bCs/>
          <w:sz w:val="28"/>
          <w:szCs w:val="28"/>
        </w:rPr>
        <w:t>. N 984н</w:t>
      </w:r>
      <w:r w:rsidRPr="00860E2B">
        <w:rPr>
          <w:rFonts w:ascii="Times New Roman" w:hAnsi="Times New Roman"/>
          <w:color w:val="000000"/>
          <w:sz w:val="28"/>
          <w:szCs w:val="28"/>
        </w:rPr>
        <w:t>) (далее - Карта).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</w:t>
      </w:r>
      <w:bookmarkStart w:id="14" w:name="YANDEX_22"/>
      <w:bookmarkEnd w:id="14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_21"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20" w:anchor="YANDEX_23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(далее - врач-терапевт).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>.6. В случае выявления у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</w:t>
      </w:r>
      <w:bookmarkStart w:id="15" w:name="YANDEX_23"/>
      <w:bookmarkEnd w:id="15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_22"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hyperlink r:id="rId21" w:anchor="YANDEX_24" w:history="1"/>
      <w:r w:rsidRPr="00860E2B">
        <w:rPr>
          <w:rFonts w:ascii="Times New Roman" w:hAnsi="Times New Roman"/>
          <w:color w:val="000000"/>
          <w:sz w:val="28"/>
          <w:szCs w:val="28"/>
        </w:rPr>
        <w:t>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lastRenderedPageBreak/>
        <w:t xml:space="preserve">В случае отсутствия в медицинском учреждении, проводящем </w:t>
      </w:r>
      <w:bookmarkStart w:id="16" w:name="YANDEX_24"/>
      <w:bookmarkEnd w:id="16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_23"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диспансеризацию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22" w:anchor="YANDEX_25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.7. При прохождении </w:t>
      </w:r>
      <w:bookmarkStart w:id="17" w:name="YANDEX_25"/>
      <w:bookmarkEnd w:id="17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_24"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23" w:anchor="YANDEX_26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на каждое посещение муниципальным служащим врача-специалиста заполняется учетная форма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025-12/у «Талон амбулаторного пациента», утвержденная Приказом 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 w:rsidRPr="00860E2B">
          <w:rPr>
            <w:rFonts w:ascii="Times New Roman" w:hAnsi="Times New Roman"/>
            <w:color w:val="000000"/>
            <w:sz w:val="28"/>
            <w:szCs w:val="28"/>
          </w:rPr>
          <w:t>2004 г</w:t>
        </w:r>
      </w:smartTag>
      <w:r w:rsidRPr="00860E2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 w:rsidRPr="00860E2B">
          <w:rPr>
            <w:rFonts w:ascii="Times New Roman" w:hAnsi="Times New Roman"/>
            <w:color w:val="000000"/>
            <w:sz w:val="28"/>
            <w:szCs w:val="28"/>
          </w:rPr>
          <w:t>2004 г</w:t>
        </w:r>
      </w:smartTag>
      <w:r w:rsidRPr="00860E2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6188), с отметками литерами «ГС».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2.8. Д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еятельность по </w:t>
      </w:r>
      <w:hyperlink r:id="rId24" w:anchor="YANDEX_3" w:history="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должна осуществляться</w:t>
      </w:r>
      <w:hyperlink r:id="rId25" w:anchor="YANDEX_5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в соответствии с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6" w:anchor="YANDEX_4" w:history="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27" w:anchor="YANDEX_6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 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Медицинское учреждение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должн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иметь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 и</w:t>
      </w:r>
      <w:r w:rsidRPr="00860E2B">
        <w:rPr>
          <w:rFonts w:ascii="Times New Roman" w:hAnsi="Times New Roman"/>
          <w:sz w:val="28"/>
          <w:szCs w:val="28"/>
        </w:rPr>
        <w:t xml:space="preserve"> одновременно с передачей подписанного экземпляра государственного контракта предоставить копии действующих лицензий</w:t>
      </w:r>
      <w:r w:rsidRPr="00860E2B">
        <w:rPr>
          <w:rFonts w:ascii="Times New Roman" w:hAnsi="Times New Roman"/>
          <w:color w:val="000000"/>
          <w:sz w:val="28"/>
          <w:szCs w:val="28"/>
        </w:rPr>
        <w:t>.</w:t>
      </w:r>
    </w:p>
    <w:p w:rsidR="002566A0" w:rsidRPr="00860E2B" w:rsidRDefault="002566A0" w:rsidP="002566A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10.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0E2B">
        <w:rPr>
          <w:rFonts w:ascii="Times New Roman" w:hAnsi="Times New Roman"/>
          <w:sz w:val="28"/>
          <w:szCs w:val="28"/>
        </w:rPr>
        <w:t xml:space="preserve">В случае отсутствия в медицинском учреждении лицензии на медицинскую деятельность по отдельным видам услуг, необходимых для проведения диспансеризации в полном объеме, участники размещения заказа должны одновременно с передачей подписанного экземпляра контракта предоставить копии договоров с медицинскими организациями, имеющими лицензии на соответствующие виды деятельности, о привлечении медицинских работников этих организаций к диспансеризации. </w:t>
      </w:r>
    </w:p>
    <w:p w:rsidR="002566A0" w:rsidRPr="00860E2B" w:rsidRDefault="002566A0" w:rsidP="002566A0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860E2B">
        <w:rPr>
          <w:rFonts w:ascii="Times New Roman" w:hAnsi="Times New Roman"/>
          <w:sz w:val="28"/>
          <w:szCs w:val="28"/>
        </w:rPr>
        <w:t>. Все виды услуг, необходимых для проведения диспансеризации в полном объеме, должны быть оказаны на территории одного медицинского учреждения (участника размещения заказа).</w:t>
      </w:r>
    </w:p>
    <w:p w:rsidR="002566A0" w:rsidRPr="00860E2B" w:rsidRDefault="002566A0" w:rsidP="002566A0">
      <w:pPr>
        <w:spacing w:after="0"/>
        <w:ind w:firstLine="54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>. Требования к качеству и порядку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.1. Качество и порядок оказания услуг должны полностью соответствовать требованиям, установленным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8" w:anchor="YANDEX_4" w:history="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29" w:anchor="YANDEX_6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.2. </w:t>
      </w:r>
      <w:bookmarkStart w:id="18" w:name="YANDEX_8"/>
      <w:bookmarkEnd w:id="18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_7"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Диспансеризация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0" w:anchor="YANDEX_9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муниципальных служащих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департамента имущественных отношений </w:t>
      </w:r>
      <w:r w:rsidRPr="00860E2B">
        <w:rPr>
          <w:rFonts w:ascii="Times New Roman" w:hAnsi="Times New Roman"/>
          <w:bCs/>
          <w:color w:val="000000"/>
          <w:sz w:val="28"/>
          <w:szCs w:val="28"/>
        </w:rPr>
        <w:t xml:space="preserve"> администрации города</w:t>
      </w:r>
      <w:r w:rsidRPr="00860E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проводится в служебное время муниципальных служащих (понедельник-четверг с 09.00 до 18.00, пятница - с 09.00 до 17.00) в соответствии с утвержденным графиком прохождения </w:t>
      </w:r>
      <w:hyperlink r:id="rId31" w:anchor="YANDEX_68" w:history="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диспансеризации. 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860E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.3. М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униципальные служащие проходят </w:t>
      </w:r>
      <w:bookmarkStart w:id="19" w:name="YANDEX_10"/>
      <w:bookmarkEnd w:id="19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_9"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диспансеризацию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2" w:anchor="YANDEX_11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в сроки, установленные графиком. 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В случае невозможности прохождения муниципальным служащим</w:t>
      </w:r>
      <w:hyperlink r:id="rId33" w:anchor="YANDEX_68" w:history="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4" w:anchor="YANDEX_70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в установленные сроки по уважительным причинам сроки ее прохождения представителем нанимателя (Работодателем) согласуются с медицинским учреждением. </w:t>
      </w:r>
    </w:p>
    <w:p w:rsidR="002566A0" w:rsidRPr="00860E2B" w:rsidRDefault="002566A0" w:rsidP="002566A0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66A0" w:rsidRPr="00860E2B" w:rsidRDefault="002566A0" w:rsidP="002566A0">
      <w:pPr>
        <w:spacing w:after="0"/>
        <w:ind w:firstLine="54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860E2B">
        <w:rPr>
          <w:rFonts w:ascii="Times New Roman" w:hAnsi="Times New Roman"/>
          <w:b/>
          <w:bCs/>
          <w:color w:val="000000"/>
          <w:sz w:val="28"/>
          <w:szCs w:val="28"/>
        </w:rPr>
        <w:t>. Требования к месту, условиям и срокам (периодам) оказания услуг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60E2B">
        <w:rPr>
          <w:rFonts w:ascii="Times New Roman" w:hAnsi="Times New Roman"/>
          <w:color w:val="000000"/>
          <w:sz w:val="28"/>
          <w:szCs w:val="28"/>
        </w:rPr>
        <w:t>.1. Место проведения диспансеризации – медицинское учреждение, которое должно находится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- на территории города Перми,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в пределах </w:t>
      </w:r>
      <w:r>
        <w:rPr>
          <w:rFonts w:ascii="Times New Roman" w:hAnsi="Times New Roman"/>
          <w:color w:val="000000"/>
          <w:sz w:val="28"/>
          <w:szCs w:val="28"/>
        </w:rPr>
        <w:t xml:space="preserve">транспотной 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доступности от здания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департамента имущественных отношений администрации 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г.Перми, находящегося по ул. </w:t>
      </w:r>
      <w:r>
        <w:rPr>
          <w:rFonts w:ascii="Times New Roman" w:hAnsi="Times New Roman"/>
          <w:color w:val="000000"/>
          <w:sz w:val="28"/>
          <w:szCs w:val="28"/>
        </w:rPr>
        <w:t>Сибирской,14 (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общее время в пути от здания по ул. </w:t>
      </w:r>
      <w:r>
        <w:rPr>
          <w:rFonts w:ascii="Times New Roman" w:hAnsi="Times New Roman"/>
          <w:color w:val="000000"/>
          <w:sz w:val="28"/>
          <w:szCs w:val="28"/>
        </w:rPr>
        <w:t>Сибирской,14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до здания медицинского учреждения, где проводится диспансеризация не должно превышать 30 минут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566A0" w:rsidRPr="00860E2B" w:rsidRDefault="002566A0" w:rsidP="002566A0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с возможностью использования транспорта общего пользования (кроме такси) без пересадок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.2. Диспансеризация муниципальных служащих должна осуществляться отдельно от других посетителей медицинского учреждения (не в рамках общей очереди). 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.3. Периодом оказания услуг является период </w:t>
      </w:r>
      <w:r w:rsidRPr="00860E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 дня заключения контракта 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</w:rPr>
        <w:t>15.11.</w:t>
      </w:r>
      <w:r w:rsidRPr="00860E2B"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Pr="00860E2B">
        <w:rPr>
          <w:rFonts w:ascii="Times New Roman" w:hAnsi="Times New Roman"/>
          <w:color w:val="000000"/>
          <w:sz w:val="28"/>
          <w:szCs w:val="28"/>
        </w:rPr>
        <w:tab/>
      </w:r>
    </w:p>
    <w:p w:rsidR="002566A0" w:rsidRPr="00860E2B" w:rsidRDefault="002566A0" w:rsidP="002566A0">
      <w:pPr>
        <w:spacing w:after="0"/>
        <w:ind w:firstLine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860E2B">
        <w:rPr>
          <w:rFonts w:ascii="Times New Roman" w:hAnsi="Times New Roman"/>
          <w:b/>
          <w:color w:val="000000"/>
          <w:sz w:val="28"/>
          <w:szCs w:val="28"/>
        </w:rPr>
        <w:t>. Требования по соблюдению режима конфиденциальности в отношении полученной информации.</w:t>
      </w:r>
    </w:p>
    <w:p w:rsidR="002566A0" w:rsidRPr="00860E2B" w:rsidRDefault="002566A0" w:rsidP="002566A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860E2B">
        <w:rPr>
          <w:rFonts w:ascii="Times New Roman" w:hAnsi="Times New Roman"/>
          <w:color w:val="000000"/>
          <w:sz w:val="28"/>
          <w:szCs w:val="28"/>
        </w:rPr>
        <w:t>.1. Исполнитель обеспечивает конфиденциальность следующей информации:</w:t>
      </w:r>
    </w:p>
    <w:p w:rsidR="002566A0" w:rsidRPr="00860E2B" w:rsidRDefault="002566A0" w:rsidP="002566A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860E2B">
        <w:rPr>
          <w:rFonts w:ascii="Times New Roman" w:hAnsi="Times New Roman"/>
          <w:color w:val="000000"/>
          <w:sz w:val="28"/>
          <w:szCs w:val="28"/>
        </w:rPr>
        <w:t>.1.1. сведения о заболеваниях муниципальных служащих, а также о конкретных случаях их обращения за медицинской помощью,</w:t>
      </w:r>
    </w:p>
    <w:p w:rsidR="002566A0" w:rsidRPr="00860E2B" w:rsidRDefault="002566A0" w:rsidP="002566A0">
      <w:pPr>
        <w:shd w:val="clear" w:color="auto" w:fill="FFFFFF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860E2B">
        <w:rPr>
          <w:rFonts w:ascii="Times New Roman" w:hAnsi="Times New Roman"/>
          <w:color w:val="000000"/>
          <w:sz w:val="28"/>
          <w:szCs w:val="28"/>
        </w:rPr>
        <w:t>.1.2. персональных данных муниципальных служащих и безопасность персональных данных при их обработке.</w:t>
      </w:r>
    </w:p>
    <w:p w:rsidR="002566A0" w:rsidRPr="00860E2B" w:rsidRDefault="002566A0" w:rsidP="002566A0">
      <w:pPr>
        <w:widowControl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860E2B">
        <w:rPr>
          <w:rFonts w:ascii="Times New Roman" w:hAnsi="Times New Roman"/>
          <w:color w:val="000000"/>
          <w:sz w:val="28"/>
          <w:szCs w:val="28"/>
        </w:rPr>
        <w:t>.2. Исполнитель при обработке персональных данных принимает все необходимые меры для защиты персональных данных от неправомерного или случайного доступа к ним.</w:t>
      </w:r>
    </w:p>
    <w:p w:rsidR="002566A0" w:rsidRPr="00860E2B" w:rsidRDefault="002566A0" w:rsidP="002566A0">
      <w:pPr>
        <w:widowControl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860E2B">
        <w:rPr>
          <w:rFonts w:ascii="Times New Roman" w:hAnsi="Times New Roman"/>
          <w:color w:val="000000"/>
          <w:sz w:val="28"/>
          <w:szCs w:val="28"/>
        </w:rPr>
        <w:t>.3. Передача конфиденциальной информации иным лицам или иное разглашение этой информации может осуществляться только с письменного согласия  Заказчика и конкретного муниципального служащего.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66A0" w:rsidRPr="00860E2B" w:rsidRDefault="002566A0" w:rsidP="002566A0">
      <w:pPr>
        <w:spacing w:after="0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566A0" w:rsidRPr="00860E2B" w:rsidRDefault="002566A0" w:rsidP="002566A0">
      <w:pPr>
        <w:spacing w:after="0"/>
        <w:ind w:firstLine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860E2B">
        <w:rPr>
          <w:rFonts w:ascii="Times New Roman" w:hAnsi="Times New Roman"/>
          <w:b/>
          <w:color w:val="000000"/>
          <w:sz w:val="28"/>
          <w:szCs w:val="28"/>
        </w:rPr>
        <w:t>. Требования к результатам оказываемых услуг.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.1. После обследования муниципального служащего, проведенного в соответствии с установленным настоящим Порядком объемом </w:t>
      </w:r>
      <w:bookmarkStart w:id="20" w:name="YANDEX_26"/>
      <w:bookmarkEnd w:id="20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_25"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5" w:anchor="YANDEX_27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, врач-терапевт с учетом заключений врачей-специалистов, принимающих участие в проведении </w:t>
      </w:r>
      <w:bookmarkStart w:id="21" w:name="YANDEX_27"/>
      <w:bookmarkEnd w:id="2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_26"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6" w:anchor="YANDEX_28" w:history="1"/>
      <w:r w:rsidRPr="00860E2B">
        <w:rPr>
          <w:rFonts w:ascii="Times New Roman" w:hAnsi="Times New Roman"/>
          <w:color w:val="000000"/>
          <w:sz w:val="28"/>
          <w:szCs w:val="28"/>
        </w:rPr>
        <w:t>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группа - практически здоровые, не нуждающиеся в дальнейшем диспансерном наблюдении. С ними проводится профилактическая беседа и даются рекомендации по здоровому образу жизни;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группа - с риском развития заболевания, нуждающиеся в проведении профилактических мероприятий;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группа - нуждающиеся в дополнительном обследовании и лечении заболевания, выявленного во время </w:t>
      </w:r>
      <w:bookmarkStart w:id="22" w:name="YANDEX_28"/>
      <w:bookmarkEnd w:id="22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_27"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7" w:anchor="YANDEX_29" w:history="1"/>
      <w:r w:rsidRPr="00860E2B">
        <w:rPr>
          <w:rFonts w:ascii="Times New Roman" w:hAnsi="Times New Roman"/>
          <w:color w:val="000000"/>
          <w:sz w:val="28"/>
          <w:szCs w:val="28"/>
        </w:rPr>
        <w:t>, в стационарных условиях;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lastRenderedPageBreak/>
        <w:t xml:space="preserve">Муниципальным служащим, отнесенным к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.2. После проведения </w:t>
      </w:r>
      <w:bookmarkStart w:id="23" w:name="YANDEX_29"/>
      <w:bookmarkEnd w:id="23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_28"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8" w:anchor="YANDEX_30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60E2B">
        <w:rPr>
          <w:rFonts w:ascii="Times New Roman" w:hAnsi="Times New Roman"/>
          <w:color w:val="000000"/>
          <w:sz w:val="28"/>
          <w:szCs w:val="28"/>
        </w:rPr>
        <w:t>.3.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.4. По окончании прохождения </w:t>
      </w:r>
      <w:bookmarkStart w:id="24" w:name="YANDEX_30"/>
      <w:bookmarkEnd w:id="24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_29"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39" w:anchor="YANDEX_31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врач-терапевт заполняет Паспорт здоровья в печатном виде, в котором отмечаются результаты осмотров врачей-специалистов (включая дополнительные консультации), с приложением копии анализов, исследований (включая дополнительные), проведенных в процессе осуществления </w:t>
      </w:r>
      <w:bookmarkStart w:id="25" w:name="YANDEX_31"/>
      <w:bookmarkEnd w:id="25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_30"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40" w:anchor="YANDEX_32" w:history="1"/>
      <w:r w:rsidRPr="00860E2B">
        <w:rPr>
          <w:rFonts w:ascii="Times New Roman" w:hAnsi="Times New Roman"/>
          <w:color w:val="000000"/>
          <w:sz w:val="28"/>
          <w:szCs w:val="28"/>
        </w:rPr>
        <w:t>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 w:rsidRPr="00860E2B">
        <w:rPr>
          <w:rFonts w:ascii="Times New Roman" w:hAnsi="Times New Roman"/>
          <w:color w:val="000000"/>
          <w:sz w:val="28"/>
          <w:szCs w:val="28"/>
        </w:rPr>
        <w:t>Паспорт здоровья хранится у муниципального служащего.</w:t>
      </w:r>
    </w:p>
    <w:p w:rsidR="002566A0" w:rsidRPr="00860E2B" w:rsidRDefault="002566A0" w:rsidP="002566A0">
      <w:pPr>
        <w:spacing w:after="0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.5. Медицинское учреждение на основании результатов </w:t>
      </w:r>
      <w:bookmarkStart w:id="26" w:name="YANDEX_32"/>
      <w:bookmarkEnd w:id="26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HYPERLINK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://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hghltd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net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/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yandbtm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?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fmode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envelope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url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http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%3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Fwww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nvraion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Fupload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Fiblock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3%2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Ffxjekksgvwfn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.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lr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=50&amp;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text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1%82%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BA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0%20%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1%81%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5%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1%86%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0%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8%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1%8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10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ru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mime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doc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sign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=8578032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74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ddebef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d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2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7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ac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1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6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bc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4846&amp;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keyno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>=0" \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l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 "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instrText>YANDEX</w:instrText>
      </w:r>
      <w:r w:rsidRPr="00860E2B">
        <w:rPr>
          <w:rFonts w:ascii="Times New Roman" w:hAnsi="Times New Roman"/>
          <w:color w:val="000000"/>
          <w:sz w:val="28"/>
          <w:szCs w:val="28"/>
        </w:rPr>
        <w:instrText xml:space="preserve">_31" </w:instrTex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41" w:anchor="YANDEX_33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 ее прохождению (учетная форма 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001-ГС/у) по установленной форме (</w:t>
      </w:r>
      <w:r w:rsidRPr="00860E2B">
        <w:rPr>
          <w:rFonts w:ascii="Times New Roman" w:hAnsi="Times New Roman"/>
          <w:b/>
          <w:color w:val="000000"/>
          <w:sz w:val="28"/>
          <w:szCs w:val="28"/>
        </w:rPr>
        <w:t xml:space="preserve">приложение </w:t>
      </w:r>
      <w:r w:rsidRPr="00860E2B">
        <w:rPr>
          <w:rFonts w:ascii="Times New Roman" w:hAnsi="Times New Roman"/>
          <w:b/>
          <w:color w:val="000000"/>
          <w:sz w:val="28"/>
          <w:szCs w:val="28"/>
          <w:lang w:val="en-US"/>
        </w:rPr>
        <w:t>N</w:t>
      </w:r>
      <w:r w:rsidRPr="00860E2B">
        <w:rPr>
          <w:rFonts w:ascii="Times New Roman" w:hAnsi="Times New Roman"/>
          <w:b/>
          <w:color w:val="000000"/>
          <w:sz w:val="28"/>
          <w:szCs w:val="28"/>
        </w:rPr>
        <w:t xml:space="preserve"> 3 </w:t>
      </w:r>
      <w:r w:rsidRPr="00860E2B">
        <w:rPr>
          <w:rFonts w:ascii="Times New Roman" w:hAnsi="Times New Roman"/>
          <w:bCs/>
          <w:sz w:val="28"/>
          <w:szCs w:val="28"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</w:t>
      </w:r>
      <w:r w:rsidRPr="00860E2B">
        <w:rPr>
          <w:rFonts w:ascii="Times New Roman" w:hAnsi="Times New Roman"/>
          <w:bCs/>
          <w:sz w:val="28"/>
          <w:szCs w:val="28"/>
        </w:rPr>
        <w:lastRenderedPageBreak/>
        <w:t xml:space="preserve">декабря </w:t>
      </w:r>
      <w:smartTag w:uri="urn:schemas-microsoft-com:office:smarttags" w:element="metricconverter">
        <w:smartTagPr>
          <w:attr w:name="ProductID" w:val="2009 г"/>
        </w:smartTagPr>
        <w:r w:rsidRPr="00860E2B">
          <w:rPr>
            <w:rFonts w:ascii="Times New Roman" w:hAnsi="Times New Roman"/>
            <w:bCs/>
            <w:sz w:val="28"/>
            <w:szCs w:val="28"/>
          </w:rPr>
          <w:t>2009 г</w:t>
        </w:r>
      </w:smartTag>
      <w:r w:rsidRPr="00860E2B">
        <w:rPr>
          <w:rFonts w:ascii="Times New Roman" w:hAnsi="Times New Roman"/>
          <w:bCs/>
          <w:sz w:val="28"/>
          <w:szCs w:val="28"/>
        </w:rPr>
        <w:t>. N 984н)</w:t>
      </w:r>
      <w:r w:rsidRPr="00860E2B">
        <w:rPr>
          <w:rFonts w:ascii="Times New Roman" w:hAnsi="Times New Roman"/>
          <w:color w:val="000000"/>
          <w:sz w:val="28"/>
          <w:szCs w:val="28"/>
        </w:rPr>
        <w:t>, подписываемое врачебной комиссией медицинского учреждения (далее - Заключение) без указания диагноза и других медицинских данных.</w:t>
      </w:r>
    </w:p>
    <w:p w:rsidR="002566A0" w:rsidRPr="00860E2B" w:rsidRDefault="002566A0" w:rsidP="002566A0">
      <w:pPr>
        <w:spacing w:after="0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.6. В случае если муниципальному служащему по результатам </w:t>
      </w:r>
      <w:hyperlink r:id="rId42" w:anchor="YANDEX_32" w:history="1"/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60E2B">
        <w:rPr>
          <w:rFonts w:ascii="Times New Roman" w:hAnsi="Times New Roman"/>
          <w:color w:val="000000"/>
          <w:sz w:val="28"/>
          <w:szCs w:val="28"/>
        </w:rPr>
        <w:t>диспансеризации</w:t>
      </w:r>
      <w:r w:rsidRPr="00860E2B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r:id="rId43" w:anchor="YANDEX_34" w:history="1"/>
      <w:r w:rsidRPr="00860E2B">
        <w:rPr>
          <w:rFonts w:ascii="Times New Roman" w:hAnsi="Times New Roman"/>
          <w:color w:val="000000"/>
          <w:sz w:val="28"/>
          <w:szCs w:val="28"/>
        </w:rPr>
        <w:t xml:space="preserve">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в </w:t>
      </w:r>
      <w:r>
        <w:rPr>
          <w:rFonts w:ascii="Times New Roman" w:hAnsi="Times New Roman"/>
          <w:color w:val="000000"/>
          <w:sz w:val="28"/>
          <w:szCs w:val="28"/>
        </w:rPr>
        <w:t>сектор</w:t>
      </w:r>
      <w:r w:rsidRPr="00860E2B">
        <w:rPr>
          <w:rFonts w:ascii="Times New Roman" w:hAnsi="Times New Roman"/>
          <w:color w:val="000000"/>
          <w:sz w:val="28"/>
          <w:szCs w:val="28"/>
        </w:rPr>
        <w:t xml:space="preserve"> по вопросам муниципальной службы и кадров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департамента имущественных отношений </w:t>
      </w:r>
      <w:r w:rsidRPr="00860E2B">
        <w:rPr>
          <w:rFonts w:ascii="Times New Roman" w:hAnsi="Times New Roman"/>
          <w:color w:val="000000"/>
          <w:sz w:val="28"/>
          <w:szCs w:val="28"/>
        </w:rPr>
        <w:t>администрации города Перми по месту прохождения муниципальной службы в 10-дневный срок.</w:t>
      </w:r>
    </w:p>
    <w:p w:rsidR="00F26E49" w:rsidRDefault="00F26E49">
      <w:bookmarkStart w:id="27" w:name="_GoBack"/>
      <w:bookmarkEnd w:id="27"/>
    </w:p>
    <w:sectPr w:rsidR="00F2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32629"/>
    <w:multiLevelType w:val="multilevel"/>
    <w:tmpl w:val="6B32E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050956AC"/>
    <w:multiLevelType w:val="hybridMultilevel"/>
    <w:tmpl w:val="B306A09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78F"/>
    <w:multiLevelType w:val="multilevel"/>
    <w:tmpl w:val="3B4AF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77AD3"/>
    <w:multiLevelType w:val="hybridMultilevel"/>
    <w:tmpl w:val="FA9822B4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36D3E"/>
    <w:multiLevelType w:val="hybridMultilevel"/>
    <w:tmpl w:val="A15843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DB2A92"/>
    <w:multiLevelType w:val="multilevel"/>
    <w:tmpl w:val="DE32B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724CFC"/>
    <w:multiLevelType w:val="hybridMultilevel"/>
    <w:tmpl w:val="25627D80"/>
    <w:lvl w:ilvl="0" w:tplc="5F2A35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E467BA"/>
    <w:multiLevelType w:val="multilevel"/>
    <w:tmpl w:val="275444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26C18C1"/>
    <w:multiLevelType w:val="hybridMultilevel"/>
    <w:tmpl w:val="DF2C3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C113628"/>
    <w:multiLevelType w:val="hybridMultilevel"/>
    <w:tmpl w:val="A8181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3A39DE"/>
    <w:multiLevelType w:val="multilevel"/>
    <w:tmpl w:val="7AE6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454038"/>
    <w:multiLevelType w:val="multilevel"/>
    <w:tmpl w:val="C64E572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6E603A9D"/>
    <w:multiLevelType w:val="multilevel"/>
    <w:tmpl w:val="9E8249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5">
    <w:abstractNumId w:val="2"/>
  </w:num>
  <w:num w:numId="6">
    <w:abstractNumId w:val="8"/>
  </w:num>
  <w:num w:numId="7">
    <w:abstractNumId w:val="14"/>
  </w:num>
  <w:num w:numId="8">
    <w:abstractNumId w:val="9"/>
  </w:num>
  <w:num w:numId="9">
    <w:abstractNumId w:val="7"/>
  </w:num>
  <w:num w:numId="10">
    <w:abstractNumId w:val="11"/>
  </w:num>
  <w:num w:numId="11">
    <w:abstractNumId w:val="12"/>
  </w:num>
  <w:num w:numId="12">
    <w:abstractNumId w:val="3"/>
  </w:num>
  <w:num w:numId="13">
    <w:abstractNumId w:val="13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D1"/>
    <w:rsid w:val="002566A0"/>
    <w:rsid w:val="00621DD1"/>
    <w:rsid w:val="00F2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A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566A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2566A0"/>
    <w:pPr>
      <w:keepNext/>
      <w:spacing w:after="0" w:line="240" w:lineRule="auto"/>
      <w:ind w:left="998" w:hanging="858"/>
      <w:outlineLvl w:val="1"/>
    </w:pPr>
    <w:rPr>
      <w:rFonts w:ascii="Arial" w:eastAsia="Times New Roman" w:hAnsi="Arial"/>
      <w:i/>
      <w:color w:val="FF0000"/>
      <w:sz w:val="20"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2566A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2566A0"/>
    <w:pPr>
      <w:keepNext/>
      <w:widowControl w:val="0"/>
      <w:spacing w:after="0" w:line="240" w:lineRule="auto"/>
      <w:jc w:val="both"/>
      <w:outlineLvl w:val="3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2566A0"/>
    <w:pPr>
      <w:widowControl w:val="0"/>
      <w:spacing w:before="240" w:after="60" w:line="240" w:lineRule="auto"/>
      <w:jc w:val="both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2566A0"/>
    <w:pPr>
      <w:widowControl w:val="0"/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2566A0"/>
    <w:pPr>
      <w:widowControl w:val="0"/>
      <w:spacing w:before="240" w:after="60" w:line="240" w:lineRule="auto"/>
      <w:jc w:val="both"/>
      <w:outlineLvl w:val="6"/>
    </w:pPr>
    <w:rPr>
      <w:rFonts w:ascii="Arial" w:eastAsia="Times New Roman" w:hAnsi="Arial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2566A0"/>
    <w:pPr>
      <w:widowControl w:val="0"/>
      <w:spacing w:before="240" w:after="60" w:line="240" w:lineRule="auto"/>
      <w:jc w:val="both"/>
      <w:outlineLvl w:val="7"/>
    </w:pPr>
    <w:rPr>
      <w:rFonts w:ascii="Arial" w:eastAsia="Times New Roman" w:hAnsi="Arial"/>
      <w:i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2566A0"/>
    <w:pPr>
      <w:widowControl w:val="0"/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6A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2566A0"/>
    <w:rPr>
      <w:rFonts w:ascii="Arial" w:eastAsia="Times New Roman" w:hAnsi="Arial" w:cs="Times New Roman"/>
      <w:i/>
      <w:color w:val="FF0000"/>
      <w:sz w:val="20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2566A0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2566A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2566A0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2566A0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2566A0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2566A0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2566A0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a3">
    <w:name w:val="Plain Text"/>
    <w:aliases w:val="Знак Знак Знак,Знак Знак, Знак Знак Знак, Знак Знак"/>
    <w:basedOn w:val="a"/>
    <w:link w:val="a4"/>
    <w:rsid w:val="002566A0"/>
    <w:pPr>
      <w:widowControl w:val="0"/>
      <w:suppressAutoHyphens/>
      <w:spacing w:after="0" w:line="240" w:lineRule="auto"/>
    </w:pPr>
    <w:rPr>
      <w:rFonts w:ascii="Courier New" w:eastAsia="Tahoma" w:hAnsi="Courier New"/>
      <w:sz w:val="20"/>
      <w:szCs w:val="20"/>
      <w:lang w:val="x-none"/>
    </w:rPr>
  </w:style>
  <w:style w:type="character" w:customStyle="1" w:styleId="a4">
    <w:name w:val="Текст Знак"/>
    <w:aliases w:val="Знак Знак Знак Знак,Знак Знак Знак1, Знак Знак Знак Знак, Знак Знак Знак1"/>
    <w:basedOn w:val="a0"/>
    <w:link w:val="a3"/>
    <w:rsid w:val="002566A0"/>
    <w:rPr>
      <w:rFonts w:ascii="Courier New" w:eastAsia="Tahoma" w:hAnsi="Courier New" w:cs="Times New Roman"/>
      <w:sz w:val="20"/>
      <w:szCs w:val="20"/>
      <w:lang w:val="x-none"/>
    </w:rPr>
  </w:style>
  <w:style w:type="paragraph" w:customStyle="1" w:styleId="a5">
    <w:name w:val=" Знак Знак Знак Знак Знак Знак Знак Знак Знак Знак"/>
    <w:basedOn w:val="a"/>
    <w:rsid w:val="002566A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styleId="a6">
    <w:name w:val="Table Grid"/>
    <w:basedOn w:val="a1"/>
    <w:rsid w:val="0025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566A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2566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rsid w:val="002566A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2566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 Indent"/>
    <w:basedOn w:val="a"/>
    <w:link w:val="aa"/>
    <w:rsid w:val="002566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566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rsid w:val="002566A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566A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rmal">
    <w:name w:val="ConsNormal"/>
    <w:rsid w:val="002566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566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2566A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nformat">
    <w:name w:val="ConsNonformat"/>
    <w:rsid w:val="002566A0"/>
    <w:pPr>
      <w:widowControl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R1">
    <w:name w:val="FR1"/>
    <w:rsid w:val="002566A0"/>
    <w:pPr>
      <w:widowControl w:val="0"/>
      <w:spacing w:after="0" w:line="300" w:lineRule="auto"/>
      <w:ind w:left="560" w:right="20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2566A0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2566A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e">
    <w:name w:val="Знак"/>
    <w:basedOn w:val="a"/>
    <w:rsid w:val="002566A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">
    <w:name w:val="Balloon Text"/>
    <w:basedOn w:val="a"/>
    <w:link w:val="af0"/>
    <w:semiHidden/>
    <w:rsid w:val="002566A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semiHidden/>
    <w:rsid w:val="002566A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2566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rmal (Web)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cjk">
    <w:name w:val="cjk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ctl">
    <w:name w:val="ctl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highlighthighlightactive">
    <w:name w:val="highlight highlight_active"/>
    <w:rsid w:val="002566A0"/>
  </w:style>
  <w:style w:type="character" w:styleId="af2">
    <w:name w:val="Hyperlink"/>
    <w:uiPriority w:val="99"/>
    <w:rsid w:val="002566A0"/>
    <w:rPr>
      <w:color w:val="0000FF"/>
      <w:u w:val="single"/>
    </w:rPr>
  </w:style>
  <w:style w:type="character" w:styleId="af3">
    <w:name w:val="FollowedHyperlink"/>
    <w:uiPriority w:val="99"/>
    <w:rsid w:val="00256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A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566A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2566A0"/>
    <w:pPr>
      <w:keepNext/>
      <w:spacing w:after="0" w:line="240" w:lineRule="auto"/>
      <w:ind w:left="998" w:hanging="858"/>
      <w:outlineLvl w:val="1"/>
    </w:pPr>
    <w:rPr>
      <w:rFonts w:ascii="Arial" w:eastAsia="Times New Roman" w:hAnsi="Arial"/>
      <w:i/>
      <w:color w:val="FF0000"/>
      <w:sz w:val="20"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2566A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2566A0"/>
    <w:pPr>
      <w:keepNext/>
      <w:widowControl w:val="0"/>
      <w:spacing w:after="0" w:line="240" w:lineRule="auto"/>
      <w:jc w:val="both"/>
      <w:outlineLvl w:val="3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2566A0"/>
    <w:pPr>
      <w:widowControl w:val="0"/>
      <w:spacing w:before="240" w:after="60" w:line="240" w:lineRule="auto"/>
      <w:jc w:val="both"/>
      <w:outlineLvl w:val="4"/>
    </w:pPr>
    <w:rPr>
      <w:rFonts w:ascii="Arial" w:eastAsia="Times New Roman" w:hAnsi="Arial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2566A0"/>
    <w:pPr>
      <w:widowControl w:val="0"/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2566A0"/>
    <w:pPr>
      <w:widowControl w:val="0"/>
      <w:spacing w:before="240" w:after="60" w:line="240" w:lineRule="auto"/>
      <w:jc w:val="both"/>
      <w:outlineLvl w:val="6"/>
    </w:pPr>
    <w:rPr>
      <w:rFonts w:ascii="Arial" w:eastAsia="Times New Roman" w:hAnsi="Arial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2566A0"/>
    <w:pPr>
      <w:widowControl w:val="0"/>
      <w:spacing w:before="240" w:after="60" w:line="240" w:lineRule="auto"/>
      <w:jc w:val="both"/>
      <w:outlineLvl w:val="7"/>
    </w:pPr>
    <w:rPr>
      <w:rFonts w:ascii="Arial" w:eastAsia="Times New Roman" w:hAnsi="Arial"/>
      <w:i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2566A0"/>
    <w:pPr>
      <w:widowControl w:val="0"/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6A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2566A0"/>
    <w:rPr>
      <w:rFonts w:ascii="Arial" w:eastAsia="Times New Roman" w:hAnsi="Arial" w:cs="Times New Roman"/>
      <w:i/>
      <w:color w:val="FF0000"/>
      <w:sz w:val="20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2566A0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2566A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2566A0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2566A0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2566A0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2566A0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2566A0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a3">
    <w:name w:val="Plain Text"/>
    <w:aliases w:val="Знак Знак Знак,Знак Знак, Знак Знак Знак, Знак Знак"/>
    <w:basedOn w:val="a"/>
    <w:link w:val="a4"/>
    <w:rsid w:val="002566A0"/>
    <w:pPr>
      <w:widowControl w:val="0"/>
      <w:suppressAutoHyphens/>
      <w:spacing w:after="0" w:line="240" w:lineRule="auto"/>
    </w:pPr>
    <w:rPr>
      <w:rFonts w:ascii="Courier New" w:eastAsia="Tahoma" w:hAnsi="Courier New"/>
      <w:sz w:val="20"/>
      <w:szCs w:val="20"/>
      <w:lang w:val="x-none"/>
    </w:rPr>
  </w:style>
  <w:style w:type="character" w:customStyle="1" w:styleId="a4">
    <w:name w:val="Текст Знак"/>
    <w:aliases w:val="Знак Знак Знак Знак,Знак Знак Знак1, Знак Знак Знак Знак, Знак Знак Знак1"/>
    <w:basedOn w:val="a0"/>
    <w:link w:val="a3"/>
    <w:rsid w:val="002566A0"/>
    <w:rPr>
      <w:rFonts w:ascii="Courier New" w:eastAsia="Tahoma" w:hAnsi="Courier New" w:cs="Times New Roman"/>
      <w:sz w:val="20"/>
      <w:szCs w:val="20"/>
      <w:lang w:val="x-none"/>
    </w:rPr>
  </w:style>
  <w:style w:type="paragraph" w:customStyle="1" w:styleId="a5">
    <w:name w:val=" Знак Знак Знак Знак Знак Знак Знак Знак Знак Знак"/>
    <w:basedOn w:val="a"/>
    <w:rsid w:val="002566A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table" w:styleId="a6">
    <w:name w:val="Table Grid"/>
    <w:basedOn w:val="a1"/>
    <w:rsid w:val="0025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566A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2566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rsid w:val="002566A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2566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 Indent"/>
    <w:basedOn w:val="a"/>
    <w:link w:val="aa"/>
    <w:rsid w:val="002566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2566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rsid w:val="002566A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566A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rmal">
    <w:name w:val="ConsNormal"/>
    <w:rsid w:val="002566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566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c">
    <w:name w:val="Название Знак"/>
    <w:basedOn w:val="a0"/>
    <w:link w:val="ab"/>
    <w:rsid w:val="002566A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Nonformat">
    <w:name w:val="ConsNonformat"/>
    <w:rsid w:val="002566A0"/>
    <w:pPr>
      <w:widowControl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R1">
    <w:name w:val="FR1"/>
    <w:rsid w:val="002566A0"/>
    <w:pPr>
      <w:widowControl w:val="0"/>
      <w:spacing w:after="0" w:line="300" w:lineRule="auto"/>
      <w:ind w:left="560" w:right="20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2566A0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2566A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e">
    <w:name w:val="Знак"/>
    <w:basedOn w:val="a"/>
    <w:rsid w:val="002566A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">
    <w:name w:val="Balloon Text"/>
    <w:basedOn w:val="a"/>
    <w:link w:val="af0"/>
    <w:semiHidden/>
    <w:rsid w:val="002566A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semiHidden/>
    <w:rsid w:val="002566A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2566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rmal (Web)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cjk">
    <w:name w:val="cjk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ctl">
    <w:name w:val="ctl"/>
    <w:basedOn w:val="a"/>
    <w:rsid w:val="002566A0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highlighthighlightactive">
    <w:name w:val="highlight highlight_active"/>
    <w:rsid w:val="002566A0"/>
  </w:style>
  <w:style w:type="character" w:styleId="af2">
    <w:name w:val="Hyperlink"/>
    <w:uiPriority w:val="99"/>
    <w:rsid w:val="002566A0"/>
    <w:rPr>
      <w:color w:val="0000FF"/>
      <w:u w:val="single"/>
    </w:rPr>
  </w:style>
  <w:style w:type="character" w:styleId="af3">
    <w:name w:val="FollowedHyperlink"/>
    <w:uiPriority w:val="99"/>
    <w:rsid w:val="00256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6544</Words>
  <Characters>37304</Characters>
  <Application>Microsoft Office Word</Application>
  <DocSecurity>0</DocSecurity>
  <Lines>310</Lines>
  <Paragraphs>87</Paragraphs>
  <ScaleCrop>false</ScaleCrop>
  <Company/>
  <LinksUpToDate>false</LinksUpToDate>
  <CharactersWithSpaces>43761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2013-09-20T04:40:00Z</dcterms:created>
  <dcterms:modified xsi:type="dcterms:W3CDTF">2013-09-20T04:40:00Z</dcterms:modified>
</cp:coreProperties>
</file>