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C8B" w:rsidRPr="00C15C8B" w:rsidRDefault="00C15C8B" w:rsidP="00C15C8B">
      <w:pPr>
        <w:spacing w:before="100" w:beforeAutospacing="1" w:after="100" w:afterAutospacing="1"/>
        <w:jc w:val="center"/>
        <w:outlineLvl w:val="1"/>
        <w:rPr>
          <w:b/>
          <w:bCs/>
          <w:kern w:val="36"/>
          <w:sz w:val="48"/>
          <w:szCs w:val="48"/>
        </w:rPr>
      </w:pPr>
      <w:bookmarkStart w:id="0" w:name="_GoBack"/>
      <w:bookmarkEnd w:id="0"/>
      <w:r w:rsidRPr="00C15C8B">
        <w:rPr>
          <w:b/>
          <w:bCs/>
          <w:kern w:val="36"/>
          <w:sz w:val="48"/>
          <w:szCs w:val="48"/>
        </w:rPr>
        <w:t>Извещение</w:t>
      </w:r>
    </w:p>
    <w:p w:rsidR="00C15C8B" w:rsidRPr="00C15C8B" w:rsidRDefault="00C15C8B" w:rsidP="00C15C8B">
      <w:pPr>
        <w:spacing w:before="100" w:beforeAutospacing="1" w:after="100" w:afterAutospacing="1"/>
        <w:jc w:val="center"/>
        <w:outlineLvl w:val="1"/>
        <w:rPr>
          <w:b/>
          <w:bCs/>
          <w:kern w:val="36"/>
          <w:sz w:val="48"/>
          <w:szCs w:val="48"/>
        </w:rPr>
      </w:pPr>
      <w:r w:rsidRPr="00C15C8B">
        <w:rPr>
          <w:b/>
          <w:bCs/>
          <w:kern w:val="36"/>
          <w:sz w:val="48"/>
          <w:szCs w:val="48"/>
        </w:rPr>
        <w:t>о проведении запроса котировок</w:t>
      </w:r>
    </w:p>
    <w:tbl>
      <w:tblPr>
        <w:tblW w:w="5000" w:type="pct"/>
        <w:tblCellMar>
          <w:left w:w="0" w:type="dxa"/>
          <w:right w:w="0" w:type="dxa"/>
        </w:tblCellMar>
        <w:tblLook w:val="04A0" w:firstRow="1" w:lastRow="0" w:firstColumn="1" w:lastColumn="0" w:noHBand="0" w:noVBand="1"/>
      </w:tblPr>
      <w:tblGrid>
        <w:gridCol w:w="2447"/>
        <w:gridCol w:w="7340"/>
      </w:tblGrid>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Номер извещения: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0356300129713000023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Наименование запроса котировок: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Выполнение работ по технической инвентаризации и паспортизации муниципальных объектов инженерной инфраструктуры города Перми.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Способ размещения заказа: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Запрос котировок </w:t>
            </w:r>
          </w:p>
        </w:tc>
      </w:tr>
    </w:tbl>
    <w:p w:rsidR="00C15C8B" w:rsidRPr="00C15C8B" w:rsidRDefault="00C15C8B" w:rsidP="00C15C8B">
      <w:pPr>
        <w:spacing w:before="100" w:beforeAutospacing="1" w:after="100" w:afterAutospacing="1"/>
        <w:outlineLvl w:val="2"/>
        <w:rPr>
          <w:b/>
          <w:bCs/>
          <w:sz w:val="27"/>
          <w:szCs w:val="27"/>
        </w:rPr>
      </w:pPr>
      <w:r w:rsidRPr="00C15C8B">
        <w:rPr>
          <w:b/>
          <w:bCs/>
          <w:sz w:val="27"/>
          <w:szCs w:val="27"/>
        </w:rPr>
        <w:t>Заказчик</w:t>
      </w:r>
    </w:p>
    <w:tbl>
      <w:tblPr>
        <w:tblW w:w="5000" w:type="pct"/>
        <w:tblCellMar>
          <w:left w:w="0" w:type="dxa"/>
          <w:right w:w="0" w:type="dxa"/>
        </w:tblCellMar>
        <w:tblLook w:val="04A0" w:firstRow="1" w:lastRow="0" w:firstColumn="1" w:lastColumn="0" w:noHBand="0" w:noVBand="1"/>
      </w:tblPr>
      <w:tblGrid>
        <w:gridCol w:w="2447"/>
        <w:gridCol w:w="7340"/>
      </w:tblGrid>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Наименование: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Муниципальное казенное учреждение "Содержание объектов инженерной инфраструктуры"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Место нахождения: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Российская Федерация, 614000, Пермский край, Пермь </w:t>
            </w:r>
            <w:proofErr w:type="gramStart"/>
            <w:r w:rsidRPr="00C15C8B">
              <w:rPr>
                <w:sz w:val="24"/>
                <w:szCs w:val="24"/>
              </w:rPr>
              <w:t>г</w:t>
            </w:r>
            <w:proofErr w:type="gramEnd"/>
            <w:r w:rsidRPr="00C15C8B">
              <w:rPr>
                <w:sz w:val="24"/>
                <w:szCs w:val="24"/>
              </w:rPr>
              <w:t xml:space="preserve">, Екатерининская, 63, -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Почтовый адрес: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Российская Федерация, 614000, Пермский край, Пермь </w:t>
            </w:r>
            <w:proofErr w:type="gramStart"/>
            <w:r w:rsidRPr="00C15C8B">
              <w:rPr>
                <w:sz w:val="24"/>
                <w:szCs w:val="24"/>
              </w:rPr>
              <w:t>г</w:t>
            </w:r>
            <w:proofErr w:type="gramEnd"/>
            <w:r w:rsidRPr="00C15C8B">
              <w:rPr>
                <w:sz w:val="24"/>
                <w:szCs w:val="24"/>
              </w:rPr>
              <w:t xml:space="preserve">, Екатерининская, 63, - </w:t>
            </w:r>
          </w:p>
        </w:tc>
      </w:tr>
    </w:tbl>
    <w:p w:rsidR="00C15C8B" w:rsidRPr="00C15C8B" w:rsidRDefault="00C15C8B" w:rsidP="00C15C8B">
      <w:pPr>
        <w:spacing w:before="100" w:beforeAutospacing="1" w:after="100" w:afterAutospacing="1"/>
        <w:outlineLvl w:val="2"/>
        <w:rPr>
          <w:b/>
          <w:bCs/>
          <w:sz w:val="27"/>
          <w:szCs w:val="27"/>
        </w:rPr>
      </w:pPr>
      <w:r w:rsidRPr="00C15C8B">
        <w:rPr>
          <w:b/>
          <w:bCs/>
          <w:sz w:val="27"/>
          <w:szCs w:val="27"/>
        </w:rPr>
        <w:t>Контактная информация</w:t>
      </w:r>
    </w:p>
    <w:p w:rsidR="00C15C8B" w:rsidRPr="00C15C8B" w:rsidRDefault="00C15C8B" w:rsidP="00C15C8B">
      <w:pPr>
        <w:spacing w:before="100" w:beforeAutospacing="1" w:after="100" w:afterAutospacing="1"/>
        <w:rPr>
          <w:i/>
          <w:iCs/>
          <w:sz w:val="24"/>
          <w:szCs w:val="24"/>
        </w:rPr>
      </w:pPr>
      <w:r w:rsidRPr="00C15C8B">
        <w:rPr>
          <w:i/>
          <w:iCs/>
          <w:sz w:val="24"/>
          <w:szCs w:val="24"/>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447"/>
        <w:gridCol w:w="7340"/>
      </w:tblGrid>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Почтовый адрес: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Российская Федерация, 614000, Пермский край, Пермь </w:t>
            </w:r>
            <w:proofErr w:type="gramStart"/>
            <w:r w:rsidRPr="00C15C8B">
              <w:rPr>
                <w:sz w:val="24"/>
                <w:szCs w:val="24"/>
              </w:rPr>
              <w:t>г</w:t>
            </w:r>
            <w:proofErr w:type="gramEnd"/>
            <w:r w:rsidRPr="00C15C8B">
              <w:rPr>
                <w:sz w:val="24"/>
                <w:szCs w:val="24"/>
              </w:rPr>
              <w:t xml:space="preserve">, Екатерининская, 63, -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Адрес электронной почты: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soii2@perm.ru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Телефон: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+7 (342) 2122434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Факс: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+7 (342) 2122434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Контактное лицо: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Батуева Тамара Михайловна </w:t>
            </w:r>
          </w:p>
        </w:tc>
      </w:tr>
    </w:tbl>
    <w:p w:rsidR="00C15C8B" w:rsidRPr="00C15C8B" w:rsidRDefault="00C15C8B" w:rsidP="00C15C8B">
      <w:pPr>
        <w:spacing w:before="100" w:beforeAutospacing="1" w:after="100" w:afterAutospacing="1"/>
        <w:outlineLvl w:val="2"/>
        <w:rPr>
          <w:b/>
          <w:bCs/>
          <w:sz w:val="27"/>
          <w:szCs w:val="27"/>
        </w:rPr>
      </w:pPr>
      <w:r w:rsidRPr="00C15C8B">
        <w:rPr>
          <w:b/>
          <w:bCs/>
          <w:sz w:val="27"/>
          <w:szCs w:val="27"/>
        </w:rPr>
        <w:t>Предмет контракта</w:t>
      </w:r>
    </w:p>
    <w:tbl>
      <w:tblPr>
        <w:tblW w:w="5000" w:type="pct"/>
        <w:tblCellMar>
          <w:left w:w="0" w:type="dxa"/>
          <w:right w:w="0" w:type="dxa"/>
        </w:tblCellMar>
        <w:tblLook w:val="04A0" w:firstRow="1" w:lastRow="0" w:firstColumn="1" w:lastColumn="0" w:noHBand="0" w:noVBand="1"/>
      </w:tblPr>
      <w:tblGrid>
        <w:gridCol w:w="2447"/>
        <w:gridCol w:w="7340"/>
      </w:tblGrid>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Предмет контракта: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Выполнение работ по технической инвентаризации и паспортизации муниципальных объектов инженерной инфраструктуры города Перми.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Начальная (максимальная) цена контракта: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334255,70</w:t>
            </w:r>
            <w:r w:rsidRPr="00C15C8B">
              <w:rPr>
                <w:sz w:val="24"/>
                <w:szCs w:val="24"/>
              </w:rPr>
              <w:br/>
              <w:t xml:space="preserve">Российский рубль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Обоснование максимальной </w:t>
            </w:r>
            <w:r w:rsidRPr="00C15C8B">
              <w:rPr>
                <w:sz w:val="24"/>
                <w:szCs w:val="24"/>
              </w:rPr>
              <w:lastRenderedPageBreak/>
              <w:t xml:space="preserve">цены контракта: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lastRenderedPageBreak/>
              <w:t xml:space="preserve">Начальная (максимальная) цена контракта определена на основании исследований рынка исполнителей работ (приложение №2 к </w:t>
            </w:r>
            <w:r w:rsidRPr="00C15C8B">
              <w:rPr>
                <w:sz w:val="24"/>
                <w:szCs w:val="24"/>
              </w:rPr>
              <w:lastRenderedPageBreak/>
              <w:t xml:space="preserve">извещению о проведении запроса котировок)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lastRenderedPageBreak/>
              <w:t>Сведения о включенных (</w:t>
            </w:r>
            <w:proofErr w:type="spellStart"/>
            <w:r w:rsidRPr="00C15C8B">
              <w:rPr>
                <w:sz w:val="24"/>
                <w:szCs w:val="24"/>
              </w:rPr>
              <w:t>невключенных</w:t>
            </w:r>
            <w:proofErr w:type="spellEnd"/>
            <w:r w:rsidRPr="00C15C8B">
              <w:rPr>
                <w:sz w:val="24"/>
                <w:szCs w:val="24"/>
              </w:rPr>
              <w:t xml:space="preserve">)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Цена контракта включает стоимость расходных материалов и расходы по использованию необходимого оборудования, а также расходы на перевозку, страхование, уплату таможенных пошлин, налогов, сборов и других обязательных платежей.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Классификация товаров, работ, услуг: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4520080 Строительство зданий и сооружений под ключ</w:t>
            </w:r>
            <w:proofErr w:type="gramStart"/>
            <w:r w:rsidRPr="00C15C8B">
              <w:rPr>
                <w:sz w:val="24"/>
                <w:szCs w:val="24"/>
              </w:rPr>
              <w:t xml:space="preserve"> ,</w:t>
            </w:r>
            <w:proofErr w:type="gramEnd"/>
            <w:r w:rsidRPr="00C15C8B">
              <w:rPr>
                <w:sz w:val="24"/>
                <w:szCs w:val="24"/>
              </w:rPr>
              <w:t xml:space="preserve"> включая ремонт и реконструкцию [4520500] - [4520529]</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Работы производятся на территории г. Перми в соответствии с прилагаемым перечнем инженерных сетей (Приложение №1 к техническому заданию) </w:t>
            </w:r>
          </w:p>
        </w:tc>
      </w:tr>
    </w:tbl>
    <w:p w:rsidR="00C15C8B" w:rsidRPr="00C15C8B" w:rsidRDefault="00C15C8B" w:rsidP="00C15C8B">
      <w:pPr>
        <w:spacing w:before="100" w:beforeAutospacing="1" w:after="100" w:afterAutospacing="1"/>
        <w:outlineLvl w:val="2"/>
        <w:rPr>
          <w:b/>
          <w:bCs/>
          <w:sz w:val="27"/>
          <w:szCs w:val="27"/>
        </w:rPr>
      </w:pPr>
      <w:r w:rsidRPr="00C15C8B">
        <w:rPr>
          <w:b/>
          <w:bCs/>
          <w:sz w:val="27"/>
          <w:szCs w:val="27"/>
        </w:rPr>
        <w:t>Условия поставки товара, выполнения работ, оказания услуг, срок и условия оплаты</w:t>
      </w:r>
    </w:p>
    <w:tbl>
      <w:tblPr>
        <w:tblW w:w="5000" w:type="pct"/>
        <w:tblCellMar>
          <w:left w:w="0" w:type="dxa"/>
          <w:right w:w="0" w:type="dxa"/>
        </w:tblCellMar>
        <w:tblLook w:val="04A0" w:firstRow="1" w:lastRow="0" w:firstColumn="1" w:lastColumn="0" w:noHBand="0" w:noVBand="1"/>
      </w:tblPr>
      <w:tblGrid>
        <w:gridCol w:w="2447"/>
        <w:gridCol w:w="7340"/>
      </w:tblGrid>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Российская Федерация, 614000, Пермский край, Пермь </w:t>
            </w:r>
            <w:proofErr w:type="gramStart"/>
            <w:r w:rsidRPr="00C15C8B">
              <w:rPr>
                <w:sz w:val="24"/>
                <w:szCs w:val="24"/>
              </w:rPr>
              <w:t>г</w:t>
            </w:r>
            <w:proofErr w:type="gramEnd"/>
            <w:r w:rsidRPr="00C15C8B">
              <w:rPr>
                <w:sz w:val="24"/>
                <w:szCs w:val="24"/>
              </w:rPr>
              <w:t xml:space="preserve">, Екатерининская, 63, -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В течение 30 (тридцати) календарных дней </w:t>
            </w: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Срок и условия оплаты поставки товаров, выполнения работ, оказания услуг: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Оплата выполненных работ производится Заказчиком после выполнения полного объема работ, путем безналичного перечисления денежных средств на расчетный счет Исполнителя в течение 10 (десяти) банковских дней со дня получения счета-фактуры, выставленного Исполнителем на основании подписанного сторонами акта приемки выполненных работ. При исполнении контракта не допускается перемена подрядчика, за исключением случаев, если новый подрядчик является правопреемником исполнителя по такому контракту вследствие реорганизации </w:t>
            </w:r>
            <w:r w:rsidRPr="00C15C8B">
              <w:rPr>
                <w:sz w:val="24"/>
                <w:szCs w:val="24"/>
              </w:rPr>
              <w:lastRenderedPageBreak/>
              <w:t xml:space="preserve">юридического лица в форме преобразования, слияния или присоединения. Оплата по контракту третьим лицам не допускается. </w:t>
            </w:r>
          </w:p>
        </w:tc>
      </w:tr>
    </w:tbl>
    <w:p w:rsidR="00C15C8B" w:rsidRPr="00C15C8B" w:rsidRDefault="00C15C8B" w:rsidP="00C15C8B">
      <w:pPr>
        <w:spacing w:before="100" w:beforeAutospacing="1" w:after="100" w:afterAutospacing="1"/>
        <w:outlineLvl w:val="2"/>
        <w:rPr>
          <w:b/>
          <w:bCs/>
          <w:sz w:val="27"/>
          <w:szCs w:val="27"/>
        </w:rPr>
      </w:pPr>
      <w:r w:rsidRPr="00C15C8B">
        <w:rPr>
          <w:b/>
          <w:bCs/>
          <w:sz w:val="27"/>
          <w:szCs w:val="27"/>
        </w:rPr>
        <w:lastRenderedPageBreak/>
        <w:t>Особенности размещения заказа</w:t>
      </w:r>
    </w:p>
    <w:p w:rsidR="00C15C8B" w:rsidRPr="00C15C8B" w:rsidRDefault="00C15C8B" w:rsidP="00C15C8B">
      <w:pPr>
        <w:rPr>
          <w:sz w:val="24"/>
          <w:szCs w:val="24"/>
        </w:rPr>
      </w:pPr>
      <w:r w:rsidRPr="00C15C8B">
        <w:rPr>
          <w:sz w:val="24"/>
          <w:szCs w:val="24"/>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C15C8B" w:rsidRPr="00C15C8B" w:rsidRDefault="00C15C8B" w:rsidP="00C15C8B">
      <w:pPr>
        <w:spacing w:before="100" w:beforeAutospacing="1" w:after="100" w:afterAutospacing="1"/>
        <w:outlineLvl w:val="2"/>
        <w:rPr>
          <w:b/>
          <w:bCs/>
          <w:sz w:val="27"/>
          <w:szCs w:val="27"/>
        </w:rPr>
      </w:pPr>
      <w:r w:rsidRPr="00C15C8B">
        <w:rPr>
          <w:b/>
          <w:bCs/>
          <w:sz w:val="27"/>
          <w:szCs w:val="27"/>
        </w:rPr>
        <w:t>Дополнительная информация о размещении заказа</w:t>
      </w:r>
    </w:p>
    <w:tbl>
      <w:tblPr>
        <w:tblW w:w="5000" w:type="pct"/>
        <w:tblCellMar>
          <w:left w:w="0" w:type="dxa"/>
          <w:right w:w="0" w:type="dxa"/>
        </w:tblCellMar>
        <w:tblLook w:val="04A0" w:firstRow="1" w:lastRow="0" w:firstColumn="1" w:lastColumn="0" w:noHBand="0" w:noVBand="1"/>
      </w:tblPr>
      <w:tblGrid>
        <w:gridCol w:w="2447"/>
        <w:gridCol w:w="7340"/>
      </w:tblGrid>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Код бюджетной классификации: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p>
        </w:tc>
      </w:tr>
      <w:tr w:rsidR="00C15C8B" w:rsidRPr="00C15C8B" w:rsidTr="00C15C8B">
        <w:tc>
          <w:tcPr>
            <w:tcW w:w="125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Источник финансирования заказа: </w:t>
            </w:r>
          </w:p>
        </w:tc>
        <w:tc>
          <w:tcPr>
            <w:tcW w:w="3750" w:type="pct"/>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Бюджет города Перми </w:t>
            </w:r>
          </w:p>
        </w:tc>
      </w:tr>
    </w:tbl>
    <w:p w:rsidR="00C15C8B" w:rsidRPr="00C15C8B" w:rsidRDefault="00C15C8B" w:rsidP="00C15C8B">
      <w:pPr>
        <w:spacing w:before="100" w:beforeAutospacing="1" w:after="100" w:afterAutospacing="1"/>
        <w:outlineLvl w:val="2"/>
        <w:rPr>
          <w:b/>
          <w:bCs/>
          <w:sz w:val="27"/>
          <w:szCs w:val="27"/>
        </w:rPr>
      </w:pPr>
      <w:r w:rsidRPr="00C15C8B">
        <w:rPr>
          <w:b/>
          <w:bCs/>
          <w:sz w:val="27"/>
          <w:szCs w:val="27"/>
        </w:rPr>
        <w:t>Информация о запросе котировок</w:t>
      </w:r>
    </w:p>
    <w:tbl>
      <w:tblPr>
        <w:tblW w:w="4992" w:type="pct"/>
        <w:tblCellMar>
          <w:left w:w="0" w:type="dxa"/>
          <w:right w:w="0" w:type="dxa"/>
        </w:tblCellMar>
        <w:tblLook w:val="04A0" w:firstRow="1" w:lastRow="0" w:firstColumn="1" w:lastColumn="0" w:noHBand="0" w:noVBand="1"/>
      </w:tblPr>
      <w:tblGrid>
        <w:gridCol w:w="2423"/>
        <w:gridCol w:w="20"/>
        <w:gridCol w:w="7252"/>
        <w:gridCol w:w="76"/>
      </w:tblGrid>
      <w:tr w:rsidR="00C15C8B" w:rsidRPr="00C15C8B" w:rsidTr="00C15C8B">
        <w:trPr>
          <w:trHeight w:val="822"/>
        </w:trPr>
        <w:tc>
          <w:tcPr>
            <w:tcW w:w="1250" w:type="pct"/>
            <w:gridSpan w:val="2"/>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Место подачи котировочных заявок: </w:t>
            </w:r>
          </w:p>
        </w:tc>
        <w:tc>
          <w:tcPr>
            <w:tcW w:w="3750" w:type="pct"/>
            <w:gridSpan w:val="2"/>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Российская Федерация, 614000, Пермский край, Пермь </w:t>
            </w:r>
            <w:proofErr w:type="gramStart"/>
            <w:r w:rsidRPr="00C15C8B">
              <w:rPr>
                <w:sz w:val="24"/>
                <w:szCs w:val="24"/>
              </w:rPr>
              <w:t>г</w:t>
            </w:r>
            <w:proofErr w:type="gramEnd"/>
            <w:r w:rsidRPr="00C15C8B">
              <w:rPr>
                <w:sz w:val="24"/>
                <w:szCs w:val="24"/>
              </w:rPr>
              <w:t xml:space="preserve">, Екатерининская, 63, - </w:t>
            </w:r>
            <w:proofErr w:type="spellStart"/>
            <w:r w:rsidRPr="00C15C8B">
              <w:rPr>
                <w:sz w:val="24"/>
                <w:szCs w:val="24"/>
              </w:rPr>
              <w:t>каб</w:t>
            </w:r>
            <w:proofErr w:type="spellEnd"/>
            <w:r w:rsidRPr="00C15C8B">
              <w:rPr>
                <w:sz w:val="24"/>
                <w:szCs w:val="24"/>
              </w:rPr>
              <w:t xml:space="preserve">. №8 </w:t>
            </w:r>
          </w:p>
        </w:tc>
      </w:tr>
      <w:tr w:rsidR="00C15C8B" w:rsidRPr="00C15C8B" w:rsidTr="00C15C8B">
        <w:trPr>
          <w:trHeight w:val="1375"/>
        </w:trPr>
        <w:tc>
          <w:tcPr>
            <w:tcW w:w="1250" w:type="pct"/>
            <w:gridSpan w:val="2"/>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Дата и время начала подачи котировочных заявок (время местное): </w:t>
            </w:r>
          </w:p>
        </w:tc>
        <w:tc>
          <w:tcPr>
            <w:tcW w:w="3750" w:type="pct"/>
            <w:gridSpan w:val="2"/>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01.10.2013 00:00 </w:t>
            </w:r>
          </w:p>
        </w:tc>
      </w:tr>
      <w:tr w:rsidR="00C15C8B" w:rsidRPr="00C15C8B" w:rsidTr="00C15C8B">
        <w:trPr>
          <w:trHeight w:val="1658"/>
        </w:trPr>
        <w:tc>
          <w:tcPr>
            <w:tcW w:w="1250" w:type="pct"/>
            <w:gridSpan w:val="2"/>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Дата и время окончания подачи котировочных заявок (время местное): </w:t>
            </w:r>
          </w:p>
        </w:tc>
        <w:tc>
          <w:tcPr>
            <w:tcW w:w="3750" w:type="pct"/>
            <w:gridSpan w:val="2"/>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10.10.2013 17:30 </w:t>
            </w:r>
          </w:p>
        </w:tc>
      </w:tr>
      <w:tr w:rsidR="00C15C8B" w:rsidRPr="00C15C8B" w:rsidTr="00C15C8B">
        <w:trPr>
          <w:trHeight w:val="822"/>
        </w:trPr>
        <w:tc>
          <w:tcPr>
            <w:tcW w:w="1250" w:type="pct"/>
            <w:gridSpan w:val="2"/>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Форма котировочной заявки: </w:t>
            </w:r>
          </w:p>
        </w:tc>
        <w:tc>
          <w:tcPr>
            <w:tcW w:w="3750" w:type="pct"/>
            <w:gridSpan w:val="2"/>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Котировочные заявки подаются в письменной форме (курьером или по почте) или в форме электронного документа по форме Приложение № 3 </w:t>
            </w:r>
          </w:p>
        </w:tc>
      </w:tr>
      <w:tr w:rsidR="00C15C8B" w:rsidRPr="00C15C8B" w:rsidTr="00C15C8B">
        <w:trPr>
          <w:trHeight w:val="1643"/>
        </w:trPr>
        <w:tc>
          <w:tcPr>
            <w:tcW w:w="1250" w:type="pct"/>
            <w:gridSpan w:val="2"/>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Срок подписания победителем государственного или муниципального контракта: </w:t>
            </w:r>
          </w:p>
        </w:tc>
        <w:tc>
          <w:tcPr>
            <w:tcW w:w="3750" w:type="pct"/>
            <w:gridSpan w:val="2"/>
            <w:tcMar>
              <w:top w:w="75" w:type="dxa"/>
              <w:left w:w="75" w:type="dxa"/>
              <w:bottom w:w="75" w:type="dxa"/>
              <w:right w:w="75" w:type="dxa"/>
            </w:tcMar>
            <w:hideMark/>
          </w:tcPr>
          <w:p w:rsidR="00C15C8B" w:rsidRPr="00C15C8B" w:rsidRDefault="00C15C8B" w:rsidP="00C15C8B">
            <w:pPr>
              <w:jc w:val="both"/>
              <w:rPr>
                <w:sz w:val="24"/>
                <w:szCs w:val="24"/>
              </w:rPr>
            </w:pPr>
            <w:r w:rsidRPr="00C15C8B">
              <w:rPr>
                <w:sz w:val="24"/>
                <w:szCs w:val="24"/>
              </w:rPr>
              <w:t xml:space="preserve">Не позднее 20 дней со дня подписания протокола рассмотрения и оценки котировочных заявок </w:t>
            </w:r>
          </w:p>
        </w:tc>
      </w:tr>
      <w:tr w:rsidR="00C15C8B" w:rsidRPr="00C15C8B" w:rsidTr="00C15C8B">
        <w:trPr>
          <w:gridAfter w:val="1"/>
          <w:wAfter w:w="39" w:type="pct"/>
          <w:trHeight w:val="284"/>
        </w:trPr>
        <w:tc>
          <w:tcPr>
            <w:tcW w:w="1240" w:type="pct"/>
            <w:tcMar>
              <w:top w:w="75" w:type="dxa"/>
              <w:left w:w="75" w:type="dxa"/>
              <w:bottom w:w="75" w:type="dxa"/>
              <w:right w:w="450" w:type="dxa"/>
            </w:tcMar>
            <w:hideMark/>
          </w:tcPr>
          <w:p w:rsidR="00C15C8B" w:rsidRPr="00C15C8B" w:rsidRDefault="00C15C8B" w:rsidP="00C15C8B">
            <w:pPr>
              <w:jc w:val="both"/>
              <w:rPr>
                <w:sz w:val="24"/>
                <w:szCs w:val="24"/>
              </w:rPr>
            </w:pPr>
            <w:r w:rsidRPr="00C15C8B">
              <w:rPr>
                <w:sz w:val="24"/>
                <w:szCs w:val="24"/>
              </w:rPr>
              <w:t xml:space="preserve">Опубликовано: </w:t>
            </w:r>
          </w:p>
        </w:tc>
        <w:tc>
          <w:tcPr>
            <w:tcW w:w="0" w:type="auto"/>
            <w:gridSpan w:val="2"/>
            <w:hideMark/>
          </w:tcPr>
          <w:p w:rsidR="00C15C8B" w:rsidRPr="00C15C8B" w:rsidRDefault="00C15C8B" w:rsidP="00C15C8B">
            <w:pPr>
              <w:jc w:val="both"/>
              <w:rPr>
                <w:sz w:val="24"/>
                <w:szCs w:val="24"/>
              </w:rPr>
            </w:pPr>
            <w:r w:rsidRPr="00C15C8B">
              <w:rPr>
                <w:sz w:val="24"/>
                <w:szCs w:val="24"/>
              </w:rPr>
              <w:t xml:space="preserve">01.10.2013 </w:t>
            </w:r>
          </w:p>
        </w:tc>
      </w:tr>
    </w:tbl>
    <w:p w:rsidR="00083CCF" w:rsidRDefault="00083CCF"/>
    <w:sectPr w:rsidR="00083CCF" w:rsidSect="00C15C8B">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C8B"/>
    <w:rsid w:val="00083CCF"/>
    <w:rsid w:val="00C15C8B"/>
    <w:rsid w:val="00F66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1EA"/>
    <w:rPr>
      <w:lang w:eastAsia="ru-RU"/>
    </w:rPr>
  </w:style>
  <w:style w:type="paragraph" w:styleId="1">
    <w:name w:val="heading 1"/>
    <w:basedOn w:val="a"/>
    <w:next w:val="a"/>
    <w:link w:val="10"/>
    <w:qFormat/>
    <w:rsid w:val="00F661EA"/>
    <w:pPr>
      <w:keepNext/>
      <w:numPr>
        <w:numId w:val="1"/>
      </w:numPr>
      <w:spacing w:before="240" w:after="60"/>
      <w:outlineLvl w:val="0"/>
    </w:pPr>
    <w:rPr>
      <w:rFonts w:ascii="Arial" w:hAnsi="Arial" w:cs="Arial"/>
      <w:b/>
      <w:bCs/>
      <w:kern w:val="32"/>
      <w:sz w:val="32"/>
      <w:szCs w:val="32"/>
    </w:rPr>
  </w:style>
  <w:style w:type="paragraph" w:styleId="3">
    <w:name w:val="heading 3"/>
    <w:basedOn w:val="a"/>
    <w:link w:val="30"/>
    <w:uiPriority w:val="9"/>
    <w:qFormat/>
    <w:rsid w:val="00C15C8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661EA"/>
    <w:rPr>
      <w:rFonts w:ascii="Arial" w:hAnsi="Arial" w:cs="Arial"/>
      <w:b/>
      <w:bCs/>
      <w:kern w:val="32"/>
      <w:sz w:val="32"/>
      <w:szCs w:val="32"/>
      <w:lang w:eastAsia="ru-RU"/>
    </w:rPr>
  </w:style>
  <w:style w:type="paragraph" w:styleId="a3">
    <w:name w:val="Title"/>
    <w:basedOn w:val="a"/>
    <w:link w:val="a4"/>
    <w:qFormat/>
    <w:rsid w:val="00F661EA"/>
    <w:pPr>
      <w:jc w:val="center"/>
    </w:pPr>
    <w:rPr>
      <w:b/>
      <w:smallCaps/>
      <w:sz w:val="32"/>
    </w:rPr>
  </w:style>
  <w:style w:type="character" w:customStyle="1" w:styleId="a4">
    <w:name w:val="Название Знак"/>
    <w:link w:val="a3"/>
    <w:rsid w:val="00F661EA"/>
    <w:rPr>
      <w:b/>
      <w:smallCaps/>
      <w:sz w:val="32"/>
      <w:lang w:eastAsia="ru-RU"/>
    </w:rPr>
  </w:style>
  <w:style w:type="paragraph" w:styleId="a5">
    <w:name w:val="Subtitle"/>
    <w:basedOn w:val="a"/>
    <w:next w:val="a"/>
    <w:link w:val="a6"/>
    <w:qFormat/>
    <w:rsid w:val="00F661EA"/>
    <w:pPr>
      <w:spacing w:after="60"/>
      <w:jc w:val="center"/>
      <w:outlineLvl w:val="1"/>
    </w:pPr>
    <w:rPr>
      <w:rFonts w:ascii="Cambria" w:hAnsi="Cambria"/>
      <w:sz w:val="24"/>
      <w:szCs w:val="24"/>
      <w:lang w:eastAsia="en-US"/>
    </w:rPr>
  </w:style>
  <w:style w:type="character" w:customStyle="1" w:styleId="a6">
    <w:name w:val="Подзаголовок Знак"/>
    <w:link w:val="a5"/>
    <w:rsid w:val="00F661EA"/>
    <w:rPr>
      <w:rFonts w:ascii="Cambria" w:hAnsi="Cambria"/>
      <w:sz w:val="24"/>
      <w:szCs w:val="24"/>
    </w:rPr>
  </w:style>
  <w:style w:type="character" w:styleId="a7">
    <w:name w:val="Emphasis"/>
    <w:qFormat/>
    <w:rsid w:val="00F661EA"/>
    <w:rPr>
      <w:i/>
      <w:iCs/>
    </w:rPr>
  </w:style>
  <w:style w:type="paragraph" w:styleId="a8">
    <w:name w:val="List Paragraph"/>
    <w:basedOn w:val="a"/>
    <w:uiPriority w:val="34"/>
    <w:qFormat/>
    <w:rsid w:val="00F661EA"/>
    <w:pPr>
      <w:ind w:left="708"/>
    </w:pPr>
  </w:style>
  <w:style w:type="character" w:customStyle="1" w:styleId="30">
    <w:name w:val="Заголовок 3 Знак"/>
    <w:basedOn w:val="a0"/>
    <w:link w:val="3"/>
    <w:uiPriority w:val="9"/>
    <w:rsid w:val="00C15C8B"/>
    <w:rPr>
      <w:b/>
      <w:bCs/>
      <w:sz w:val="27"/>
      <w:szCs w:val="27"/>
      <w:lang w:eastAsia="ru-RU"/>
    </w:rPr>
  </w:style>
  <w:style w:type="paragraph" w:customStyle="1" w:styleId="title1">
    <w:name w:val="title1"/>
    <w:basedOn w:val="a"/>
    <w:rsid w:val="00C15C8B"/>
    <w:pPr>
      <w:spacing w:before="100" w:beforeAutospacing="1" w:after="100" w:afterAutospacing="1"/>
    </w:pPr>
    <w:rPr>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1EA"/>
    <w:rPr>
      <w:lang w:eastAsia="ru-RU"/>
    </w:rPr>
  </w:style>
  <w:style w:type="paragraph" w:styleId="1">
    <w:name w:val="heading 1"/>
    <w:basedOn w:val="a"/>
    <w:next w:val="a"/>
    <w:link w:val="10"/>
    <w:qFormat/>
    <w:rsid w:val="00F661EA"/>
    <w:pPr>
      <w:keepNext/>
      <w:numPr>
        <w:numId w:val="1"/>
      </w:numPr>
      <w:spacing w:before="240" w:after="60"/>
      <w:outlineLvl w:val="0"/>
    </w:pPr>
    <w:rPr>
      <w:rFonts w:ascii="Arial" w:hAnsi="Arial" w:cs="Arial"/>
      <w:b/>
      <w:bCs/>
      <w:kern w:val="32"/>
      <w:sz w:val="32"/>
      <w:szCs w:val="32"/>
    </w:rPr>
  </w:style>
  <w:style w:type="paragraph" w:styleId="3">
    <w:name w:val="heading 3"/>
    <w:basedOn w:val="a"/>
    <w:link w:val="30"/>
    <w:uiPriority w:val="9"/>
    <w:qFormat/>
    <w:rsid w:val="00C15C8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661EA"/>
    <w:rPr>
      <w:rFonts w:ascii="Arial" w:hAnsi="Arial" w:cs="Arial"/>
      <w:b/>
      <w:bCs/>
      <w:kern w:val="32"/>
      <w:sz w:val="32"/>
      <w:szCs w:val="32"/>
      <w:lang w:eastAsia="ru-RU"/>
    </w:rPr>
  </w:style>
  <w:style w:type="paragraph" w:styleId="a3">
    <w:name w:val="Title"/>
    <w:basedOn w:val="a"/>
    <w:link w:val="a4"/>
    <w:qFormat/>
    <w:rsid w:val="00F661EA"/>
    <w:pPr>
      <w:jc w:val="center"/>
    </w:pPr>
    <w:rPr>
      <w:b/>
      <w:smallCaps/>
      <w:sz w:val="32"/>
    </w:rPr>
  </w:style>
  <w:style w:type="character" w:customStyle="1" w:styleId="a4">
    <w:name w:val="Название Знак"/>
    <w:link w:val="a3"/>
    <w:rsid w:val="00F661EA"/>
    <w:rPr>
      <w:b/>
      <w:smallCaps/>
      <w:sz w:val="32"/>
      <w:lang w:eastAsia="ru-RU"/>
    </w:rPr>
  </w:style>
  <w:style w:type="paragraph" w:styleId="a5">
    <w:name w:val="Subtitle"/>
    <w:basedOn w:val="a"/>
    <w:next w:val="a"/>
    <w:link w:val="a6"/>
    <w:qFormat/>
    <w:rsid w:val="00F661EA"/>
    <w:pPr>
      <w:spacing w:after="60"/>
      <w:jc w:val="center"/>
      <w:outlineLvl w:val="1"/>
    </w:pPr>
    <w:rPr>
      <w:rFonts w:ascii="Cambria" w:hAnsi="Cambria"/>
      <w:sz w:val="24"/>
      <w:szCs w:val="24"/>
      <w:lang w:eastAsia="en-US"/>
    </w:rPr>
  </w:style>
  <w:style w:type="character" w:customStyle="1" w:styleId="a6">
    <w:name w:val="Подзаголовок Знак"/>
    <w:link w:val="a5"/>
    <w:rsid w:val="00F661EA"/>
    <w:rPr>
      <w:rFonts w:ascii="Cambria" w:hAnsi="Cambria"/>
      <w:sz w:val="24"/>
      <w:szCs w:val="24"/>
    </w:rPr>
  </w:style>
  <w:style w:type="character" w:styleId="a7">
    <w:name w:val="Emphasis"/>
    <w:qFormat/>
    <w:rsid w:val="00F661EA"/>
    <w:rPr>
      <w:i/>
      <w:iCs/>
    </w:rPr>
  </w:style>
  <w:style w:type="paragraph" w:styleId="a8">
    <w:name w:val="List Paragraph"/>
    <w:basedOn w:val="a"/>
    <w:uiPriority w:val="34"/>
    <w:qFormat/>
    <w:rsid w:val="00F661EA"/>
    <w:pPr>
      <w:ind w:left="708"/>
    </w:pPr>
  </w:style>
  <w:style w:type="character" w:customStyle="1" w:styleId="30">
    <w:name w:val="Заголовок 3 Знак"/>
    <w:basedOn w:val="a0"/>
    <w:link w:val="3"/>
    <w:uiPriority w:val="9"/>
    <w:rsid w:val="00C15C8B"/>
    <w:rPr>
      <w:b/>
      <w:bCs/>
      <w:sz w:val="27"/>
      <w:szCs w:val="27"/>
      <w:lang w:eastAsia="ru-RU"/>
    </w:rPr>
  </w:style>
  <w:style w:type="paragraph" w:customStyle="1" w:styleId="title1">
    <w:name w:val="title1"/>
    <w:basedOn w:val="a"/>
    <w:rsid w:val="00C15C8B"/>
    <w:pPr>
      <w:spacing w:before="100" w:beforeAutospacing="1" w:after="100" w:afterAutospacing="1"/>
    </w:pPr>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39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619</Words>
  <Characters>3533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Батуева</dc:creator>
  <cp:lastModifiedBy>Батуева</cp:lastModifiedBy>
  <cp:revision>1</cp:revision>
  <cp:lastPrinted>2013-10-01T11:21:00Z</cp:lastPrinted>
  <dcterms:created xsi:type="dcterms:W3CDTF">2013-10-01T11:19:00Z</dcterms:created>
  <dcterms:modified xsi:type="dcterms:W3CDTF">2013-10-01T11:22:00Z</dcterms:modified>
</cp:coreProperties>
</file>