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95D" w:rsidRPr="00CA7787" w:rsidRDefault="00454234" w:rsidP="00F74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29E47" wp14:editId="4D1F014E">
                <wp:simplePos x="0" y="0"/>
                <wp:positionH relativeFrom="column">
                  <wp:posOffset>2472247</wp:posOffset>
                </wp:positionH>
                <wp:positionV relativeFrom="paragraph">
                  <wp:posOffset>345440</wp:posOffset>
                </wp:positionV>
                <wp:extent cx="3686175" cy="1403985"/>
                <wp:effectExtent l="0" t="0" r="952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234" w:rsidRPr="00454234" w:rsidRDefault="00454234" w:rsidP="00CC462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542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454234" w:rsidRPr="00454234" w:rsidRDefault="00454234" w:rsidP="00CC462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 Муниципального</w:t>
                            </w:r>
                            <w:r w:rsidR="006644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  <w:t xml:space="preserve">казенного </w:t>
                            </w: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учреждения </w:t>
                            </w:r>
                            <w:r w:rsidR="006644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«Содержание муниципального имущества»</w:t>
                            </w:r>
                          </w:p>
                          <w:p w:rsidR="00664443" w:rsidRDefault="00664443" w:rsidP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454234" w:rsidRPr="00454234" w:rsidRDefault="00454234" w:rsidP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 /И. Р. </w:t>
                            </w:r>
                            <w:proofErr w:type="spellStart"/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454234" w:rsidRPr="00454234" w:rsidRDefault="00454234" w:rsidP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454234" w:rsidRPr="00454234" w:rsidRDefault="004F6EC0" w:rsidP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 _________ 2013</w:t>
                            </w:r>
                            <w:r w:rsidR="00454234"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года</w:t>
                            </w:r>
                          </w:p>
                          <w:p w:rsidR="00454234" w:rsidRPr="00454234" w:rsidRDefault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4.65pt;margin-top:27.2pt;width:290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" stroked="f">
                <v:textbox style="mso-fit-shape-to-text:t">
                  <w:txbxContent>
                    <w:p w:rsidR="00454234" w:rsidRPr="00454234" w:rsidRDefault="00454234" w:rsidP="00CC4624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542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454234" w:rsidRPr="00454234" w:rsidRDefault="00454234" w:rsidP="00CC462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 Муниципального</w:t>
                      </w:r>
                      <w:r w:rsidR="006644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  <w:t xml:space="preserve">казенного </w:t>
                      </w: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учреждения </w:t>
                      </w:r>
                      <w:r w:rsidR="006644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«Содержание муниципального имущества»</w:t>
                      </w:r>
                    </w:p>
                    <w:p w:rsidR="00664443" w:rsidRDefault="00664443" w:rsidP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54234" w:rsidRPr="00454234" w:rsidRDefault="00454234" w:rsidP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 /И. Р. </w:t>
                      </w:r>
                      <w:proofErr w:type="spellStart"/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454234" w:rsidRPr="00454234" w:rsidRDefault="00454234" w:rsidP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54234" w:rsidRPr="00454234" w:rsidRDefault="004F6EC0" w:rsidP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 _________ 2013</w:t>
                      </w:r>
                      <w:r w:rsidR="00454234"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года</w:t>
                      </w:r>
                    </w:p>
                    <w:p w:rsidR="00454234" w:rsidRPr="00454234" w:rsidRDefault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624" w:rsidRPr="00CA7787" w:rsidRDefault="00CC4624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C4624" w:rsidRPr="00CA7787" w:rsidRDefault="00CC4624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C4624" w:rsidRPr="00CA7787" w:rsidRDefault="00CC4624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8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ДОКУМЕНТАЦИЯ ОБ ОТКРЫТОМ АУКЦИОНЕ</w:t>
      </w:r>
    </w:p>
    <w:p w:rsidR="00F7495D" w:rsidRPr="00CA7787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8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 ЭЛЕКТРОННОЙ ФОРМЕ</w:t>
      </w:r>
    </w:p>
    <w:p w:rsidR="00F7495D" w:rsidRPr="00CA7787" w:rsidRDefault="00F7495D" w:rsidP="003C4B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на право заключить муниципальный контракт </w:t>
      </w:r>
      <w:r w:rsidR="003C4BDC" w:rsidRPr="00CA77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C4BDC" w:rsidRPr="00CA77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 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</w:t>
      </w:r>
    </w:p>
    <w:p w:rsidR="00F7495D" w:rsidRPr="00CA7787" w:rsidRDefault="00F7495D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DC" w:rsidRPr="00CA7787" w:rsidRDefault="003C4BDC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DC" w:rsidRPr="00CA7787" w:rsidRDefault="003C4BDC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CA7787" w:rsidRDefault="00F7495D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58A" w:rsidRPr="00CA7787" w:rsidRDefault="00664443" w:rsidP="003C4BDC">
      <w:pPr>
        <w:spacing w:before="100" w:beforeAutospacing="1" w:after="100" w:afterAutospacing="1" w:line="240" w:lineRule="auto"/>
        <w:ind w:left="-426"/>
        <w:jc w:val="center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CA7787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4F6EC0" w:rsidRPr="00CA7787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Пермь, 2013</w:t>
      </w:r>
      <w:r w:rsidR="00F7495D" w:rsidRPr="00CA77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F5358A" w:rsidRPr="00CA778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br/>
      </w:r>
      <w:r w:rsidR="00F5358A" w:rsidRPr="00CA778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br w:type="page"/>
      </w:r>
    </w:p>
    <w:tbl>
      <w:tblPr>
        <w:tblW w:w="10242" w:type="dxa"/>
        <w:jc w:val="center"/>
        <w:tblCellSpacing w:w="18" w:type="dxa"/>
        <w:tblInd w:w="-8891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08"/>
        <w:gridCol w:w="1673"/>
        <w:gridCol w:w="2070"/>
        <w:gridCol w:w="5832"/>
        <w:gridCol w:w="59"/>
      </w:tblGrid>
      <w:tr w:rsidR="00276733" w:rsidRPr="00CA7787" w:rsidTr="00156ACD">
        <w:trPr>
          <w:trHeight w:val="275"/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Общие сведения.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CA7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правовыми 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актами:</w:t>
            </w:r>
          </w:p>
          <w:p w:rsidR="00276733" w:rsidRPr="00CA7787" w:rsidRDefault="00276733" w:rsidP="00E170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276733" w:rsidRPr="00CA7787" w:rsidRDefault="00276733" w:rsidP="00E170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муниципального заказа города Перми»;</w:t>
            </w:r>
          </w:p>
          <w:p w:rsidR="00276733" w:rsidRPr="00CA7787" w:rsidRDefault="00276733" w:rsidP="005863B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-5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.Сведения о заказчике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«Содержание муниципального имущества»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Николая Островского,27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Николая Островского,27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4F6EC0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276733"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ender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76733" w:rsidRPr="00CA7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@smi.perm.ru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(342) 217-11-24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217-10-18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5863B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5863B5" w:rsidRPr="00CA7787" w:rsidRDefault="004F6EC0" w:rsidP="005863B5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Науменко Дмитрий Сергеевич</w:t>
            </w:r>
            <w:r w:rsidR="00276733"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ответственный специалист за размещение муниципального заказа; </w:t>
            </w:r>
            <w:r w:rsidR="0086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(342)217-10-18</w:t>
            </w:r>
          </w:p>
          <w:p w:rsidR="00276733" w:rsidRPr="00CA7787" w:rsidRDefault="00276733" w:rsidP="005863B5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 Сергей Георгиевич – начальник технического отдела;</w:t>
            </w:r>
            <w:r w:rsidR="0086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(342)217-10-94</w:t>
            </w:r>
          </w:p>
          <w:p w:rsidR="00276733" w:rsidRPr="00CA7787" w:rsidRDefault="00276733" w:rsidP="005863B5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7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Гайдоба</w:t>
            </w:r>
            <w:proofErr w:type="spellEnd"/>
            <w:r w:rsidRPr="00CA7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Виталий Ефимович</w:t>
            </w:r>
            <w:r w:rsidR="00866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7787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-</w:t>
            </w:r>
            <w:r w:rsidRPr="00CA7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начальник отдела эксплуатации и содержания защитных сооружений.</w:t>
            </w:r>
            <w:r w:rsidR="00866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(342)217-11-24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Сведения о предмете открытого аукциона</w:t>
            </w:r>
            <w:r w:rsidR="00B10FF5"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электронной форме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контракта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5863B5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76733" w:rsidRPr="00CA7787" w:rsidRDefault="004F6EC0" w:rsidP="004F6EC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1 128 156,94</w:t>
            </w:r>
            <w:r w:rsidR="00D1503B"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(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миллион сто двадцать восемь тысяч сто пятьдесят шесть рублей, 94</w:t>
            </w:r>
            <w:r w:rsidR="00276733"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копеек)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(приложение №1 к документации об открыто</w:t>
            </w:r>
            <w:r w:rsidR="004F6EC0"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аукционе в электронной форме) 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методом среднерыночного расчета</w:t>
            </w:r>
            <w:r w:rsidR="004F6EC0"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4F6EC0" w:rsidP="004F6EC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 суток (двести шесть</w:t>
            </w:r>
            <w:r w:rsidR="00B82342"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суток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оказываемым услугам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5C32E2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муниципального контракта (приложение №</w:t>
            </w:r>
            <w:r w:rsidR="005C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5C32E2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5C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перечнем объектов пультовой охраны (приложение № 2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</w:t>
            </w:r>
            <w:r w:rsidR="005C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Перечень объектов может меняться в зависимости от потребности заказчика.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(периоды)</w:t>
            </w:r>
            <w:r w:rsidR="004F6EC0"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C302E7" w:rsidP="00A05843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</w:t>
            </w:r>
            <w:r w:rsidR="005C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контракта (приложение №3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в порядке, предусмотренном в проекте муниципального контракта (приложение №</w:t>
            </w:r>
            <w:r w:rsidR="00BE4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форме).</w:t>
            </w:r>
          </w:p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муниципальному контракту, являющемуся приложением к аукционной документации, производится на счет исполнителя, указанный в таком контракте. Оплата по муниципальному контракту третьим лицам не допускается. 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заказа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Перми</w:t>
            </w:r>
          </w:p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14154" w:rsidRPr="00CA7787" w:rsidRDefault="00114154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является твердой и не может изменяться в ходе его исполнения, за исключением случаев определенных аукционной документацией и муниципальным контрактом. </w:t>
            </w:r>
          </w:p>
          <w:p w:rsidR="00276733" w:rsidRPr="00CA7787" w:rsidRDefault="00114154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контракта должна включать расходы на перевозку, страхование, уплату таможенных пошлин, налогов и других обязательных платежей. Расчетным периодом является календарный месяц.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 РФ</w:t>
            </w:r>
          </w:p>
        </w:tc>
      </w:tr>
      <w:tr w:rsidR="00276733" w:rsidRPr="00CA7787" w:rsidTr="008666E2">
        <w:trPr>
          <w:trHeight w:val="37"/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E637AB" w:rsidRPr="008666E2" w:rsidRDefault="00276733" w:rsidP="008666E2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заключенного 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применяется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CA7787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III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Требования к участникам размещения заказа:</w:t>
            </w:r>
          </w:p>
        </w:tc>
      </w:tr>
      <w:tr w:rsidR="00276733" w:rsidRPr="00CA7787" w:rsidTr="00156ACD">
        <w:trPr>
          <w:trHeight w:val="60"/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771DE">
            <w:pPr>
              <w:spacing w:before="100" w:beforeAutospacing="1" w:after="100" w:afterAutospacing="1" w:line="240" w:lineRule="auto"/>
              <w:ind w:left="34"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происхождения, имеющим лицензию на оказание охранных услуг в соответствии с действующим законодательством.</w:t>
            </w:r>
          </w:p>
          <w:p w:rsidR="00276733" w:rsidRPr="00CA7787" w:rsidRDefault="00276733" w:rsidP="00E771DE">
            <w:pPr>
              <w:spacing w:before="100" w:beforeAutospacing="1" w:after="100" w:afterAutospacing="1" w:line="60" w:lineRule="atLeast"/>
              <w:ind w:left="34"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276733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771DE">
            <w:pPr>
              <w:spacing w:before="100" w:beforeAutospacing="1" w:after="100" w:afterAutospacing="1" w:line="240" w:lineRule="auto"/>
              <w:ind w:left="34" w:firstLine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276733" w:rsidRPr="00CA7787" w:rsidTr="00156ACD">
        <w:trPr>
          <w:trHeight w:val="408"/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276733" w:rsidP="00E17070">
            <w:pPr>
              <w:numPr>
                <w:ilvl w:val="0"/>
                <w:numId w:val="2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CA7787" w:rsidRDefault="00B10FF5" w:rsidP="00B10FF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CA7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10FF5" w:rsidRPr="00CA7787" w:rsidTr="00156ACD">
        <w:trPr>
          <w:trHeight w:val="444"/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3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A41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10FF5" w:rsidRPr="00CA7787" w:rsidTr="00156ACD">
        <w:trPr>
          <w:trHeight w:val="468"/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4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B10FF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10FF5" w:rsidRPr="00CA7787" w:rsidTr="00156ACD">
        <w:trPr>
          <w:trHeight w:val="1452"/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5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B10FF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B10FF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0FF5" w:rsidRPr="00CA7787" w:rsidTr="00156ACD">
        <w:trPr>
          <w:trHeight w:val="598"/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13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сведения: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7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Default="00B10FF5" w:rsidP="00B10FF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  <w:p w:rsidR="00D24C80" w:rsidRPr="00CA7787" w:rsidRDefault="00D24C80" w:rsidP="00D24C80">
            <w:pPr>
              <w:autoSpaceDE w:val="0"/>
              <w:autoSpaceDN w:val="0"/>
              <w:adjustRightInd w:val="0"/>
              <w:spacing w:after="0" w:line="240" w:lineRule="auto"/>
              <w:ind w:left="37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Вторая часть заявки на участие в открытом аукционе в электронной форме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9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A416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10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D11ADA">
            <w:pPr>
              <w:spacing w:before="100" w:beforeAutospacing="1" w:after="100" w:afterAutospacing="1" w:line="240" w:lineRule="auto"/>
              <w:ind w:left="20"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A7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опии документов, 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оказание услуг, являющихся предметом открытого аукциона в электронной форме</w:t>
            </w:r>
            <w:r w:rsidRPr="00CA77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B10FF5" w:rsidRPr="00CA7787" w:rsidRDefault="00B10FF5" w:rsidP="00D11ADA">
            <w:pPr>
              <w:pStyle w:val="a5"/>
              <w:numPr>
                <w:ilvl w:val="1"/>
                <w:numId w:val="10"/>
              </w:numPr>
              <w:spacing w:before="100" w:beforeAutospacing="1" w:after="100" w:afterAutospacing="1" w:line="240" w:lineRule="auto"/>
              <w:ind w:left="2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лицензия на осуществление частной охранной деятельности с указанием требуемых видов услуг: </w:t>
            </w:r>
            <w:proofErr w:type="gramStart"/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храна объектов и (или) имущества на объектах с осуществлением работ по проектированию, монтажу и эксплуатационному обслуживанию технических средств охраны с принятием соответствующих мер реагирования на их сигнальную информацию.</w:t>
            </w:r>
          </w:p>
          <w:p w:rsidR="00B10FF5" w:rsidRPr="00CA7787" w:rsidRDefault="00B10FF5" w:rsidP="00D11ADA">
            <w:pPr>
              <w:pStyle w:val="a5"/>
              <w:numPr>
                <w:ilvl w:val="1"/>
                <w:numId w:val="10"/>
              </w:numPr>
              <w:spacing w:before="100" w:beforeAutospacing="1" w:after="100" w:afterAutospacing="1" w:line="240" w:lineRule="auto"/>
              <w:ind w:left="2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разрешение на хранение и использование оружия и патронов к нему (РХИ).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numPr>
                <w:ilvl w:val="0"/>
                <w:numId w:val="11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0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A416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  <w:p w:rsidR="00B10FF5" w:rsidRPr="00CA7787" w:rsidRDefault="00B10FF5" w:rsidP="00EA416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участником размещения заказа заявки на участие в открытом 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V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Обеспечение заявки на участие в открытом аукционе в электронной форме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single" w:sz="4" w:space="0" w:color="auto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Default="00B10FF5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 w:rsidR="00C2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21EF8" w:rsidRPr="00CA7787" w:rsidRDefault="00C21EF8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  <w:r w:rsidRPr="00C21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начальной (максимальной) цены контракта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составляет 56 407,84 руб. (пятьдесят шесть тысяч четыреста семь рублей 84 коп.)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VI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B10FF5" w:rsidRPr="00CA7787" w:rsidTr="00156ACD">
        <w:trPr>
          <w:gridAfter w:val="1"/>
          <w:wAfter w:w="5" w:type="dxa"/>
          <w:tblCellSpacing w:w="18" w:type="dxa"/>
          <w:jc w:val="center"/>
        </w:trPr>
        <w:tc>
          <w:tcPr>
            <w:tcW w:w="429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79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4F6EC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4C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17:30 17.10.2013</w:t>
            </w:r>
          </w:p>
        </w:tc>
      </w:tr>
      <w:tr w:rsidR="00B10FF5" w:rsidRPr="00CA7787" w:rsidTr="00156ACD">
        <w:trPr>
          <w:gridAfter w:val="1"/>
          <w:wAfter w:w="5" w:type="dxa"/>
          <w:tblCellSpacing w:w="18" w:type="dxa"/>
          <w:jc w:val="center"/>
        </w:trPr>
        <w:tc>
          <w:tcPr>
            <w:tcW w:w="429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рассмотрения первых частей заявок</w:t>
            </w:r>
            <w:r w:rsidR="004C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579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4C66AB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21.10.2013</w:t>
            </w:r>
          </w:p>
        </w:tc>
      </w:tr>
      <w:tr w:rsidR="00B10FF5" w:rsidRPr="00CA7787" w:rsidTr="00156ACD">
        <w:trPr>
          <w:gridAfter w:val="1"/>
          <w:wAfter w:w="5" w:type="dxa"/>
          <w:trHeight w:val="492"/>
          <w:tblCellSpacing w:w="18" w:type="dxa"/>
          <w:jc w:val="center"/>
        </w:trPr>
        <w:tc>
          <w:tcPr>
            <w:tcW w:w="429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579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4F6EC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4C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24.10.2013</w:t>
            </w:r>
            <w:bookmarkStart w:id="0" w:name="_GoBack"/>
            <w:bookmarkEnd w:id="0"/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VII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Обеспечение исполнения контракта</w:t>
            </w:r>
          </w:p>
        </w:tc>
      </w:tr>
      <w:tr w:rsidR="00B10FF5" w:rsidRPr="00CA7787" w:rsidTr="00156ACD">
        <w:trPr>
          <w:trHeight w:val="492"/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C302E7" w:rsidP="00C302E7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10% </w:t>
            </w:r>
            <w:r w:rsidR="00C21EF8" w:rsidRPr="00C21EF8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контракта</w:t>
            </w:r>
            <w:r w:rsidR="00C2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составляет 112 815,69 руб. (сто двенадцать тыся</w:t>
            </w:r>
            <w:r w:rsidR="00DB2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восемьсот пятнадцать рублей, 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коп.)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5C32E2" w:rsidRDefault="00B10FF5" w:rsidP="005C32E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0FF5" w:rsidRPr="00CA7787" w:rsidRDefault="005C32E2" w:rsidP="005C32E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FF5" w:rsidRPr="00CA778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B10FF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B10FF5" w:rsidRPr="00CA7787" w:rsidRDefault="00B10FF5" w:rsidP="00B10FF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B10FF5" w:rsidRPr="00CA7787" w:rsidRDefault="00B10FF5" w:rsidP="00B10FF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B10FF5" w:rsidRPr="00CA7787" w:rsidRDefault="00B10FF5" w:rsidP="00B10FF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B10FF5" w:rsidRPr="00CA7787" w:rsidRDefault="00B10FF5" w:rsidP="00B10FF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B10FF5" w:rsidRPr="00CA7787" w:rsidRDefault="00B10FF5" w:rsidP="00B10FF5">
            <w:pPr>
              <w:pStyle w:val="3"/>
              <w:numPr>
                <w:ilvl w:val="0"/>
                <w:numId w:val="0"/>
              </w:numPr>
              <w:ind w:firstLine="258"/>
            </w:pPr>
            <w:r w:rsidRPr="00CA7787"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0FF5" w:rsidRPr="00CA7787" w:rsidRDefault="00B10FF5" w:rsidP="00B10FF5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 (в соответствии с письмом Управления</w:t>
            </w:r>
            <w:proofErr w:type="gramEnd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Федеральной антимонопольной службы по Пермскому краю от 01.02.2013 №00851-13</w:t>
            </w:r>
            <w:r w:rsidRPr="00CA7787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  <w:proofErr w:type="gramEnd"/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CA7787" w:rsidRPr="00CA7787" w:rsidRDefault="00CA7787" w:rsidP="00CA7787">
            <w:pPr>
              <w:pStyle w:val="3"/>
              <w:numPr>
                <w:ilvl w:val="0"/>
                <w:numId w:val="0"/>
              </w:numPr>
              <w:ind w:firstLine="258"/>
            </w:pPr>
            <w:r w:rsidRPr="00CA7787">
              <w:t xml:space="preserve"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 </w:t>
            </w:r>
          </w:p>
          <w:p w:rsidR="00CA7787" w:rsidRPr="00CA7787" w:rsidRDefault="00CA7787" w:rsidP="00CA7787">
            <w:pPr>
              <w:pStyle w:val="3"/>
              <w:numPr>
                <w:ilvl w:val="0"/>
                <w:numId w:val="18"/>
              </w:numPr>
              <w:rPr>
                <w:b/>
              </w:rPr>
            </w:pPr>
            <w:r w:rsidRPr="00CA7787">
              <w:t xml:space="preserve">указание на </w:t>
            </w:r>
            <w:proofErr w:type="spellStart"/>
            <w:r w:rsidRPr="00CA7787">
              <w:t>безотзывность</w:t>
            </w:r>
            <w:proofErr w:type="spellEnd"/>
            <w:r w:rsidRPr="00CA7787">
              <w:t xml:space="preserve"> гарантии;</w:t>
            </w:r>
          </w:p>
          <w:p w:rsidR="00CA7787" w:rsidRPr="00CA7787" w:rsidRDefault="00CA7787" w:rsidP="00CA7787">
            <w:pPr>
              <w:pStyle w:val="3"/>
              <w:numPr>
                <w:ilvl w:val="0"/>
                <w:numId w:val="18"/>
              </w:numPr>
              <w:rPr>
                <w:b/>
              </w:rPr>
            </w:pPr>
            <w:r w:rsidRPr="00CA7787">
              <w:t>указание в качестве Бенефициара МКУ «СМИ»;</w:t>
            </w:r>
          </w:p>
          <w:p w:rsidR="00CA7787" w:rsidRPr="00CA7787" w:rsidRDefault="00CA7787" w:rsidP="00CA7787">
            <w:pPr>
              <w:pStyle w:val="3"/>
              <w:numPr>
                <w:ilvl w:val="0"/>
                <w:numId w:val="18"/>
              </w:numPr>
              <w:rPr>
                <w:b/>
              </w:rPr>
            </w:pPr>
            <w:r w:rsidRPr="00CA7787">
              <w:t>Ссылка на решение аукционной комиссии и муниципальный контракт;</w:t>
            </w:r>
          </w:p>
          <w:p w:rsidR="00CA7787" w:rsidRPr="00CA7787" w:rsidRDefault="00CA7787" w:rsidP="00CA7787">
            <w:pPr>
              <w:pStyle w:val="3"/>
              <w:numPr>
                <w:ilvl w:val="0"/>
                <w:numId w:val="18"/>
              </w:numPr>
              <w:rPr>
                <w:b/>
              </w:rPr>
            </w:pPr>
            <w:r w:rsidRPr="00CA7787">
              <w:t>Указание срока уплаты денежных средств, который не должен превышать 15 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контракту;</w:t>
            </w:r>
          </w:p>
          <w:p w:rsidR="005C32E2" w:rsidRDefault="00CA7787" w:rsidP="005C32E2">
            <w:pPr>
              <w:pStyle w:val="3"/>
              <w:numPr>
                <w:ilvl w:val="0"/>
                <w:numId w:val="18"/>
              </w:numPr>
            </w:pPr>
            <w:r w:rsidRPr="00CA7787">
              <w:t>Срок действия Банковской гарантии долже</w:t>
            </w:r>
            <w:r w:rsidR="00C21EF8">
              <w:t>н распространяться до 31.12.2014</w:t>
            </w:r>
            <w:r w:rsidRPr="00CA7787">
              <w:t>г.</w:t>
            </w:r>
          </w:p>
          <w:p w:rsidR="00B10FF5" w:rsidRPr="00CA7787" w:rsidRDefault="00CA7787" w:rsidP="005C32E2">
            <w:pPr>
              <w:pStyle w:val="3"/>
              <w:numPr>
                <w:ilvl w:val="0"/>
                <w:numId w:val="0"/>
              </w:numPr>
              <w:ind w:left="618"/>
            </w:pPr>
            <w:r w:rsidRPr="00CA7787"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B10FF5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10FF5" w:rsidRPr="00CA7787" w:rsidRDefault="00B10FF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Залог денежных средств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CA7787" w:rsidRPr="00CA7787" w:rsidRDefault="00CA7787" w:rsidP="00CA7787">
            <w:pPr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7623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1569"/>
              <w:gridCol w:w="6054"/>
            </w:tblGrid>
            <w:tr w:rsidR="00CA7787" w:rsidRPr="00CA7787" w:rsidTr="00EA4164">
              <w:trPr>
                <w:trHeight w:val="452"/>
                <w:tblCellSpacing w:w="0" w:type="dxa"/>
              </w:trPr>
              <w:tc>
                <w:tcPr>
                  <w:tcW w:w="15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Получатель</w:t>
                  </w:r>
                </w:p>
              </w:tc>
              <w:tc>
                <w:tcPr>
                  <w:tcW w:w="60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л</w:t>
                  </w:r>
                  <w:proofErr w:type="gramEnd"/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/с 04163010062)</w:t>
                  </w:r>
                </w:p>
              </w:tc>
            </w:tr>
            <w:tr w:rsidR="00CA7787" w:rsidRPr="00CA7787" w:rsidTr="00EA4164">
              <w:trPr>
                <w:trHeight w:val="219"/>
                <w:tblCellSpacing w:w="0" w:type="dxa"/>
              </w:trPr>
              <w:tc>
                <w:tcPr>
                  <w:tcW w:w="15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ИНН</w:t>
                  </w:r>
                </w:p>
              </w:tc>
              <w:tc>
                <w:tcPr>
                  <w:tcW w:w="60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5904082670</w:t>
                  </w:r>
                </w:p>
              </w:tc>
            </w:tr>
            <w:tr w:rsidR="00CA7787" w:rsidRPr="00CA7787" w:rsidTr="00EA4164">
              <w:trPr>
                <w:trHeight w:val="234"/>
                <w:tblCellSpacing w:w="0" w:type="dxa"/>
              </w:trPr>
              <w:tc>
                <w:tcPr>
                  <w:tcW w:w="15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60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590201001</w:t>
                  </w:r>
                </w:p>
              </w:tc>
            </w:tr>
            <w:tr w:rsidR="00CA7787" w:rsidRPr="00CA7787" w:rsidTr="00EA4164">
              <w:trPr>
                <w:trHeight w:val="219"/>
                <w:tblCellSpacing w:w="0" w:type="dxa"/>
              </w:trPr>
              <w:tc>
                <w:tcPr>
                  <w:tcW w:w="15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</w:t>
                  </w:r>
                  <w:proofErr w:type="gramEnd"/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/с</w:t>
                  </w:r>
                </w:p>
              </w:tc>
              <w:tc>
                <w:tcPr>
                  <w:tcW w:w="60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40302810000005000009 в РКЦ г. Перми</w:t>
                  </w:r>
                </w:p>
              </w:tc>
            </w:tr>
            <w:tr w:rsidR="00CA7787" w:rsidRPr="00CA7787" w:rsidTr="00EA4164">
              <w:trPr>
                <w:trHeight w:val="234"/>
                <w:tblCellSpacing w:w="0" w:type="dxa"/>
              </w:trPr>
              <w:tc>
                <w:tcPr>
                  <w:tcW w:w="15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БИК </w:t>
                  </w:r>
                </w:p>
              </w:tc>
              <w:tc>
                <w:tcPr>
                  <w:tcW w:w="60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045744000</w:t>
                  </w:r>
                </w:p>
              </w:tc>
            </w:tr>
            <w:tr w:rsidR="00CA7787" w:rsidRPr="00CA7787" w:rsidTr="00EA4164">
              <w:trPr>
                <w:trHeight w:val="234"/>
                <w:tblCellSpacing w:w="0" w:type="dxa"/>
              </w:trPr>
              <w:tc>
                <w:tcPr>
                  <w:tcW w:w="15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Назначение платежа</w:t>
                  </w:r>
                </w:p>
              </w:tc>
              <w:tc>
                <w:tcPr>
                  <w:tcW w:w="60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7787" w:rsidRPr="008666E2" w:rsidRDefault="00CA7787" w:rsidP="00EA4164">
                  <w:pPr>
                    <w:spacing w:before="100" w:beforeAutospacing="1" w:after="100" w:afterAutospacing="1"/>
                    <w:ind w:left="17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Обеспечение исполнения контракта, извещение от ___.___.2013 </w:t>
                  </w:r>
                  <w:r w:rsidRPr="008666E2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>№ _____________________________</w:t>
                  </w:r>
                </w:p>
              </w:tc>
            </w:tr>
          </w:tbl>
          <w:p w:rsidR="00CA7787" w:rsidRPr="00CA7787" w:rsidRDefault="00CA7787" w:rsidP="00CA7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CA7787" w:rsidRPr="00CA7787" w:rsidRDefault="00CD267C" w:rsidP="00CA7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Заказчик в течение 1 (одного) месяца со дня исполнения МК или его расторжения </w:t>
            </w:r>
            <w:r w:rsidR="00CA7787" w:rsidRPr="00CA7787">
              <w:rPr>
                <w:rFonts w:ascii="Times New Roman" w:hAnsi="Times New Roman" w:cs="Times New Roman"/>
                <w:sz w:val="24"/>
                <w:szCs w:val="24"/>
              </w:rPr>
              <w:t>осуществляет возврат обеспечения по реквизитам, указанным в контракте.</w:t>
            </w:r>
          </w:p>
          <w:p w:rsidR="00CA7787" w:rsidRPr="00CA7787" w:rsidRDefault="00CA7787" w:rsidP="00CA7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    Требования Заказчика удовлетворяются из заложенного имущества (денежных средств)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</w:t>
            </w:r>
            <w:proofErr w:type="gramStart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азмере, указанном в муниципальном контракте.</w:t>
            </w:r>
          </w:p>
          <w:p w:rsidR="00CA7787" w:rsidRPr="00CA7787" w:rsidRDefault="00CA7787" w:rsidP="00CA7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     В случае </w:t>
            </w:r>
            <w:r w:rsidR="00CD267C">
              <w:rPr>
                <w:rFonts w:ascii="Times New Roman" w:hAnsi="Times New Roman" w:cs="Times New Roman"/>
                <w:sz w:val="24"/>
                <w:szCs w:val="24"/>
              </w:rPr>
              <w:t xml:space="preserve">расторжения МК в связи с </w:t>
            </w: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неисполнени</w:t>
            </w:r>
            <w:r w:rsidR="00CD267C">
              <w:rPr>
                <w:rFonts w:ascii="Times New Roman" w:hAnsi="Times New Roman" w:cs="Times New Roman"/>
                <w:sz w:val="24"/>
                <w:szCs w:val="24"/>
              </w:rPr>
              <w:t>ем или ненадлежащим</w:t>
            </w: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 w:rsidR="00CD267C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размещения заказа своих обязательств по муниципальному контракту </w:t>
            </w:r>
            <w:proofErr w:type="gramStart"/>
            <w:r w:rsidRPr="00CA7787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средства, переданные в качестве обеспечения исполнения </w:t>
            </w:r>
            <w:r w:rsidR="00CD267C">
              <w:rPr>
                <w:rFonts w:ascii="Times New Roman" w:hAnsi="Times New Roman" w:cs="Times New Roman"/>
                <w:sz w:val="24"/>
                <w:szCs w:val="24"/>
              </w:rPr>
              <w:t>возврату не подлежат</w:t>
            </w:r>
            <w:proofErr w:type="gramEnd"/>
            <w:r w:rsidR="00CD2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FF5" w:rsidRPr="00CA7787" w:rsidRDefault="00B10FF5" w:rsidP="00E17070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ACD" w:rsidRPr="00CA7787" w:rsidTr="00EA4164">
        <w:trPr>
          <w:tblCellSpacing w:w="18" w:type="dxa"/>
          <w:jc w:val="center"/>
        </w:trPr>
        <w:tc>
          <w:tcPr>
            <w:tcW w:w="10170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156ACD" w:rsidRPr="00CA7787" w:rsidRDefault="00156ACD" w:rsidP="00EA4164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VII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CA7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Обеспечение исполнения контракта</w:t>
            </w:r>
          </w:p>
        </w:tc>
      </w:tr>
      <w:tr w:rsidR="00156ACD" w:rsidRPr="00CA7787" w:rsidTr="00156ACD">
        <w:trPr>
          <w:tblCellSpacing w:w="18" w:type="dxa"/>
          <w:jc w:val="center"/>
        </w:trPr>
        <w:tc>
          <w:tcPr>
            <w:tcW w:w="2227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CD267C" w:rsidRDefault="00CD267C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hAnsi="Times New Roman" w:cs="Times New Roman"/>
              </w:rPr>
            </w:pPr>
          </w:p>
          <w:p w:rsidR="00156ACD" w:rsidRPr="00CA7787" w:rsidRDefault="00156ACD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Порядок заключения контракта</w:t>
            </w:r>
          </w:p>
        </w:tc>
        <w:tc>
          <w:tcPr>
            <w:tcW w:w="7907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CD267C" w:rsidRDefault="00CD267C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Контракт заключается в порядке, предусмотренном статьей 41.12 Федерального закона от 21.07.2005 № 94-ФЗ.</w:t>
            </w: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В контра</w:t>
            </w:r>
            <w:proofErr w:type="gramStart"/>
            <w:r w:rsidRPr="00156ACD">
              <w:t>кт вкл</w:t>
            </w:r>
            <w:proofErr w:type="gramEnd"/>
            <w:r w:rsidRPr="00156ACD"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  <w:proofErr w:type="gramStart"/>
            <w:r w:rsidRPr="00156ACD"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В случае</w:t>
            </w:r>
            <w:proofErr w:type="gramStart"/>
            <w:r w:rsidRPr="00156ACD">
              <w:t>,</w:t>
            </w:r>
            <w:proofErr w:type="gramEnd"/>
            <w:r w:rsidRPr="00156ACD"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CD267C" w:rsidRDefault="00CD267C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CD267C" w:rsidRDefault="00CD267C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CD267C" w:rsidRDefault="00CD267C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CD267C" w:rsidRDefault="00CD267C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CD267C" w:rsidRDefault="00CD267C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lastRenderedPageBreak/>
              <w:t>Перечисление заказчику денежных сре</w:t>
            </w:r>
            <w:proofErr w:type="gramStart"/>
            <w:r w:rsidRPr="00156ACD">
              <w:t>дств в к</w:t>
            </w:r>
            <w:proofErr w:type="gramEnd"/>
            <w:r w:rsidRPr="00156ACD">
              <w:t>ачестве оплаты права заключить контракт производится по следующим реквизитам:</w:t>
            </w:r>
          </w:p>
          <w:p w:rsidR="00156ACD" w:rsidRPr="00156ACD" w:rsidRDefault="00156ACD" w:rsidP="00156ACD">
            <w:pPr>
              <w:pStyle w:val="3"/>
              <w:numPr>
                <w:ilvl w:val="0"/>
                <w:numId w:val="0"/>
              </w:numPr>
              <w:ind w:firstLine="317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302"/>
              <w:gridCol w:w="6142"/>
            </w:tblGrid>
            <w:tr w:rsidR="00156ACD" w:rsidRPr="00156ACD" w:rsidTr="00EA4164">
              <w:tc>
                <w:tcPr>
                  <w:tcW w:w="1302" w:type="dxa"/>
                  <w:shd w:val="clear" w:color="auto" w:fill="auto"/>
                </w:tcPr>
                <w:p w:rsidR="00156ACD" w:rsidRPr="008666E2" w:rsidRDefault="00156ACD" w:rsidP="00EA4164">
                  <w:pPr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л</w:t>
                  </w:r>
                  <w:proofErr w:type="gramEnd"/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/с 04163010062)</w:t>
                  </w:r>
                </w:p>
              </w:tc>
            </w:tr>
            <w:tr w:rsidR="00156ACD" w:rsidRPr="00156ACD" w:rsidTr="00EA4164">
              <w:tc>
                <w:tcPr>
                  <w:tcW w:w="1302" w:type="dxa"/>
                  <w:shd w:val="clear" w:color="auto" w:fill="auto"/>
                </w:tcPr>
                <w:p w:rsidR="00156ACD" w:rsidRPr="008666E2" w:rsidRDefault="00156ACD" w:rsidP="00EA4164">
                  <w:pPr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5904082670</w:t>
                  </w:r>
                </w:p>
              </w:tc>
            </w:tr>
            <w:tr w:rsidR="00156ACD" w:rsidRPr="00156ACD" w:rsidTr="00EA4164">
              <w:tc>
                <w:tcPr>
                  <w:tcW w:w="1302" w:type="dxa"/>
                  <w:shd w:val="clear" w:color="auto" w:fill="auto"/>
                </w:tcPr>
                <w:p w:rsidR="00156ACD" w:rsidRPr="008666E2" w:rsidRDefault="00156ACD" w:rsidP="00EA4164">
                  <w:pPr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590201001</w:t>
                  </w:r>
                </w:p>
              </w:tc>
            </w:tr>
            <w:tr w:rsidR="00156ACD" w:rsidRPr="00156ACD" w:rsidTr="00EA4164">
              <w:tc>
                <w:tcPr>
                  <w:tcW w:w="1302" w:type="dxa"/>
                  <w:shd w:val="clear" w:color="auto" w:fill="auto"/>
                </w:tcPr>
                <w:p w:rsidR="00156ACD" w:rsidRPr="008666E2" w:rsidRDefault="00156ACD" w:rsidP="00EA4164">
                  <w:pPr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gramStart"/>
                  <w:r w:rsidRPr="008666E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</w:t>
                  </w:r>
                  <w:proofErr w:type="gramEnd"/>
                  <w:r w:rsidRPr="008666E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40302810000005000009 в РКЦ г. Перми</w:t>
                  </w:r>
                </w:p>
              </w:tc>
            </w:tr>
            <w:tr w:rsidR="00156ACD" w:rsidRPr="00156ACD" w:rsidTr="00EA4164">
              <w:tc>
                <w:tcPr>
                  <w:tcW w:w="1302" w:type="dxa"/>
                  <w:shd w:val="clear" w:color="auto" w:fill="auto"/>
                </w:tcPr>
                <w:p w:rsidR="00156ACD" w:rsidRPr="008666E2" w:rsidRDefault="00156ACD" w:rsidP="00EA4164">
                  <w:pPr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045744000</w:t>
                  </w:r>
                </w:p>
              </w:tc>
            </w:tr>
            <w:tr w:rsidR="00156ACD" w:rsidRPr="00156ACD" w:rsidTr="00EA4164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156ACD" w:rsidRPr="008666E2" w:rsidRDefault="00156ACD" w:rsidP="00EA4164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Назначение </w:t>
                  </w:r>
                </w:p>
                <w:p w:rsidR="00156ACD" w:rsidRPr="008666E2" w:rsidRDefault="00156ACD" w:rsidP="00EA4164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Оплата права заключить контракт, извещение </w:t>
                  </w:r>
                  <w:proofErr w:type="gramStart"/>
                  <w:r w:rsidRPr="008666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  <w:proofErr w:type="gramEnd"/>
                  <w:r w:rsidRPr="008666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6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___.___.2013 № ___________________________</w:t>
                  </w:r>
                </w:p>
                <w:p w:rsidR="00156ACD" w:rsidRPr="008666E2" w:rsidRDefault="00156ACD" w:rsidP="00EA416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156ACD" w:rsidRPr="00CA7787" w:rsidRDefault="00156ACD" w:rsidP="00CA7787">
            <w:pPr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0907" w:rsidRPr="00CA7787" w:rsidRDefault="005D0907">
      <w:pPr>
        <w:rPr>
          <w:rFonts w:ascii="Times New Roman" w:hAnsi="Times New Roman" w:cs="Times New Roman"/>
          <w:sz w:val="24"/>
          <w:szCs w:val="24"/>
        </w:rPr>
      </w:pPr>
    </w:p>
    <w:sectPr w:rsidR="005D0907" w:rsidRPr="00CA7787" w:rsidSect="00C94AC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97_"/>
      </v:shape>
    </w:pict>
  </w:numPicBullet>
  <w:abstractNum w:abstractNumId="0">
    <w:nsid w:val="02936F92"/>
    <w:multiLevelType w:val="multilevel"/>
    <w:tmpl w:val="FC96D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56895"/>
    <w:multiLevelType w:val="hybridMultilevel"/>
    <w:tmpl w:val="F43EB9F4"/>
    <w:lvl w:ilvl="0" w:tplc="7E8C3BF0">
      <w:start w:val="1"/>
      <w:numFmt w:val="decimal"/>
      <w:lvlText w:val="%1."/>
      <w:lvlJc w:val="left"/>
      <w:pPr>
        <w:ind w:left="618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A3C09"/>
    <w:multiLevelType w:val="multilevel"/>
    <w:tmpl w:val="EE14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E07808"/>
    <w:multiLevelType w:val="multilevel"/>
    <w:tmpl w:val="26D88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2E51D4"/>
    <w:multiLevelType w:val="multilevel"/>
    <w:tmpl w:val="D39ED9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8D62C9"/>
    <w:multiLevelType w:val="multilevel"/>
    <w:tmpl w:val="2C7605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410974"/>
    <w:multiLevelType w:val="multilevel"/>
    <w:tmpl w:val="D50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954F03"/>
    <w:multiLevelType w:val="multilevel"/>
    <w:tmpl w:val="C90A07A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A3A66"/>
    <w:multiLevelType w:val="multilevel"/>
    <w:tmpl w:val="4220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573D74"/>
    <w:multiLevelType w:val="multilevel"/>
    <w:tmpl w:val="8D487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627BA0"/>
    <w:multiLevelType w:val="multilevel"/>
    <w:tmpl w:val="1068A2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2697FD9"/>
    <w:multiLevelType w:val="multilevel"/>
    <w:tmpl w:val="03AC3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F931DE"/>
    <w:multiLevelType w:val="multilevel"/>
    <w:tmpl w:val="BFA242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E254E0"/>
    <w:multiLevelType w:val="multilevel"/>
    <w:tmpl w:val="B86A3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A66193"/>
    <w:multiLevelType w:val="multilevel"/>
    <w:tmpl w:val="41828E9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5"/>
  </w:num>
  <w:num w:numId="5">
    <w:abstractNumId w:val="12"/>
  </w:num>
  <w:num w:numId="6">
    <w:abstractNumId w:val="8"/>
  </w:num>
  <w:num w:numId="7">
    <w:abstractNumId w:val="0"/>
  </w:num>
  <w:num w:numId="8">
    <w:abstractNumId w:val="14"/>
  </w:num>
  <w:num w:numId="9">
    <w:abstractNumId w:val="16"/>
  </w:num>
  <w:num w:numId="10">
    <w:abstractNumId w:val="7"/>
  </w:num>
  <w:num w:numId="11">
    <w:abstractNumId w:val="6"/>
  </w:num>
  <w:num w:numId="12">
    <w:abstractNumId w:val="4"/>
  </w:num>
  <w:num w:numId="13">
    <w:abstractNumId w:val="9"/>
  </w:num>
  <w:num w:numId="14">
    <w:abstractNumId w:val="17"/>
  </w:num>
  <w:num w:numId="15">
    <w:abstractNumId w:val="3"/>
  </w:num>
  <w:num w:numId="16">
    <w:abstractNumId w:val="13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5D"/>
    <w:rsid w:val="00007713"/>
    <w:rsid w:val="00114154"/>
    <w:rsid w:val="00156ACD"/>
    <w:rsid w:val="00181791"/>
    <w:rsid w:val="001D308D"/>
    <w:rsid w:val="001F1F7E"/>
    <w:rsid w:val="00276733"/>
    <w:rsid w:val="00383AD4"/>
    <w:rsid w:val="003C4BDC"/>
    <w:rsid w:val="00421B9D"/>
    <w:rsid w:val="00454234"/>
    <w:rsid w:val="00496A22"/>
    <w:rsid w:val="004B0C29"/>
    <w:rsid w:val="004C66AB"/>
    <w:rsid w:val="004F6EC0"/>
    <w:rsid w:val="00524D3C"/>
    <w:rsid w:val="00542AA5"/>
    <w:rsid w:val="005863B5"/>
    <w:rsid w:val="00586A5D"/>
    <w:rsid w:val="005C32E2"/>
    <w:rsid w:val="005D0907"/>
    <w:rsid w:val="00664443"/>
    <w:rsid w:val="006F0B56"/>
    <w:rsid w:val="00711D9C"/>
    <w:rsid w:val="007401E7"/>
    <w:rsid w:val="007C7B35"/>
    <w:rsid w:val="008666E2"/>
    <w:rsid w:val="00872FB3"/>
    <w:rsid w:val="008B0B05"/>
    <w:rsid w:val="0091033E"/>
    <w:rsid w:val="009E64A7"/>
    <w:rsid w:val="00A05843"/>
    <w:rsid w:val="00A238B3"/>
    <w:rsid w:val="00A35333"/>
    <w:rsid w:val="00B10FF5"/>
    <w:rsid w:val="00B82342"/>
    <w:rsid w:val="00BC5B2D"/>
    <w:rsid w:val="00BE42E8"/>
    <w:rsid w:val="00C117F2"/>
    <w:rsid w:val="00C21EF8"/>
    <w:rsid w:val="00C302E7"/>
    <w:rsid w:val="00C60470"/>
    <w:rsid w:val="00C8028A"/>
    <w:rsid w:val="00C94ACA"/>
    <w:rsid w:val="00CA7787"/>
    <w:rsid w:val="00CC4624"/>
    <w:rsid w:val="00CD267C"/>
    <w:rsid w:val="00CE167E"/>
    <w:rsid w:val="00D11ADA"/>
    <w:rsid w:val="00D1503B"/>
    <w:rsid w:val="00D24C80"/>
    <w:rsid w:val="00D3568C"/>
    <w:rsid w:val="00D510AF"/>
    <w:rsid w:val="00D95B08"/>
    <w:rsid w:val="00DB23A9"/>
    <w:rsid w:val="00DD6125"/>
    <w:rsid w:val="00E17070"/>
    <w:rsid w:val="00E35647"/>
    <w:rsid w:val="00E51D0B"/>
    <w:rsid w:val="00E637AB"/>
    <w:rsid w:val="00E771DE"/>
    <w:rsid w:val="00EB31FA"/>
    <w:rsid w:val="00F5358A"/>
    <w:rsid w:val="00F7495D"/>
    <w:rsid w:val="00FB5443"/>
    <w:rsid w:val="00FD0C44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ADA"/>
    <w:pPr>
      <w:ind w:left="720"/>
      <w:contextualSpacing/>
    </w:pPr>
  </w:style>
  <w:style w:type="paragraph" w:customStyle="1" w:styleId="ConsPlusNormal">
    <w:name w:val="ConsPlusNormal"/>
    <w:rsid w:val="00B10F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10FF5"/>
    <w:pPr>
      <w:keepNext/>
      <w:keepLines/>
      <w:widowControl w:val="0"/>
      <w:numPr>
        <w:numId w:val="16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B10FF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  <w:tab w:val="num" w:pos="1440"/>
      </w:tabs>
      <w:suppressAutoHyphens/>
      <w:spacing w:after="60" w:line="240" w:lineRule="auto"/>
      <w:ind w:left="1440" w:hanging="360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B10FF5"/>
    <w:pPr>
      <w:widowControl w:val="0"/>
      <w:numPr>
        <w:ilvl w:val="2"/>
        <w:numId w:val="16"/>
      </w:numPr>
      <w:tabs>
        <w:tab w:val="clear" w:pos="1307"/>
        <w:tab w:val="num" w:pos="2160"/>
      </w:tabs>
      <w:adjustRightInd w:val="0"/>
      <w:spacing w:after="0" w:line="240" w:lineRule="auto"/>
      <w:ind w:left="216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B10FF5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10FF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10FF5"/>
  </w:style>
  <w:style w:type="paragraph" w:styleId="a6">
    <w:name w:val="Body Text"/>
    <w:basedOn w:val="a"/>
    <w:link w:val="a7"/>
    <w:uiPriority w:val="99"/>
    <w:semiHidden/>
    <w:unhideWhenUsed/>
    <w:rsid w:val="00CA778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A77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ADA"/>
    <w:pPr>
      <w:ind w:left="720"/>
      <w:contextualSpacing/>
    </w:pPr>
  </w:style>
  <w:style w:type="paragraph" w:customStyle="1" w:styleId="ConsPlusNormal">
    <w:name w:val="ConsPlusNormal"/>
    <w:rsid w:val="00B10F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10FF5"/>
    <w:pPr>
      <w:keepNext/>
      <w:keepLines/>
      <w:widowControl w:val="0"/>
      <w:numPr>
        <w:numId w:val="16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B10FF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  <w:tab w:val="num" w:pos="1440"/>
      </w:tabs>
      <w:suppressAutoHyphens/>
      <w:spacing w:after="60" w:line="240" w:lineRule="auto"/>
      <w:ind w:left="1440" w:hanging="360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B10FF5"/>
    <w:pPr>
      <w:widowControl w:val="0"/>
      <w:numPr>
        <w:ilvl w:val="2"/>
        <w:numId w:val="16"/>
      </w:numPr>
      <w:tabs>
        <w:tab w:val="clear" w:pos="1307"/>
        <w:tab w:val="num" w:pos="2160"/>
      </w:tabs>
      <w:adjustRightInd w:val="0"/>
      <w:spacing w:after="0" w:line="240" w:lineRule="auto"/>
      <w:ind w:left="216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B10FF5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10FF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10FF5"/>
  </w:style>
  <w:style w:type="paragraph" w:styleId="a6">
    <w:name w:val="Body Text"/>
    <w:basedOn w:val="a"/>
    <w:link w:val="a7"/>
    <w:uiPriority w:val="99"/>
    <w:semiHidden/>
    <w:unhideWhenUsed/>
    <w:rsid w:val="00CA778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A7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2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2569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ЗамДир</dc:creator>
  <cp:lastModifiedBy>Науменко Д.С.</cp:lastModifiedBy>
  <cp:revision>32</cp:revision>
  <cp:lastPrinted>2013-10-05T04:09:00Z</cp:lastPrinted>
  <dcterms:created xsi:type="dcterms:W3CDTF">2012-12-03T10:14:00Z</dcterms:created>
  <dcterms:modified xsi:type="dcterms:W3CDTF">2013-10-09T07:18:00Z</dcterms:modified>
</cp:coreProperties>
</file>