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57306F">
              <w:rPr>
                <w:sz w:val="28"/>
                <w:szCs w:val="28"/>
              </w:rPr>
              <w:t>11</w:t>
            </w:r>
            <w:r w:rsidR="00B9150B">
              <w:rPr>
                <w:sz w:val="28"/>
                <w:szCs w:val="28"/>
              </w:rPr>
              <w:t xml:space="preserve">» </w:t>
            </w:r>
            <w:r w:rsidR="009C4072">
              <w:rPr>
                <w:sz w:val="28"/>
                <w:szCs w:val="28"/>
              </w:rPr>
              <w:t>октября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006A32F3">
        <w:rPr>
          <w:b/>
          <w:sz w:val="32"/>
          <w:szCs w:val="32"/>
        </w:rPr>
        <w:t xml:space="preserve">на </w:t>
      </w:r>
      <w:r w:rsidRPr="00B9150B">
        <w:rPr>
          <w:b/>
          <w:sz w:val="32"/>
          <w:szCs w:val="32"/>
        </w:rPr>
        <w:t xml:space="preserve">поставку </w:t>
      </w:r>
      <w:r w:rsidR="008E2748">
        <w:rPr>
          <w:b/>
          <w:sz w:val="32"/>
          <w:szCs w:val="32"/>
        </w:rPr>
        <w:t>препаратов неорганических соединений</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811DF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w:t>
            </w:r>
            <w:r w:rsidR="00811DFA">
              <w:rPr>
                <w:rFonts w:ascii="Times New Roman" w:hAnsi="Times New Roman" w:cs="Times New Roman"/>
                <w:sz w:val="22"/>
                <w:szCs w:val="22"/>
              </w:rPr>
              <w:t>7</w:t>
            </w:r>
            <w:r w:rsidRPr="00C54437">
              <w:rPr>
                <w:rFonts w:ascii="Times New Roman" w:hAnsi="Times New Roman" w:cs="Times New Roman"/>
                <w:sz w:val="22"/>
                <w:szCs w:val="22"/>
              </w:rPr>
              <w:t>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9C4072" w:rsidP="008E2748">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Поставка </w:t>
            </w:r>
            <w:r w:rsidR="008E2748">
              <w:rPr>
                <w:rFonts w:ascii="Times New Roman" w:hAnsi="Times New Roman" w:cs="Times New Roman"/>
                <w:sz w:val="22"/>
                <w:szCs w:val="22"/>
              </w:rPr>
              <w:t>препаратов неорганических соединений</w:t>
            </w:r>
            <w:r w:rsidR="00B9150B" w:rsidRPr="00C54437">
              <w:rPr>
                <w:rFonts w:ascii="Times New Roman" w:hAnsi="Times New Roman" w:cs="Times New Roman"/>
                <w:sz w:val="22"/>
                <w:szCs w:val="22"/>
              </w:rPr>
              <w:t xml:space="preserve"> для МБУЗ «ГП №2»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8E2748" w:rsidP="0047524A">
            <w:pPr>
              <w:autoSpaceDE w:val="0"/>
              <w:autoSpaceDN w:val="0"/>
              <w:adjustRightInd w:val="0"/>
              <w:outlineLvl w:val="0"/>
            </w:pPr>
            <w:r>
              <w:rPr>
                <w:sz w:val="22"/>
                <w:szCs w:val="22"/>
              </w:rPr>
              <w:t>37 373,00</w:t>
            </w:r>
            <w:r w:rsidR="00B9150B" w:rsidRPr="00582E85">
              <w:rPr>
                <w:sz w:val="22"/>
                <w:szCs w:val="22"/>
              </w:rPr>
              <w:t xml:space="preserve">  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811DF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8E2748">
              <w:rPr>
                <w:rFonts w:ascii="Times New Roman" w:hAnsi="Times New Roman" w:cs="Times New Roman"/>
                <w:sz w:val="22"/>
                <w:szCs w:val="22"/>
              </w:rPr>
              <w:t>, а также ранее заключенных договоров</w:t>
            </w:r>
            <w:r w:rsidRPr="00C54437">
              <w:rPr>
                <w:rFonts w:ascii="Times New Roman" w:hAnsi="Times New Roman" w:cs="Times New Roman"/>
                <w:sz w:val="22"/>
                <w:szCs w:val="22"/>
              </w:rPr>
              <w:t xml:space="preserve"> </w:t>
            </w:r>
            <w:r w:rsidR="00811DFA">
              <w:rPr>
                <w:rFonts w:ascii="Times New Roman" w:hAnsi="Times New Roman" w:cs="Times New Roman"/>
                <w:sz w:val="22"/>
                <w:szCs w:val="22"/>
              </w:rPr>
              <w:t>(</w:t>
            </w:r>
            <w:r w:rsidR="00811DFA" w:rsidRPr="00C54437">
              <w:rPr>
                <w:rFonts w:ascii="Times New Roman" w:hAnsi="Times New Roman" w:cs="Times New Roman"/>
                <w:sz w:val="22"/>
                <w:szCs w:val="22"/>
              </w:rPr>
              <w:t xml:space="preserve">Приложение № </w:t>
            </w:r>
            <w:r w:rsidR="00811DFA">
              <w:rPr>
                <w:rFonts w:ascii="Times New Roman" w:hAnsi="Times New Roman" w:cs="Times New Roman"/>
                <w:sz w:val="22"/>
                <w:szCs w:val="22"/>
              </w:rPr>
              <w:t>3</w:t>
            </w:r>
            <w:r w:rsidR="00811DFA" w:rsidRPr="00C54437">
              <w:rPr>
                <w:rFonts w:ascii="Times New Roman" w:hAnsi="Times New Roman" w:cs="Times New Roman"/>
                <w:sz w:val="22"/>
                <w:szCs w:val="22"/>
              </w:rPr>
              <w:t xml:space="preserve">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выполнении работ, оказании </w:t>
            </w:r>
            <w:r w:rsidRPr="00C54437">
              <w:rPr>
                <w:rFonts w:ascii="Times New Roman" w:hAnsi="Times New Roman" w:cs="Times New Roman"/>
                <w:sz w:val="22"/>
                <w:szCs w:val="22"/>
              </w:rPr>
              <w:lastRenderedPageBreak/>
              <w:t>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1A494F" w:rsidRDefault="00B9150B" w:rsidP="0047524A">
            <w:pPr>
              <w:pStyle w:val="a8"/>
              <w:ind w:firstLine="33"/>
              <w:rPr>
                <w:rFonts w:ascii="Times New Roman" w:hAnsi="Times New Roman" w:cs="Times New Roman"/>
                <w:sz w:val="22"/>
              </w:rPr>
            </w:pPr>
            <w:r w:rsidRPr="001A494F">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811DFA" w:rsidP="008E274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 xml:space="preserve">Поставка товара производится </w:t>
            </w:r>
            <w:r w:rsidR="008E2748">
              <w:rPr>
                <w:rFonts w:ascii="Times New Roman" w:hAnsi="Times New Roman" w:cs="Times New Roman"/>
                <w:sz w:val="22"/>
                <w:szCs w:val="22"/>
              </w:rPr>
              <w:t>с 01 по</w:t>
            </w:r>
            <w:r>
              <w:rPr>
                <w:rFonts w:ascii="Times New Roman" w:hAnsi="Times New Roman" w:cs="Times New Roman"/>
                <w:sz w:val="22"/>
                <w:szCs w:val="22"/>
              </w:rPr>
              <w:t xml:space="preserve"> </w:t>
            </w:r>
            <w:r w:rsidR="008E2748">
              <w:rPr>
                <w:rFonts w:ascii="Times New Roman" w:hAnsi="Times New Roman" w:cs="Times New Roman"/>
                <w:sz w:val="22"/>
                <w:szCs w:val="22"/>
              </w:rPr>
              <w:t>10</w:t>
            </w:r>
            <w:r w:rsidR="009C4072">
              <w:rPr>
                <w:rFonts w:ascii="Times New Roman" w:hAnsi="Times New Roman" w:cs="Times New Roman"/>
                <w:sz w:val="22"/>
                <w:szCs w:val="22"/>
              </w:rPr>
              <w:t xml:space="preserve"> декабр</w:t>
            </w:r>
            <w:r w:rsidR="008E2748">
              <w:rPr>
                <w:rFonts w:ascii="Times New Roman" w:hAnsi="Times New Roman" w:cs="Times New Roman"/>
                <w:sz w:val="22"/>
                <w:szCs w:val="22"/>
              </w:rPr>
              <w:t>я</w:t>
            </w:r>
            <w:r w:rsidR="009C4072">
              <w:rPr>
                <w:rFonts w:ascii="Times New Roman" w:hAnsi="Times New Roman" w:cs="Times New Roman"/>
                <w:sz w:val="22"/>
                <w:szCs w:val="22"/>
              </w:rPr>
              <w:t xml:space="preserve"> 2013 г.</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811DFA">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w:t>
            </w:r>
            <w:r w:rsidR="009C4072">
              <w:rPr>
                <w:rFonts w:ascii="Times New Roman" w:hAnsi="Times New Roman" w:cs="Times New Roman"/>
                <w:sz w:val="22"/>
                <w:szCs w:val="22"/>
              </w:rPr>
              <w:t>е</w:t>
            </w:r>
            <w:r w:rsidRPr="00C54437">
              <w:rPr>
                <w:rFonts w:ascii="Times New Roman" w:hAnsi="Times New Roman" w:cs="Times New Roman"/>
                <w:sz w:val="22"/>
                <w:szCs w:val="22"/>
              </w:rPr>
              <w:t>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582E85">
            <w:pPr>
              <w:pStyle w:val="a8"/>
              <w:rPr>
                <w:sz w:val="22"/>
              </w:rPr>
            </w:pPr>
            <w:r w:rsidRPr="00582E85">
              <w:rPr>
                <w:rFonts w:ascii="Times New Roman" w:eastAsia="Times New Roman" w:hAnsi="Times New Roman" w:cs="Times New Roman"/>
                <w:sz w:val="22"/>
                <w:szCs w:val="22"/>
                <w:lang w:eastAsia="ru-RU"/>
              </w:rPr>
              <w:t xml:space="preserve">За счет средств </w:t>
            </w:r>
            <w:r w:rsidR="00582E85">
              <w:rPr>
                <w:rFonts w:ascii="Times New Roman" w:eastAsia="Times New Roman" w:hAnsi="Times New Roman" w:cs="Times New Roman"/>
                <w:sz w:val="22"/>
                <w:szCs w:val="22"/>
                <w:lang w:eastAsia="ru-RU"/>
              </w:rPr>
              <w:t>родовых сертификатов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расходов внутри страны, страхования и прочих расходов, связанных с доставкой и </w:t>
            </w:r>
            <w:r w:rsidRPr="00C54437">
              <w:rPr>
                <w:spacing w:val="-13"/>
                <w:sz w:val="22"/>
                <w:szCs w:val="22"/>
              </w:rPr>
              <w:lastRenderedPageBreak/>
              <w:t>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9C4072">
        <w:trPr>
          <w:trHeight w:val="26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lastRenderedPageBreak/>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lastRenderedPageBreak/>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11DFA" w:rsidRDefault="0057306F"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21.10.2013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9C4072">
              <w:rPr>
                <w:rFonts w:ascii="Times New Roman" w:hAnsi="Times New Roman" w:cs="Times New Roman"/>
                <w:sz w:val="22"/>
                <w:szCs w:val="22"/>
              </w:rPr>
              <w:t>2</w:t>
            </w:r>
            <w:r>
              <w:rPr>
                <w:rFonts w:ascii="Times New Roman" w:hAnsi="Times New Roman" w:cs="Times New Roman"/>
                <w:sz w:val="22"/>
                <w:szCs w:val="22"/>
              </w:rPr>
              <w:t>:00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57306F"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22.10.2013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5325F" w:rsidRDefault="009C4072" w:rsidP="0057306F">
            <w:pPr>
              <w:pStyle w:val="ConsPlusNormal"/>
              <w:widowControl/>
              <w:ind w:firstLine="0"/>
              <w:jc w:val="both"/>
            </w:pPr>
            <w:r>
              <w:t>2</w:t>
            </w:r>
            <w:r w:rsidR="0057306F">
              <w:t>5</w:t>
            </w:r>
            <w:r>
              <w:t>.10.2013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
              <w:numPr>
                <w:ilvl w:val="0"/>
                <w:numId w:val="0"/>
              </w:numPr>
              <w:ind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59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3260"/>
        <w:gridCol w:w="3828"/>
        <w:gridCol w:w="1417"/>
        <w:gridCol w:w="1525"/>
      </w:tblGrid>
      <w:tr w:rsidR="0057306F" w:rsidRPr="00B102E2" w:rsidTr="0057306F">
        <w:trPr>
          <w:trHeight w:val="968"/>
        </w:trPr>
        <w:tc>
          <w:tcPr>
            <w:tcW w:w="568" w:type="dxa"/>
            <w:shd w:val="clear" w:color="auto" w:fill="auto"/>
            <w:vAlign w:val="center"/>
            <w:hideMark/>
          </w:tcPr>
          <w:p w:rsidR="0057306F" w:rsidRPr="00B102E2" w:rsidRDefault="0057306F" w:rsidP="00EF55CB">
            <w:pPr>
              <w:jc w:val="center"/>
              <w:rPr>
                <w:b/>
              </w:rPr>
            </w:pPr>
            <w:r w:rsidRPr="00B102E2">
              <w:rPr>
                <w:b/>
              </w:rPr>
              <w:t>№ п/п</w:t>
            </w:r>
          </w:p>
        </w:tc>
        <w:tc>
          <w:tcPr>
            <w:tcW w:w="3260" w:type="dxa"/>
            <w:shd w:val="clear" w:color="auto" w:fill="auto"/>
            <w:vAlign w:val="center"/>
            <w:hideMark/>
          </w:tcPr>
          <w:p w:rsidR="0057306F" w:rsidRPr="00B102E2" w:rsidRDefault="0057306F" w:rsidP="00EF55CB">
            <w:pPr>
              <w:jc w:val="center"/>
              <w:rPr>
                <w:b/>
              </w:rPr>
            </w:pPr>
            <w:r w:rsidRPr="00B102E2">
              <w:rPr>
                <w:b/>
              </w:rPr>
              <w:t>Наименование товара</w:t>
            </w:r>
          </w:p>
        </w:tc>
        <w:tc>
          <w:tcPr>
            <w:tcW w:w="3828" w:type="dxa"/>
            <w:vAlign w:val="center"/>
          </w:tcPr>
          <w:p w:rsidR="0057306F" w:rsidRPr="00B102E2" w:rsidRDefault="0057306F" w:rsidP="0057306F">
            <w:pPr>
              <w:jc w:val="center"/>
              <w:rPr>
                <w:b/>
              </w:rPr>
            </w:pPr>
            <w:r>
              <w:rPr>
                <w:b/>
              </w:rPr>
              <w:t>Технические характеристики</w:t>
            </w:r>
          </w:p>
        </w:tc>
        <w:tc>
          <w:tcPr>
            <w:tcW w:w="1417" w:type="dxa"/>
            <w:shd w:val="clear" w:color="auto" w:fill="auto"/>
            <w:vAlign w:val="center"/>
            <w:hideMark/>
          </w:tcPr>
          <w:p w:rsidR="0057306F" w:rsidRPr="00B102E2" w:rsidRDefault="0057306F" w:rsidP="00EF55CB">
            <w:pPr>
              <w:jc w:val="center"/>
              <w:rPr>
                <w:b/>
              </w:rPr>
            </w:pPr>
            <w:r w:rsidRPr="00B102E2">
              <w:rPr>
                <w:b/>
              </w:rPr>
              <w:t>Единица измерения</w:t>
            </w:r>
          </w:p>
        </w:tc>
        <w:tc>
          <w:tcPr>
            <w:tcW w:w="1525" w:type="dxa"/>
            <w:shd w:val="clear" w:color="000000" w:fill="FFFFFF"/>
            <w:vAlign w:val="center"/>
            <w:hideMark/>
          </w:tcPr>
          <w:p w:rsidR="0057306F" w:rsidRPr="00B102E2" w:rsidRDefault="0057306F" w:rsidP="00EF55CB">
            <w:pPr>
              <w:jc w:val="center"/>
              <w:rPr>
                <w:b/>
              </w:rPr>
            </w:pPr>
            <w:r w:rsidRPr="00B102E2">
              <w:rPr>
                <w:b/>
              </w:rPr>
              <w:t>Количество</w:t>
            </w:r>
          </w:p>
        </w:tc>
      </w:tr>
      <w:tr w:rsidR="0057306F" w:rsidRPr="00325DA1" w:rsidTr="0057306F">
        <w:trPr>
          <w:trHeight w:val="715"/>
        </w:trPr>
        <w:tc>
          <w:tcPr>
            <w:tcW w:w="568" w:type="dxa"/>
            <w:shd w:val="clear" w:color="000000" w:fill="FFFFFF"/>
            <w:vAlign w:val="center"/>
            <w:hideMark/>
          </w:tcPr>
          <w:p w:rsidR="0057306F" w:rsidRPr="00325DA1" w:rsidRDefault="0057306F" w:rsidP="00EF55CB">
            <w:pPr>
              <w:jc w:val="center"/>
            </w:pPr>
            <w:r>
              <w:t>1</w:t>
            </w:r>
          </w:p>
        </w:tc>
        <w:tc>
          <w:tcPr>
            <w:tcW w:w="3260" w:type="dxa"/>
            <w:shd w:val="clear" w:color="000000" w:fill="FFFFFF"/>
            <w:vAlign w:val="center"/>
            <w:hideMark/>
          </w:tcPr>
          <w:p w:rsidR="0057306F" w:rsidRPr="001A494F" w:rsidRDefault="0057306F" w:rsidP="00811DFA">
            <w:pPr>
              <w:jc w:val="center"/>
              <w:rPr>
                <w:color w:val="000000"/>
              </w:rPr>
            </w:pPr>
            <w:r>
              <w:rPr>
                <w:color w:val="000000"/>
              </w:rPr>
              <w:t>Феррум лек 100 мг таблетки жевательные № 50</w:t>
            </w:r>
          </w:p>
        </w:tc>
        <w:tc>
          <w:tcPr>
            <w:tcW w:w="3828" w:type="dxa"/>
            <w:shd w:val="clear" w:color="000000" w:fill="FFFFFF"/>
            <w:vAlign w:val="center"/>
          </w:tcPr>
          <w:p w:rsidR="0057306F" w:rsidRPr="0057306F" w:rsidRDefault="0057306F" w:rsidP="0057306F">
            <w:pPr>
              <w:jc w:val="both"/>
              <w:rPr>
                <w:color w:val="000000"/>
              </w:rPr>
            </w:pPr>
            <w:r w:rsidRPr="0057306F">
              <w:rPr>
                <w:color w:val="000000"/>
              </w:rPr>
              <w:t>Таблетки жевательные,  одна таблетка содержит 100 мг железа в виде полимальтозного комплекса гидроокиси железа (III), в контурной безъячейковой упаковке 10 шт, в картонной пачке 5 упаковок.</w:t>
            </w:r>
          </w:p>
        </w:tc>
        <w:tc>
          <w:tcPr>
            <w:tcW w:w="1417" w:type="dxa"/>
            <w:shd w:val="clear" w:color="000000" w:fill="FFFFFF"/>
            <w:vAlign w:val="center"/>
            <w:hideMark/>
          </w:tcPr>
          <w:p w:rsidR="0057306F" w:rsidRPr="001A494F" w:rsidRDefault="0057306F" w:rsidP="00811DFA">
            <w:pPr>
              <w:jc w:val="center"/>
              <w:rPr>
                <w:bCs/>
              </w:rPr>
            </w:pPr>
            <w:r w:rsidRPr="001A494F">
              <w:rPr>
                <w:bCs/>
              </w:rPr>
              <w:t>упак</w:t>
            </w:r>
          </w:p>
        </w:tc>
        <w:tc>
          <w:tcPr>
            <w:tcW w:w="1525" w:type="dxa"/>
            <w:shd w:val="clear" w:color="000000" w:fill="FFFFFF"/>
            <w:vAlign w:val="center"/>
            <w:hideMark/>
          </w:tcPr>
          <w:p w:rsidR="0057306F" w:rsidRPr="001A494F" w:rsidRDefault="0057306F" w:rsidP="00811DFA">
            <w:pPr>
              <w:jc w:val="center"/>
              <w:rPr>
                <w:bCs/>
              </w:rPr>
            </w:pPr>
            <w:r>
              <w:rPr>
                <w:bCs/>
              </w:rPr>
              <w:t>50</w:t>
            </w:r>
          </w:p>
        </w:tc>
      </w:tr>
      <w:tr w:rsidR="0057306F" w:rsidRPr="00325DA1" w:rsidTr="0057306F">
        <w:trPr>
          <w:trHeight w:val="555"/>
        </w:trPr>
        <w:tc>
          <w:tcPr>
            <w:tcW w:w="568" w:type="dxa"/>
            <w:shd w:val="clear" w:color="000000" w:fill="FFFFFF"/>
            <w:vAlign w:val="center"/>
            <w:hideMark/>
          </w:tcPr>
          <w:p w:rsidR="0057306F" w:rsidRPr="00325DA1" w:rsidRDefault="0057306F" w:rsidP="00EF55CB">
            <w:pPr>
              <w:jc w:val="center"/>
            </w:pPr>
            <w:r>
              <w:t>2</w:t>
            </w:r>
          </w:p>
        </w:tc>
        <w:tc>
          <w:tcPr>
            <w:tcW w:w="3260" w:type="dxa"/>
            <w:shd w:val="clear" w:color="000000" w:fill="FFFFFF"/>
            <w:vAlign w:val="center"/>
            <w:hideMark/>
          </w:tcPr>
          <w:p w:rsidR="0057306F" w:rsidRPr="001A494F" w:rsidRDefault="0057306F" w:rsidP="008E2748">
            <w:pPr>
              <w:jc w:val="center"/>
              <w:rPr>
                <w:color w:val="000000"/>
              </w:rPr>
            </w:pPr>
            <w:r>
              <w:rPr>
                <w:color w:val="000000"/>
              </w:rPr>
              <w:t>Мальтофер лек 100 мг таблетки жевательные № 30</w:t>
            </w:r>
          </w:p>
        </w:tc>
        <w:tc>
          <w:tcPr>
            <w:tcW w:w="3828" w:type="dxa"/>
            <w:shd w:val="clear" w:color="000000" w:fill="FFFFFF"/>
            <w:vAlign w:val="center"/>
          </w:tcPr>
          <w:p w:rsidR="0057306F" w:rsidRPr="0057306F" w:rsidRDefault="0057306F" w:rsidP="0057306F">
            <w:pPr>
              <w:jc w:val="both"/>
              <w:rPr>
                <w:color w:val="000000"/>
              </w:rPr>
            </w:pPr>
            <w:r w:rsidRPr="0057306F">
              <w:rPr>
                <w:color w:val="000000"/>
              </w:rPr>
              <w:t>Таблетки жевательные,  одна таблетка содержит 100 мг железа в виде полимальтозного комплекса гидроокиси железа (III), в блистере 10 штук, в картонной пачке  3 блистера.</w:t>
            </w:r>
          </w:p>
        </w:tc>
        <w:tc>
          <w:tcPr>
            <w:tcW w:w="1417" w:type="dxa"/>
            <w:shd w:val="clear" w:color="000000" w:fill="FFFFFF"/>
            <w:vAlign w:val="center"/>
            <w:hideMark/>
          </w:tcPr>
          <w:p w:rsidR="0057306F" w:rsidRPr="001A494F" w:rsidRDefault="0057306F" w:rsidP="00811DFA">
            <w:pPr>
              <w:jc w:val="center"/>
              <w:rPr>
                <w:bCs/>
              </w:rPr>
            </w:pPr>
            <w:r w:rsidRPr="001A494F">
              <w:rPr>
                <w:bCs/>
              </w:rPr>
              <w:t>упак</w:t>
            </w:r>
          </w:p>
        </w:tc>
        <w:tc>
          <w:tcPr>
            <w:tcW w:w="1525" w:type="dxa"/>
            <w:shd w:val="clear" w:color="000000" w:fill="FFFFFF"/>
            <w:vAlign w:val="center"/>
            <w:hideMark/>
          </w:tcPr>
          <w:p w:rsidR="0057306F" w:rsidRPr="001A494F" w:rsidRDefault="0057306F" w:rsidP="00811DFA">
            <w:pPr>
              <w:jc w:val="center"/>
              <w:rPr>
                <w:bCs/>
              </w:rPr>
            </w:pPr>
            <w:r>
              <w:rPr>
                <w:bCs/>
              </w:rPr>
              <w:t>50</w:t>
            </w:r>
          </w:p>
        </w:tc>
      </w:tr>
    </w:tbl>
    <w:p w:rsidR="009F026B" w:rsidRDefault="009F026B" w:rsidP="00B9150B">
      <w:pPr>
        <w:shd w:val="clear" w:color="auto" w:fill="FFFFFF"/>
        <w:tabs>
          <w:tab w:val="left" w:pos="-900"/>
          <w:tab w:val="left" w:pos="0"/>
          <w:tab w:val="left" w:pos="3600"/>
        </w:tabs>
        <w:jc w:val="center"/>
        <w:rPr>
          <w:b/>
        </w:rPr>
      </w:pPr>
    </w:p>
    <w:p w:rsidR="009F026B" w:rsidRPr="0057306F" w:rsidRDefault="0057306F" w:rsidP="00B9150B">
      <w:pPr>
        <w:shd w:val="clear" w:color="auto" w:fill="FFFFFF"/>
        <w:tabs>
          <w:tab w:val="left" w:pos="-900"/>
          <w:tab w:val="left" w:pos="0"/>
          <w:tab w:val="left" w:pos="3600"/>
        </w:tabs>
        <w:jc w:val="center"/>
        <w:rPr>
          <w:i/>
        </w:rPr>
      </w:pPr>
      <w:r w:rsidRPr="0057306F">
        <w:rPr>
          <w:i/>
        </w:rPr>
        <w:t>Все товарные знаки читать как «либо эквивалент»</w:t>
      </w: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EF55CB" w:rsidRDefault="00EF55CB" w:rsidP="00B102E2">
      <w:pPr>
        <w:ind w:firstLine="567"/>
        <w:jc w:val="right"/>
        <w:rPr>
          <w:sz w:val="22"/>
          <w:szCs w:val="22"/>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8E2748">
        <w:rPr>
          <w:b/>
          <w:bCs/>
        </w:rPr>
        <w:t>препаратов неорганических соединений</w:t>
      </w:r>
    </w:p>
    <w:p w:rsidR="008E2748" w:rsidRPr="00D94D3E" w:rsidRDefault="008E2748"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5325F">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9C4072">
      <w:pPr>
        <w:pStyle w:val="a8"/>
        <w:tabs>
          <w:tab w:val="left" w:pos="0"/>
        </w:tabs>
        <w:ind w:right="-284"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8E2748">
        <w:rPr>
          <w:rFonts w:ascii="Times New Roman" w:eastAsia="Times New Roman" w:hAnsi="Times New Roman" w:cs="Times New Roman"/>
          <w:sz w:val="24"/>
          <w:lang w:eastAsia="ru-RU"/>
        </w:rPr>
        <w:t>препаратов неорганических соединений</w:t>
      </w:r>
      <w:r w:rsidRPr="00B9150B">
        <w:rPr>
          <w:rFonts w:ascii="Times New Roman" w:eastAsia="Times New Roman" w:hAnsi="Times New Roman" w:cs="Times New Roman"/>
          <w:sz w:val="24"/>
          <w:lang w:eastAsia="ru-RU"/>
        </w:rPr>
        <w:t xml:space="preserve"> (далее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9C4072">
        <w:rPr>
          <w:rFonts w:ascii="Times New Roman" w:eastAsia="Times New Roman" w:hAnsi="Times New Roman" w:cs="Times New Roman"/>
          <w:sz w:val="24"/>
          <w:lang w:eastAsia="ru-RU"/>
        </w:rPr>
        <w:t xml:space="preserve">а счет средств </w:t>
      </w:r>
      <w:r w:rsidR="00EF55CB" w:rsidRPr="009C4072">
        <w:rPr>
          <w:rFonts w:ascii="Times New Roman" w:eastAsia="Times New Roman" w:hAnsi="Times New Roman" w:cs="Times New Roman"/>
          <w:sz w:val="24"/>
          <w:lang w:eastAsia="ru-RU"/>
        </w:rPr>
        <w:t>родовых сертификатов.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w:t>
      </w:r>
      <w:r w:rsidR="009C4072">
        <w:t>ного лица Заказчика; счета и сче</w:t>
      </w:r>
      <w:r w:rsidRPr="00D94D3E">
        <w:t>та-фактуры на поставленный товар. Оплата по договору третьим лицам не допускается.</w:t>
      </w:r>
    </w:p>
    <w:p w:rsidR="00811DFA" w:rsidRPr="00D94D3E" w:rsidRDefault="00B9150B" w:rsidP="00811DFA">
      <w:pPr>
        <w:tabs>
          <w:tab w:val="left" w:pos="-360"/>
          <w:tab w:val="left" w:pos="0"/>
          <w:tab w:val="left" w:pos="7242"/>
        </w:tabs>
        <w:ind w:right="-263" w:firstLine="567"/>
        <w:jc w:val="both"/>
      </w:pPr>
      <w:r w:rsidRPr="00D94D3E">
        <w:t xml:space="preserve">2.5. </w:t>
      </w:r>
      <w:r w:rsidR="00811DFA" w:rsidRPr="00F62FD2">
        <w:t xml:space="preserve">Заказчик по согласованию с поставщиком в ходе исполнения </w:t>
      </w:r>
      <w:r w:rsidR="00811DFA">
        <w:t>Договора</w:t>
      </w:r>
      <w:r w:rsidR="00811DFA" w:rsidRPr="00F62FD2">
        <w:t xml:space="preserve"> вправе изменить не более чем на десять процентов количество всех предусмотренных </w:t>
      </w:r>
      <w:r w:rsidR="00811DFA">
        <w:t xml:space="preserve">Договором </w:t>
      </w:r>
      <w:r w:rsidR="00811DFA" w:rsidRPr="00F62FD2">
        <w:t>товаров при изменении потребности в товарах</w:t>
      </w:r>
      <w:r w:rsidR="00811DFA">
        <w:t>, на поставку которых заключен Договор</w:t>
      </w:r>
      <w:r w:rsidR="00811DFA"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811DFA">
        <w:t>Договора</w:t>
      </w:r>
      <w:r w:rsidR="00811DFA" w:rsidRPr="00F62FD2">
        <w:t xml:space="preserve"> пропорционально количеству таких товаров, но не более чем на десять процентов такой цены </w:t>
      </w:r>
      <w:r w:rsidR="00811DFA">
        <w:t>Договора</w:t>
      </w:r>
      <w:r w:rsidR="00811DFA" w:rsidRPr="00F62FD2">
        <w:t xml:space="preserve">, а при внесении соответствующих изменений в </w:t>
      </w:r>
      <w:r w:rsidR="00811DFA">
        <w:t>Договор</w:t>
      </w:r>
      <w:r w:rsidR="00811DFA" w:rsidRPr="00F62FD2">
        <w:t xml:space="preserve"> в связи с сокращением потребности в поставке таких товаров заказчик обязан изменить </w:t>
      </w:r>
      <w:r w:rsidR="00811DFA" w:rsidRPr="00F62FD2">
        <w:lastRenderedPageBreak/>
        <w:t xml:space="preserve">цену </w:t>
      </w:r>
      <w:r w:rsidR="00811DFA">
        <w:t>Договора</w:t>
      </w:r>
      <w:r w:rsidR="00811DFA"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811DFA">
        <w:t>Договора</w:t>
      </w:r>
      <w:r w:rsidR="00811DFA" w:rsidRPr="00F62FD2">
        <w:t xml:space="preserve"> на предусмотренное в </w:t>
      </w:r>
      <w:r w:rsidR="00811DFA">
        <w:t>Договоре</w:t>
      </w:r>
      <w:r w:rsidR="00811DFA" w:rsidRPr="00F62FD2">
        <w:t xml:space="preserve"> количество такого товара.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EF55CB" w:rsidRDefault="00EF55CB" w:rsidP="00B9150B">
      <w:pPr>
        <w:shd w:val="clear" w:color="auto" w:fill="FFFFFF"/>
        <w:tabs>
          <w:tab w:val="left" w:pos="0"/>
          <w:tab w:val="left" w:pos="10646"/>
        </w:tabs>
        <w:ind w:left="567" w:right="-263"/>
        <w:jc w:val="center"/>
        <w:rPr>
          <w:b/>
        </w:rPr>
      </w:pPr>
    </w:p>
    <w:p w:rsidR="00B9150B" w:rsidRPr="00D94D3E" w:rsidRDefault="00B9150B" w:rsidP="00B9150B">
      <w:pPr>
        <w:shd w:val="clear" w:color="auto" w:fill="FFFFFF"/>
        <w:tabs>
          <w:tab w:val="left" w:pos="0"/>
          <w:tab w:val="left" w:pos="10646"/>
        </w:tabs>
        <w:ind w:left="567" w:right="-263"/>
        <w:jc w:val="center"/>
        <w:rPr>
          <w:b/>
        </w:rPr>
      </w:pPr>
      <w:r w:rsidRPr="00D94D3E">
        <w:rPr>
          <w:b/>
        </w:rPr>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w:t>
      </w:r>
      <w:r w:rsidR="00811DFA">
        <w:t>х товаров должен быть не менее 8</w:t>
      </w:r>
      <w:r w:rsidRPr="00D94D3E">
        <w:t>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w:t>
      </w:r>
      <w:r w:rsidR="00811DFA" w:rsidRPr="00D94D3E">
        <w:t xml:space="preserve">Поставка товара производится </w:t>
      </w:r>
      <w:r w:rsidR="008E2748">
        <w:t>с 01 по 10 декабря 2013 года.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lastRenderedPageBreak/>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811DFA" w:rsidRPr="008D6E82" w:rsidRDefault="00811DFA" w:rsidP="00811DFA">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lastRenderedPageBreak/>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B9150B" w:rsidRPr="00D94D3E" w:rsidRDefault="00B9150B" w:rsidP="00B9150B">
      <w:pPr>
        <w:shd w:val="clear" w:color="auto" w:fill="FFFFFF"/>
        <w:tabs>
          <w:tab w:val="left" w:pos="0"/>
        </w:tabs>
        <w:ind w:left="-360" w:right="-104"/>
        <w:jc w:val="center"/>
        <w:rPr>
          <w:b/>
        </w:rPr>
      </w:pPr>
      <w:r w:rsidRPr="00D94D3E">
        <w:rPr>
          <w:b/>
        </w:rPr>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DB14E1">
      <w:pPr>
        <w:pStyle w:val="a8"/>
        <w:tabs>
          <w:tab w:val="left" w:pos="0"/>
        </w:tabs>
        <w:ind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DB14E1" w:rsidRPr="00A60E5B" w:rsidRDefault="00B9150B" w:rsidP="00DB14E1">
      <w:pPr>
        <w:shd w:val="clear" w:color="auto" w:fill="FFFFFF"/>
        <w:tabs>
          <w:tab w:val="left" w:pos="0"/>
        </w:tabs>
        <w:ind w:right="-263" w:firstLine="567"/>
        <w:jc w:val="both"/>
        <w:rPr>
          <w:sz w:val="25"/>
          <w:szCs w:val="25"/>
        </w:rPr>
      </w:pPr>
      <w:r w:rsidRPr="00D94D3E">
        <w:t xml:space="preserve">9.1. </w:t>
      </w:r>
      <w:r w:rsidR="00DB14E1" w:rsidRPr="002D7555">
        <w:rPr>
          <w:szCs w:val="22"/>
        </w:rPr>
        <w:t>Расторжение ГПД допускается  по соглашению сторон; решению суда по основаниям, предусмотренным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rsidR="008E2748">
        <w:t>.</w:t>
      </w:r>
    </w:p>
    <w:p w:rsidR="00B9150B" w:rsidRPr="00D94D3E" w:rsidRDefault="00B9150B" w:rsidP="00B9150B">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9C4072">
        <w:t>31 декабря 2013 года.</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5325F">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859"/>
        <w:gridCol w:w="1368"/>
        <w:gridCol w:w="1499"/>
        <w:gridCol w:w="1515"/>
        <w:gridCol w:w="1682"/>
      </w:tblGrid>
      <w:tr w:rsidR="009F026B" w:rsidRPr="00B102E2" w:rsidTr="009F026B">
        <w:trPr>
          <w:trHeight w:val="968"/>
        </w:trPr>
        <w:tc>
          <w:tcPr>
            <w:tcW w:w="580" w:type="dxa"/>
            <w:shd w:val="clear" w:color="auto" w:fill="auto"/>
            <w:vAlign w:val="center"/>
            <w:hideMark/>
          </w:tcPr>
          <w:p w:rsidR="009F026B" w:rsidRPr="00B102E2" w:rsidRDefault="009F026B" w:rsidP="00EF55CB">
            <w:pPr>
              <w:jc w:val="center"/>
              <w:rPr>
                <w:b/>
              </w:rPr>
            </w:pPr>
            <w:r w:rsidRPr="00B102E2">
              <w:rPr>
                <w:b/>
              </w:rPr>
              <w:t>№ п/п</w:t>
            </w:r>
          </w:p>
        </w:tc>
        <w:tc>
          <w:tcPr>
            <w:tcW w:w="3859" w:type="dxa"/>
            <w:shd w:val="clear" w:color="auto" w:fill="auto"/>
            <w:vAlign w:val="center"/>
            <w:hideMark/>
          </w:tcPr>
          <w:p w:rsidR="009F026B" w:rsidRPr="00B102E2" w:rsidRDefault="009F026B" w:rsidP="00EF55CB">
            <w:pPr>
              <w:jc w:val="center"/>
              <w:rPr>
                <w:b/>
              </w:rPr>
            </w:pPr>
            <w:r w:rsidRPr="00B102E2">
              <w:rPr>
                <w:b/>
              </w:rPr>
              <w:t>Наименование товара</w:t>
            </w:r>
          </w:p>
        </w:tc>
        <w:tc>
          <w:tcPr>
            <w:tcW w:w="1368" w:type="dxa"/>
            <w:shd w:val="clear" w:color="auto" w:fill="auto"/>
            <w:vAlign w:val="center"/>
            <w:hideMark/>
          </w:tcPr>
          <w:p w:rsidR="009F026B" w:rsidRPr="00B102E2" w:rsidRDefault="009F026B" w:rsidP="00EF55CB">
            <w:pPr>
              <w:jc w:val="center"/>
              <w:rPr>
                <w:b/>
              </w:rPr>
            </w:pPr>
            <w:r w:rsidRPr="00B102E2">
              <w:rPr>
                <w:b/>
              </w:rPr>
              <w:t>Единица измерения</w:t>
            </w:r>
          </w:p>
        </w:tc>
        <w:tc>
          <w:tcPr>
            <w:tcW w:w="1499" w:type="dxa"/>
            <w:shd w:val="clear" w:color="000000" w:fill="FFFFFF"/>
            <w:vAlign w:val="center"/>
            <w:hideMark/>
          </w:tcPr>
          <w:p w:rsidR="009F026B" w:rsidRPr="00B102E2" w:rsidRDefault="009F026B" w:rsidP="00EF55CB">
            <w:pPr>
              <w:jc w:val="center"/>
              <w:rPr>
                <w:b/>
              </w:rPr>
            </w:pPr>
            <w:r w:rsidRPr="00B102E2">
              <w:rPr>
                <w:b/>
              </w:rPr>
              <w:t>Количество</w:t>
            </w:r>
          </w:p>
        </w:tc>
        <w:tc>
          <w:tcPr>
            <w:tcW w:w="1515" w:type="dxa"/>
            <w:shd w:val="clear" w:color="000000" w:fill="FFFFFF"/>
            <w:vAlign w:val="center"/>
            <w:hideMark/>
          </w:tcPr>
          <w:p w:rsidR="009F026B" w:rsidRPr="00B102E2" w:rsidRDefault="009F026B" w:rsidP="00EF55CB">
            <w:pPr>
              <w:jc w:val="center"/>
              <w:rPr>
                <w:b/>
              </w:rPr>
            </w:pPr>
            <w:r w:rsidRPr="00B102E2">
              <w:rPr>
                <w:b/>
              </w:rPr>
              <w:t>Цена в рублях (в т.ч. НДС)</w:t>
            </w:r>
          </w:p>
        </w:tc>
        <w:tc>
          <w:tcPr>
            <w:tcW w:w="1682" w:type="dxa"/>
            <w:shd w:val="clear" w:color="000000" w:fill="FFFFFF"/>
            <w:vAlign w:val="center"/>
            <w:hideMark/>
          </w:tcPr>
          <w:p w:rsidR="009F026B" w:rsidRPr="00B102E2" w:rsidRDefault="009F026B" w:rsidP="00EF55CB">
            <w:pPr>
              <w:jc w:val="center"/>
              <w:rPr>
                <w:b/>
              </w:rPr>
            </w:pPr>
            <w:r w:rsidRPr="00B102E2">
              <w:rPr>
                <w:b/>
              </w:rPr>
              <w:t>Общая стоимость в рублях</w:t>
            </w:r>
            <w:r w:rsidR="009C4072">
              <w:rPr>
                <w:b/>
              </w:rPr>
              <w:t xml:space="preserve"> </w:t>
            </w:r>
            <w:r w:rsidRPr="00B102E2">
              <w:rPr>
                <w:b/>
              </w:rPr>
              <w:t>(в т.ч. НДС)</w:t>
            </w:r>
          </w:p>
        </w:tc>
      </w:tr>
      <w:tr w:rsidR="008E2748" w:rsidRPr="00325DA1" w:rsidTr="00EF7211">
        <w:trPr>
          <w:trHeight w:val="715"/>
        </w:trPr>
        <w:tc>
          <w:tcPr>
            <w:tcW w:w="580" w:type="dxa"/>
            <w:shd w:val="clear" w:color="000000" w:fill="FFFFFF"/>
            <w:vAlign w:val="center"/>
            <w:hideMark/>
          </w:tcPr>
          <w:p w:rsidR="008E2748" w:rsidRPr="00325DA1" w:rsidRDefault="008E2748" w:rsidP="00EF55CB">
            <w:pPr>
              <w:jc w:val="center"/>
            </w:pPr>
            <w:r>
              <w:t>1</w:t>
            </w:r>
          </w:p>
        </w:tc>
        <w:tc>
          <w:tcPr>
            <w:tcW w:w="3859" w:type="dxa"/>
            <w:shd w:val="clear" w:color="000000" w:fill="FFFFFF"/>
            <w:vAlign w:val="center"/>
            <w:hideMark/>
          </w:tcPr>
          <w:p w:rsidR="008E2748" w:rsidRPr="001A494F" w:rsidRDefault="008E2748" w:rsidP="001F2F2C">
            <w:pPr>
              <w:jc w:val="center"/>
              <w:rPr>
                <w:color w:val="000000"/>
              </w:rPr>
            </w:pPr>
          </w:p>
        </w:tc>
        <w:tc>
          <w:tcPr>
            <w:tcW w:w="1368" w:type="dxa"/>
            <w:shd w:val="clear" w:color="000000" w:fill="FFFFFF"/>
            <w:vAlign w:val="center"/>
            <w:hideMark/>
          </w:tcPr>
          <w:p w:rsidR="008E2748" w:rsidRPr="008A773E" w:rsidRDefault="008E2748" w:rsidP="00EF55CB">
            <w:pPr>
              <w:jc w:val="center"/>
              <w:rPr>
                <w:bCs/>
              </w:rPr>
            </w:pPr>
          </w:p>
        </w:tc>
        <w:tc>
          <w:tcPr>
            <w:tcW w:w="1499" w:type="dxa"/>
            <w:shd w:val="clear" w:color="000000" w:fill="FFFFFF"/>
            <w:vAlign w:val="center"/>
            <w:hideMark/>
          </w:tcPr>
          <w:p w:rsidR="008E2748" w:rsidRPr="008A773E" w:rsidRDefault="008E2748" w:rsidP="00EF55CB">
            <w:pPr>
              <w:jc w:val="center"/>
              <w:rPr>
                <w:bCs/>
              </w:rPr>
            </w:pPr>
          </w:p>
        </w:tc>
        <w:tc>
          <w:tcPr>
            <w:tcW w:w="1515" w:type="dxa"/>
            <w:shd w:val="clear" w:color="000000" w:fill="FFFFFF"/>
            <w:vAlign w:val="center"/>
            <w:hideMark/>
          </w:tcPr>
          <w:p w:rsidR="008E2748" w:rsidRPr="008A773E" w:rsidRDefault="008E2748" w:rsidP="00EF55CB">
            <w:pPr>
              <w:jc w:val="center"/>
            </w:pPr>
          </w:p>
        </w:tc>
        <w:tc>
          <w:tcPr>
            <w:tcW w:w="1682" w:type="dxa"/>
            <w:shd w:val="clear" w:color="000000" w:fill="FFFFFF"/>
            <w:vAlign w:val="center"/>
            <w:hideMark/>
          </w:tcPr>
          <w:p w:rsidR="008E2748" w:rsidRPr="00325DA1" w:rsidRDefault="008E2748" w:rsidP="00EF55CB">
            <w:pPr>
              <w:jc w:val="center"/>
            </w:pPr>
          </w:p>
        </w:tc>
      </w:tr>
      <w:tr w:rsidR="008E2748" w:rsidRPr="00325DA1" w:rsidTr="00EF7211">
        <w:trPr>
          <w:trHeight w:val="555"/>
        </w:trPr>
        <w:tc>
          <w:tcPr>
            <w:tcW w:w="580" w:type="dxa"/>
            <w:shd w:val="clear" w:color="000000" w:fill="FFFFFF"/>
            <w:vAlign w:val="center"/>
            <w:hideMark/>
          </w:tcPr>
          <w:p w:rsidR="008E2748" w:rsidRPr="00325DA1" w:rsidRDefault="008E2748" w:rsidP="00EF55CB">
            <w:pPr>
              <w:jc w:val="center"/>
            </w:pPr>
            <w:r>
              <w:t>2</w:t>
            </w:r>
          </w:p>
        </w:tc>
        <w:tc>
          <w:tcPr>
            <w:tcW w:w="3859" w:type="dxa"/>
            <w:shd w:val="clear" w:color="000000" w:fill="FFFFFF"/>
            <w:vAlign w:val="center"/>
            <w:hideMark/>
          </w:tcPr>
          <w:p w:rsidR="008E2748" w:rsidRPr="001A494F" w:rsidRDefault="008E2748" w:rsidP="001F2F2C">
            <w:pPr>
              <w:jc w:val="center"/>
              <w:rPr>
                <w:color w:val="000000"/>
              </w:rPr>
            </w:pPr>
          </w:p>
        </w:tc>
        <w:tc>
          <w:tcPr>
            <w:tcW w:w="1368" w:type="dxa"/>
            <w:shd w:val="clear" w:color="000000" w:fill="FFFFFF"/>
            <w:vAlign w:val="center"/>
            <w:hideMark/>
          </w:tcPr>
          <w:p w:rsidR="008E2748" w:rsidRPr="008A773E" w:rsidRDefault="008E2748" w:rsidP="00EF55CB">
            <w:pPr>
              <w:jc w:val="center"/>
              <w:rPr>
                <w:bCs/>
              </w:rPr>
            </w:pPr>
          </w:p>
        </w:tc>
        <w:tc>
          <w:tcPr>
            <w:tcW w:w="1499" w:type="dxa"/>
            <w:shd w:val="clear" w:color="000000" w:fill="FFFFFF"/>
            <w:vAlign w:val="center"/>
            <w:hideMark/>
          </w:tcPr>
          <w:p w:rsidR="008E2748" w:rsidRPr="008A773E" w:rsidRDefault="008E2748" w:rsidP="00EF55CB">
            <w:pPr>
              <w:jc w:val="center"/>
              <w:rPr>
                <w:bCs/>
              </w:rPr>
            </w:pPr>
          </w:p>
        </w:tc>
        <w:tc>
          <w:tcPr>
            <w:tcW w:w="1515" w:type="dxa"/>
            <w:shd w:val="clear" w:color="000000" w:fill="FFFFFF"/>
            <w:vAlign w:val="center"/>
            <w:hideMark/>
          </w:tcPr>
          <w:p w:rsidR="008E2748" w:rsidRPr="008A773E" w:rsidRDefault="008E2748" w:rsidP="00EF55CB">
            <w:pPr>
              <w:jc w:val="center"/>
            </w:pPr>
          </w:p>
        </w:tc>
        <w:tc>
          <w:tcPr>
            <w:tcW w:w="1682" w:type="dxa"/>
            <w:shd w:val="clear" w:color="000000" w:fill="FFFFFF"/>
            <w:vAlign w:val="center"/>
            <w:hideMark/>
          </w:tcPr>
          <w:p w:rsidR="008E2748" w:rsidRPr="00325DA1" w:rsidRDefault="008E2748" w:rsidP="00EF55CB">
            <w:pPr>
              <w:jc w:val="center"/>
            </w:pPr>
          </w:p>
        </w:tc>
      </w:tr>
      <w:tr w:rsidR="00EF55CB" w:rsidRPr="00325DA1" w:rsidTr="009F026B">
        <w:trPr>
          <w:trHeight w:val="467"/>
        </w:trPr>
        <w:tc>
          <w:tcPr>
            <w:tcW w:w="8821" w:type="dxa"/>
            <w:gridSpan w:val="5"/>
            <w:shd w:val="clear" w:color="000000" w:fill="FFFFFF"/>
            <w:vAlign w:val="center"/>
            <w:hideMark/>
          </w:tcPr>
          <w:p w:rsidR="00EF55CB" w:rsidRPr="00887100" w:rsidRDefault="00EF55CB" w:rsidP="00EF55CB">
            <w:pPr>
              <w:jc w:val="center"/>
              <w:rPr>
                <w:b/>
              </w:rPr>
            </w:pPr>
            <w:r w:rsidRPr="00E33387">
              <w:rPr>
                <w:b/>
              </w:rPr>
              <w:t>ИТОГО</w:t>
            </w:r>
          </w:p>
        </w:tc>
        <w:tc>
          <w:tcPr>
            <w:tcW w:w="1682" w:type="dxa"/>
            <w:shd w:val="clear" w:color="000000" w:fill="FFFFFF"/>
            <w:vAlign w:val="center"/>
            <w:hideMark/>
          </w:tcPr>
          <w:p w:rsidR="00EF55CB" w:rsidRPr="00E33387" w:rsidRDefault="00EF55CB" w:rsidP="00EF55CB">
            <w:pPr>
              <w:jc w:val="center"/>
              <w:rPr>
                <w:b/>
                <w:bCs/>
              </w:rPr>
            </w:pPr>
          </w:p>
        </w:tc>
      </w:tr>
    </w:tbl>
    <w:p w:rsidR="00B9150B" w:rsidRDefault="00B9150B" w:rsidP="00B9150B"/>
    <w:p w:rsidR="00B9150B" w:rsidRDefault="00B9150B" w:rsidP="00B9150B">
      <w:pPr>
        <w:jc w:val="both"/>
      </w:pPr>
    </w:p>
    <w:p w:rsidR="00B9150B" w:rsidRDefault="00B9150B" w:rsidP="00B9150B">
      <w:pPr>
        <w:ind w:firstLine="993"/>
        <w:jc w:val="both"/>
      </w:pPr>
      <w:r>
        <w:t>Заказчик      ______________/ О.Б. Мелехова</w:t>
      </w:r>
    </w:p>
    <w:p w:rsidR="00B9150B" w:rsidRDefault="00B9150B" w:rsidP="00B9150B">
      <w:pPr>
        <w:ind w:firstLine="993"/>
        <w:jc w:val="both"/>
      </w:pPr>
      <w:r>
        <w:t>МП</w:t>
      </w:r>
    </w:p>
    <w:p w:rsidR="00B9150B" w:rsidRDefault="00B9150B" w:rsidP="00B9150B">
      <w:pPr>
        <w:ind w:firstLine="993"/>
      </w:pPr>
    </w:p>
    <w:p w:rsidR="00B9150B" w:rsidRDefault="00B9150B" w:rsidP="00B9150B">
      <w:pPr>
        <w:ind w:firstLine="993"/>
      </w:pPr>
    </w:p>
    <w:p w:rsidR="00B9150B" w:rsidRDefault="00B9150B" w:rsidP="00B9150B">
      <w:pPr>
        <w:ind w:firstLine="993"/>
      </w:pPr>
    </w:p>
    <w:p w:rsidR="00B9150B" w:rsidRDefault="00B9150B" w:rsidP="00B9150B">
      <w:pPr>
        <w:ind w:firstLine="993"/>
      </w:pPr>
      <w:r>
        <w:t>Поставщик ______________ /____________</w:t>
      </w:r>
    </w:p>
    <w:p w:rsidR="00B9150B" w:rsidRDefault="00B9150B" w:rsidP="00B9150B">
      <w:pPr>
        <w:ind w:firstLine="993"/>
      </w:pPr>
      <w:r>
        <w:t>МП</w:t>
      </w:r>
    </w:p>
    <w:p w:rsidR="00B9150B" w:rsidRDefault="00B9150B" w:rsidP="00B9150B">
      <w:pPr>
        <w:jc w:val="right"/>
        <w:rPr>
          <w:szCs w:val="20"/>
        </w:rPr>
        <w:sectPr w:rsidR="00B9150B" w:rsidSect="0047524A">
          <w:footerReference w:type="default" r:id="rId9"/>
          <w:pgSz w:w="11906" w:h="16838"/>
          <w:pgMar w:top="720" w:right="720" w:bottom="720" w:left="720" w:header="709" w:footer="709" w:gutter="0"/>
          <w:cols w:space="708"/>
          <w:docGrid w:linePitch="360"/>
        </w:sectPr>
      </w:pPr>
    </w:p>
    <w:p w:rsidR="00811DFA" w:rsidRPr="00583458" w:rsidRDefault="00811DFA" w:rsidP="00811DFA">
      <w:pPr>
        <w:ind w:firstLine="567"/>
        <w:jc w:val="right"/>
        <w:rPr>
          <w:sz w:val="23"/>
          <w:szCs w:val="23"/>
        </w:rPr>
      </w:pPr>
      <w:r w:rsidRPr="00583458">
        <w:rPr>
          <w:sz w:val="23"/>
          <w:szCs w:val="23"/>
        </w:rPr>
        <w:lastRenderedPageBreak/>
        <w:t xml:space="preserve">Приложение № 3 </w:t>
      </w:r>
    </w:p>
    <w:p w:rsidR="00811DFA" w:rsidRPr="00583458" w:rsidRDefault="00811DFA" w:rsidP="00811DFA">
      <w:pPr>
        <w:ind w:firstLine="567"/>
        <w:jc w:val="right"/>
        <w:rPr>
          <w:sz w:val="23"/>
          <w:szCs w:val="23"/>
        </w:rPr>
      </w:pPr>
      <w:r w:rsidRPr="00583458">
        <w:rPr>
          <w:sz w:val="23"/>
          <w:szCs w:val="23"/>
        </w:rPr>
        <w:t xml:space="preserve">к документации об открытом </w:t>
      </w:r>
    </w:p>
    <w:p w:rsidR="00811DFA" w:rsidRPr="00583458" w:rsidRDefault="00811DFA" w:rsidP="00811DFA">
      <w:pPr>
        <w:jc w:val="right"/>
        <w:rPr>
          <w:sz w:val="23"/>
          <w:szCs w:val="23"/>
        </w:rPr>
      </w:pPr>
      <w:r w:rsidRPr="00583458">
        <w:rPr>
          <w:sz w:val="23"/>
          <w:szCs w:val="23"/>
        </w:rPr>
        <w:t>аукционе в электронной форме</w:t>
      </w:r>
    </w:p>
    <w:p w:rsidR="00811DFA" w:rsidRPr="00583458" w:rsidRDefault="00811DFA" w:rsidP="00811DFA">
      <w:pPr>
        <w:rPr>
          <w:sz w:val="23"/>
          <w:szCs w:val="23"/>
        </w:rPr>
      </w:pPr>
    </w:p>
    <w:p w:rsidR="00811DFA" w:rsidRPr="00583458" w:rsidRDefault="00811DFA" w:rsidP="00811DFA">
      <w:pPr>
        <w:jc w:val="center"/>
        <w:rPr>
          <w:b/>
          <w:sz w:val="23"/>
          <w:szCs w:val="23"/>
        </w:rPr>
      </w:pPr>
      <w:r w:rsidRPr="00583458">
        <w:rPr>
          <w:b/>
          <w:sz w:val="23"/>
          <w:szCs w:val="23"/>
        </w:rPr>
        <w:t xml:space="preserve">Обоснование </w:t>
      </w:r>
      <w:r w:rsidR="00DB14E1">
        <w:rPr>
          <w:b/>
          <w:sz w:val="23"/>
          <w:szCs w:val="23"/>
        </w:rPr>
        <w:t>(</w:t>
      </w:r>
      <w:r w:rsidRPr="00583458">
        <w:rPr>
          <w:b/>
          <w:sz w:val="23"/>
          <w:szCs w:val="23"/>
        </w:rPr>
        <w:t>начальной</w:t>
      </w:r>
      <w:r w:rsidR="00DB14E1">
        <w:rPr>
          <w:b/>
          <w:sz w:val="23"/>
          <w:szCs w:val="23"/>
        </w:rPr>
        <w:t>)</w:t>
      </w:r>
      <w:r w:rsidRPr="00583458">
        <w:rPr>
          <w:b/>
          <w:sz w:val="23"/>
          <w:szCs w:val="23"/>
        </w:rPr>
        <w:t xml:space="preserve"> максимальной цены </w:t>
      </w:r>
      <w:r w:rsidR="00E31803">
        <w:rPr>
          <w:b/>
          <w:sz w:val="23"/>
          <w:szCs w:val="23"/>
        </w:rPr>
        <w:t>договора</w:t>
      </w:r>
      <w:r w:rsidRPr="00583458">
        <w:rPr>
          <w:b/>
          <w:sz w:val="23"/>
          <w:szCs w:val="23"/>
        </w:rPr>
        <w:t xml:space="preserve"> </w:t>
      </w:r>
    </w:p>
    <w:p w:rsidR="00811DFA" w:rsidRDefault="00811DFA" w:rsidP="00811DFA">
      <w:pPr>
        <w:jc w:val="center"/>
        <w:rPr>
          <w:b/>
          <w:bCs/>
        </w:rPr>
      </w:pPr>
      <w:r w:rsidRPr="00583458">
        <w:rPr>
          <w:b/>
          <w:sz w:val="23"/>
          <w:szCs w:val="23"/>
        </w:rPr>
        <w:t xml:space="preserve">на </w:t>
      </w:r>
      <w:r w:rsidRPr="00D94D3E">
        <w:rPr>
          <w:b/>
          <w:bCs/>
        </w:rPr>
        <w:t>поставку</w:t>
      </w:r>
      <w:r>
        <w:rPr>
          <w:b/>
          <w:bCs/>
        </w:rPr>
        <w:t xml:space="preserve"> </w:t>
      </w:r>
      <w:r w:rsidR="008E2748">
        <w:rPr>
          <w:b/>
          <w:bCs/>
        </w:rPr>
        <w:t>препаратов неорганических соединений</w:t>
      </w:r>
    </w:p>
    <w:p w:rsidR="00811DFA" w:rsidRPr="00583458" w:rsidRDefault="00811DFA" w:rsidP="00811DFA">
      <w:pPr>
        <w:jc w:val="center"/>
        <w:rPr>
          <w:b/>
          <w:sz w:val="23"/>
          <w:szCs w:val="23"/>
        </w:rPr>
      </w:pPr>
    </w:p>
    <w:p w:rsidR="00811DFA" w:rsidRDefault="00811DFA" w:rsidP="00811DFA">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rsidR="008E2748">
        <w:t>, а также ранее заключенных договоров</w:t>
      </w:r>
      <w:r>
        <w:t xml:space="preserve"> и составляет </w:t>
      </w:r>
      <w:r w:rsidR="008E2748">
        <w:rPr>
          <w:b/>
        </w:rPr>
        <w:t>37 373</w:t>
      </w:r>
      <w:r w:rsidRPr="0061459C">
        <w:rPr>
          <w:b/>
        </w:rPr>
        <w:t xml:space="preserve"> (</w:t>
      </w:r>
      <w:r w:rsidR="008E2748">
        <w:rPr>
          <w:b/>
        </w:rPr>
        <w:t>Тридцать семь тысяч триста семьдесят три</w:t>
      </w:r>
      <w:r w:rsidRPr="0061459C">
        <w:rPr>
          <w:b/>
        </w:rPr>
        <w:t>) рубл</w:t>
      </w:r>
      <w:r w:rsidR="008E2748">
        <w:rPr>
          <w:b/>
        </w:rPr>
        <w:t>я</w:t>
      </w:r>
      <w:r w:rsidRPr="0061459C">
        <w:rPr>
          <w:b/>
        </w:rPr>
        <w:t xml:space="preserve"> </w:t>
      </w:r>
      <w:r w:rsidR="00DB14E1">
        <w:rPr>
          <w:b/>
        </w:rPr>
        <w:t>0</w:t>
      </w:r>
      <w:r>
        <w:rPr>
          <w:b/>
        </w:rPr>
        <w:t>0</w:t>
      </w:r>
      <w:r w:rsidRPr="0061459C">
        <w:rPr>
          <w:b/>
        </w:rPr>
        <w:t xml:space="preserve"> копеек</w:t>
      </w:r>
      <w:r>
        <w:t>.</w:t>
      </w:r>
    </w:p>
    <w:p w:rsidR="00811DFA" w:rsidRPr="00DB14E1" w:rsidRDefault="00811DFA" w:rsidP="00811DFA">
      <w:pPr>
        <w:jc w:val="both"/>
        <w:rPr>
          <w:sz w:val="16"/>
          <w:szCs w:val="20"/>
        </w:rPr>
      </w:pPr>
    </w:p>
    <w:p w:rsidR="00811DFA" w:rsidRDefault="00811DFA" w:rsidP="00811DFA">
      <w:pPr>
        <w:jc w:val="both"/>
      </w:pPr>
      <w:r>
        <w:tab/>
      </w:r>
      <w:r w:rsidRPr="003D6E94">
        <w:t xml:space="preserve">Таблица 1 – </w:t>
      </w:r>
      <w:r>
        <w:t xml:space="preserve">Обоснование начальной (максимальной) цены контракта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2"/>
        <w:gridCol w:w="888"/>
        <w:gridCol w:w="657"/>
        <w:gridCol w:w="1705"/>
        <w:gridCol w:w="1705"/>
        <w:gridCol w:w="1705"/>
        <w:gridCol w:w="1024"/>
        <w:gridCol w:w="1116"/>
      </w:tblGrid>
      <w:tr w:rsidR="00811DFA" w:rsidRPr="00460AD1" w:rsidTr="00811DFA">
        <w:tc>
          <w:tcPr>
            <w:tcW w:w="1882"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Наименование товара</w:t>
            </w:r>
          </w:p>
        </w:tc>
        <w:tc>
          <w:tcPr>
            <w:tcW w:w="888"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Ед.изм.</w:t>
            </w:r>
          </w:p>
        </w:tc>
        <w:tc>
          <w:tcPr>
            <w:tcW w:w="657"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Кол-во</w:t>
            </w:r>
          </w:p>
        </w:tc>
        <w:tc>
          <w:tcPr>
            <w:tcW w:w="1705" w:type="dxa"/>
            <w:vAlign w:val="center"/>
          </w:tcPr>
          <w:p w:rsidR="00811DFA" w:rsidRPr="008127B1" w:rsidRDefault="00811DFA" w:rsidP="00DB14E1">
            <w:pPr>
              <w:widowControl w:val="0"/>
              <w:tabs>
                <w:tab w:val="left" w:pos="9435"/>
              </w:tabs>
              <w:autoSpaceDE w:val="0"/>
              <w:autoSpaceDN w:val="0"/>
              <w:adjustRightInd w:val="0"/>
              <w:jc w:val="center"/>
              <w:rPr>
                <w:b/>
                <w:sz w:val="20"/>
                <w:szCs w:val="20"/>
              </w:rPr>
            </w:pPr>
            <w:r w:rsidRPr="008127B1">
              <w:rPr>
                <w:b/>
                <w:sz w:val="20"/>
                <w:szCs w:val="20"/>
              </w:rPr>
              <w:t xml:space="preserve">Цена по коммерческому предложению № 1 от </w:t>
            </w:r>
            <w:r w:rsidR="00DB14E1">
              <w:rPr>
                <w:b/>
                <w:sz w:val="20"/>
                <w:szCs w:val="20"/>
              </w:rPr>
              <w:t>21.08.2013</w:t>
            </w:r>
            <w:r w:rsidRPr="008127B1">
              <w:rPr>
                <w:b/>
                <w:sz w:val="20"/>
                <w:szCs w:val="20"/>
              </w:rPr>
              <w:t xml:space="preserve"> г.</w:t>
            </w:r>
          </w:p>
        </w:tc>
        <w:tc>
          <w:tcPr>
            <w:tcW w:w="1705" w:type="dxa"/>
            <w:vAlign w:val="center"/>
          </w:tcPr>
          <w:p w:rsidR="00811DFA" w:rsidRPr="008127B1" w:rsidRDefault="00811DFA" w:rsidP="00DB14E1">
            <w:pPr>
              <w:widowControl w:val="0"/>
              <w:autoSpaceDE w:val="0"/>
              <w:autoSpaceDN w:val="0"/>
              <w:adjustRightInd w:val="0"/>
              <w:jc w:val="center"/>
              <w:rPr>
                <w:b/>
                <w:sz w:val="20"/>
                <w:szCs w:val="20"/>
              </w:rPr>
            </w:pPr>
            <w:r w:rsidRPr="008127B1">
              <w:rPr>
                <w:b/>
                <w:sz w:val="20"/>
                <w:szCs w:val="20"/>
              </w:rPr>
              <w:t xml:space="preserve">Цена по коммерческому предложению № 2 от </w:t>
            </w:r>
            <w:r w:rsidR="00DB14E1">
              <w:rPr>
                <w:b/>
                <w:sz w:val="20"/>
                <w:szCs w:val="20"/>
              </w:rPr>
              <w:t>26.08.2013</w:t>
            </w:r>
            <w:r w:rsidRPr="008127B1">
              <w:rPr>
                <w:b/>
                <w:sz w:val="20"/>
                <w:szCs w:val="20"/>
              </w:rPr>
              <w:t xml:space="preserve"> г.</w:t>
            </w:r>
          </w:p>
        </w:tc>
        <w:tc>
          <w:tcPr>
            <w:tcW w:w="1705" w:type="dxa"/>
            <w:vAlign w:val="center"/>
          </w:tcPr>
          <w:p w:rsidR="00811DFA" w:rsidRPr="008127B1" w:rsidRDefault="00811DFA" w:rsidP="008E2748">
            <w:pPr>
              <w:widowControl w:val="0"/>
              <w:autoSpaceDE w:val="0"/>
              <w:autoSpaceDN w:val="0"/>
              <w:adjustRightInd w:val="0"/>
              <w:jc w:val="center"/>
              <w:rPr>
                <w:b/>
                <w:sz w:val="20"/>
                <w:szCs w:val="20"/>
              </w:rPr>
            </w:pPr>
            <w:r w:rsidRPr="008127B1">
              <w:rPr>
                <w:b/>
                <w:sz w:val="20"/>
                <w:szCs w:val="20"/>
              </w:rPr>
              <w:t xml:space="preserve">Цена по </w:t>
            </w:r>
            <w:r w:rsidR="00DB14E1">
              <w:rPr>
                <w:b/>
                <w:sz w:val="20"/>
                <w:szCs w:val="20"/>
              </w:rPr>
              <w:t>договору № 07</w:t>
            </w:r>
            <w:r w:rsidR="008E2748">
              <w:rPr>
                <w:b/>
                <w:sz w:val="20"/>
                <w:szCs w:val="20"/>
              </w:rPr>
              <w:t>2</w:t>
            </w:r>
            <w:r w:rsidR="00DB14E1">
              <w:rPr>
                <w:b/>
                <w:sz w:val="20"/>
                <w:szCs w:val="20"/>
              </w:rPr>
              <w:t>/2013</w:t>
            </w:r>
            <w:r w:rsidRPr="008127B1">
              <w:rPr>
                <w:b/>
                <w:sz w:val="20"/>
                <w:szCs w:val="20"/>
              </w:rPr>
              <w:t xml:space="preserve"> от </w:t>
            </w:r>
            <w:r w:rsidR="008E2748">
              <w:rPr>
                <w:b/>
                <w:sz w:val="20"/>
                <w:szCs w:val="20"/>
              </w:rPr>
              <w:t>16</w:t>
            </w:r>
            <w:r w:rsidRPr="008127B1">
              <w:rPr>
                <w:b/>
                <w:sz w:val="20"/>
                <w:szCs w:val="20"/>
              </w:rPr>
              <w:t>.0</w:t>
            </w:r>
            <w:r w:rsidR="00DB14E1">
              <w:rPr>
                <w:b/>
                <w:sz w:val="20"/>
                <w:szCs w:val="20"/>
              </w:rPr>
              <w:t>7</w:t>
            </w:r>
            <w:r w:rsidRPr="008127B1">
              <w:rPr>
                <w:b/>
                <w:sz w:val="20"/>
                <w:szCs w:val="20"/>
              </w:rPr>
              <w:t>.2013 г.</w:t>
            </w:r>
          </w:p>
        </w:tc>
        <w:tc>
          <w:tcPr>
            <w:tcW w:w="1024"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Средняя цена, руб.</w:t>
            </w:r>
          </w:p>
        </w:tc>
        <w:tc>
          <w:tcPr>
            <w:tcW w:w="1116" w:type="dxa"/>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Сумма, руб.</w:t>
            </w:r>
          </w:p>
        </w:tc>
      </w:tr>
      <w:tr w:rsidR="008E2748" w:rsidRPr="00460AD1" w:rsidTr="00811DFA">
        <w:tc>
          <w:tcPr>
            <w:tcW w:w="1882" w:type="dxa"/>
            <w:vAlign w:val="center"/>
          </w:tcPr>
          <w:p w:rsidR="008E2748" w:rsidRPr="001A494F" w:rsidRDefault="008E2748" w:rsidP="001F2F2C">
            <w:pPr>
              <w:jc w:val="center"/>
              <w:rPr>
                <w:color w:val="000000"/>
              </w:rPr>
            </w:pPr>
            <w:r>
              <w:rPr>
                <w:color w:val="000000"/>
              </w:rPr>
              <w:t>Феррум лек 100 мг таблетки жевательные № 50</w:t>
            </w:r>
          </w:p>
        </w:tc>
        <w:tc>
          <w:tcPr>
            <w:tcW w:w="888" w:type="dxa"/>
            <w:vAlign w:val="center"/>
          </w:tcPr>
          <w:p w:rsidR="008E2748" w:rsidRPr="008A773E" w:rsidRDefault="008E2748" w:rsidP="001F2F2C">
            <w:pPr>
              <w:jc w:val="center"/>
              <w:rPr>
                <w:bCs/>
              </w:rPr>
            </w:pPr>
            <w:r>
              <w:rPr>
                <w:bCs/>
              </w:rPr>
              <w:t>упак</w:t>
            </w:r>
          </w:p>
        </w:tc>
        <w:tc>
          <w:tcPr>
            <w:tcW w:w="657" w:type="dxa"/>
            <w:vAlign w:val="center"/>
          </w:tcPr>
          <w:p w:rsidR="008E2748" w:rsidRPr="008A773E" w:rsidRDefault="008E2748" w:rsidP="001F2F2C">
            <w:pPr>
              <w:jc w:val="center"/>
              <w:rPr>
                <w:bCs/>
              </w:rPr>
            </w:pPr>
            <w:r>
              <w:rPr>
                <w:bCs/>
              </w:rPr>
              <w:t>50</w:t>
            </w:r>
          </w:p>
        </w:tc>
        <w:tc>
          <w:tcPr>
            <w:tcW w:w="1705"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467,00</w:t>
            </w:r>
          </w:p>
        </w:tc>
        <w:tc>
          <w:tcPr>
            <w:tcW w:w="1705"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510,94</w:t>
            </w:r>
          </w:p>
        </w:tc>
        <w:tc>
          <w:tcPr>
            <w:tcW w:w="1705"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348,48</w:t>
            </w:r>
          </w:p>
        </w:tc>
        <w:tc>
          <w:tcPr>
            <w:tcW w:w="1024" w:type="dxa"/>
            <w:vAlign w:val="center"/>
          </w:tcPr>
          <w:p w:rsidR="008E2748" w:rsidRPr="008127B1" w:rsidRDefault="008E2748" w:rsidP="00DB14E1">
            <w:pPr>
              <w:widowControl w:val="0"/>
              <w:tabs>
                <w:tab w:val="left" w:pos="9435"/>
              </w:tabs>
              <w:autoSpaceDE w:val="0"/>
              <w:autoSpaceDN w:val="0"/>
              <w:adjustRightInd w:val="0"/>
              <w:jc w:val="center"/>
              <w:rPr>
                <w:sz w:val="20"/>
                <w:szCs w:val="20"/>
              </w:rPr>
            </w:pPr>
            <w:r>
              <w:rPr>
                <w:sz w:val="20"/>
                <w:szCs w:val="20"/>
              </w:rPr>
              <w:t>442,14</w:t>
            </w:r>
          </w:p>
        </w:tc>
        <w:tc>
          <w:tcPr>
            <w:tcW w:w="1116"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22 107,00</w:t>
            </w:r>
          </w:p>
        </w:tc>
      </w:tr>
      <w:tr w:rsidR="008E2748" w:rsidRPr="00460AD1" w:rsidTr="00811DFA">
        <w:tc>
          <w:tcPr>
            <w:tcW w:w="1882" w:type="dxa"/>
            <w:vAlign w:val="center"/>
          </w:tcPr>
          <w:p w:rsidR="008E2748" w:rsidRPr="001A494F" w:rsidRDefault="008E2748" w:rsidP="001F2F2C">
            <w:pPr>
              <w:jc w:val="center"/>
              <w:rPr>
                <w:color w:val="000000"/>
              </w:rPr>
            </w:pPr>
            <w:r>
              <w:rPr>
                <w:color w:val="000000"/>
              </w:rPr>
              <w:t>Мальтофер лек 100 мг таблетки жевательные № 30</w:t>
            </w:r>
          </w:p>
        </w:tc>
        <w:tc>
          <w:tcPr>
            <w:tcW w:w="888" w:type="dxa"/>
            <w:vAlign w:val="center"/>
          </w:tcPr>
          <w:p w:rsidR="008E2748" w:rsidRPr="008A773E" w:rsidRDefault="008E2748" w:rsidP="001F2F2C">
            <w:pPr>
              <w:jc w:val="center"/>
              <w:rPr>
                <w:bCs/>
              </w:rPr>
            </w:pPr>
            <w:r>
              <w:rPr>
                <w:bCs/>
              </w:rPr>
              <w:t>упак</w:t>
            </w:r>
          </w:p>
        </w:tc>
        <w:tc>
          <w:tcPr>
            <w:tcW w:w="657" w:type="dxa"/>
            <w:vAlign w:val="center"/>
          </w:tcPr>
          <w:p w:rsidR="008E2748" w:rsidRPr="008A773E" w:rsidRDefault="008E2748" w:rsidP="001F2F2C">
            <w:pPr>
              <w:jc w:val="center"/>
              <w:rPr>
                <w:bCs/>
              </w:rPr>
            </w:pPr>
            <w:r>
              <w:rPr>
                <w:bCs/>
              </w:rPr>
              <w:t>50</w:t>
            </w:r>
          </w:p>
        </w:tc>
        <w:tc>
          <w:tcPr>
            <w:tcW w:w="1705"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297,80</w:t>
            </w:r>
          </w:p>
        </w:tc>
        <w:tc>
          <w:tcPr>
            <w:tcW w:w="1705"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363,73</w:t>
            </w:r>
          </w:p>
        </w:tc>
        <w:tc>
          <w:tcPr>
            <w:tcW w:w="1705"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254,43</w:t>
            </w:r>
          </w:p>
        </w:tc>
        <w:tc>
          <w:tcPr>
            <w:tcW w:w="1024"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305,32</w:t>
            </w:r>
          </w:p>
        </w:tc>
        <w:tc>
          <w:tcPr>
            <w:tcW w:w="1116" w:type="dxa"/>
            <w:vAlign w:val="center"/>
          </w:tcPr>
          <w:p w:rsidR="008E2748" w:rsidRPr="008127B1" w:rsidRDefault="008E2748" w:rsidP="004A68CC">
            <w:pPr>
              <w:widowControl w:val="0"/>
              <w:tabs>
                <w:tab w:val="left" w:pos="9435"/>
              </w:tabs>
              <w:autoSpaceDE w:val="0"/>
              <w:autoSpaceDN w:val="0"/>
              <w:adjustRightInd w:val="0"/>
              <w:jc w:val="center"/>
              <w:rPr>
                <w:sz w:val="20"/>
                <w:szCs w:val="20"/>
              </w:rPr>
            </w:pPr>
            <w:r>
              <w:rPr>
                <w:sz w:val="20"/>
                <w:szCs w:val="20"/>
              </w:rPr>
              <w:t>15 266,00</w:t>
            </w:r>
          </w:p>
        </w:tc>
      </w:tr>
      <w:tr w:rsidR="00811DFA" w:rsidRPr="00460AD1" w:rsidTr="00811DFA">
        <w:tc>
          <w:tcPr>
            <w:tcW w:w="9566" w:type="dxa"/>
            <w:gridSpan w:val="7"/>
            <w:vAlign w:val="center"/>
          </w:tcPr>
          <w:p w:rsidR="00811DFA" w:rsidRPr="008127B1" w:rsidRDefault="00811DFA" w:rsidP="004A68CC">
            <w:pPr>
              <w:widowControl w:val="0"/>
              <w:tabs>
                <w:tab w:val="left" w:pos="9435"/>
              </w:tabs>
              <w:autoSpaceDE w:val="0"/>
              <w:autoSpaceDN w:val="0"/>
              <w:adjustRightInd w:val="0"/>
              <w:jc w:val="center"/>
              <w:rPr>
                <w:b/>
                <w:sz w:val="20"/>
                <w:szCs w:val="20"/>
              </w:rPr>
            </w:pPr>
            <w:r w:rsidRPr="008127B1">
              <w:rPr>
                <w:b/>
                <w:sz w:val="20"/>
                <w:szCs w:val="20"/>
              </w:rPr>
              <w:t>ИТОГО:</w:t>
            </w:r>
          </w:p>
        </w:tc>
        <w:tc>
          <w:tcPr>
            <w:tcW w:w="1116" w:type="dxa"/>
          </w:tcPr>
          <w:p w:rsidR="00811DFA" w:rsidRPr="008127B1" w:rsidRDefault="008E2748" w:rsidP="004A68CC">
            <w:pPr>
              <w:widowControl w:val="0"/>
              <w:tabs>
                <w:tab w:val="left" w:pos="9435"/>
              </w:tabs>
              <w:autoSpaceDE w:val="0"/>
              <w:autoSpaceDN w:val="0"/>
              <w:adjustRightInd w:val="0"/>
              <w:jc w:val="center"/>
              <w:rPr>
                <w:b/>
                <w:sz w:val="20"/>
                <w:szCs w:val="20"/>
              </w:rPr>
            </w:pPr>
            <w:r>
              <w:rPr>
                <w:b/>
                <w:sz w:val="20"/>
                <w:szCs w:val="20"/>
              </w:rPr>
              <w:t>37 373,00</w:t>
            </w:r>
          </w:p>
        </w:tc>
      </w:tr>
    </w:tbl>
    <w:p w:rsidR="00811DFA" w:rsidRPr="0032185A" w:rsidRDefault="00811DFA" w:rsidP="00811DFA">
      <w:pPr>
        <w:jc w:val="both"/>
        <w:rPr>
          <w:b/>
          <w:sz w:val="32"/>
        </w:rPr>
      </w:pPr>
    </w:p>
    <w:p w:rsidR="00811DFA" w:rsidRDefault="00811DFA"/>
    <w:sectPr w:rsidR="00811DFA"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198" w:rsidRDefault="00690198" w:rsidP="009919D1">
      <w:r>
        <w:separator/>
      </w:r>
    </w:p>
  </w:endnote>
  <w:endnote w:type="continuationSeparator" w:id="1">
    <w:p w:rsidR="00690198" w:rsidRDefault="00690198"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3B60F3">
    <w:pPr>
      <w:pStyle w:val="a5"/>
      <w:framePr w:wrap="around" w:vAnchor="text" w:hAnchor="margin" w:xAlign="center" w:y="1"/>
      <w:rPr>
        <w:rStyle w:val="a9"/>
      </w:rPr>
    </w:pPr>
    <w:r>
      <w:rPr>
        <w:rStyle w:val="a9"/>
      </w:rPr>
      <w:fldChar w:fldCharType="begin"/>
    </w:r>
    <w:r w:rsidR="00EF55CB">
      <w:rPr>
        <w:rStyle w:val="a9"/>
      </w:rPr>
      <w:instrText xml:space="preserve">PAGE  </w:instrText>
    </w:r>
    <w:r>
      <w:rPr>
        <w:rStyle w:val="a9"/>
      </w:rPr>
      <w:fldChar w:fldCharType="end"/>
    </w:r>
  </w:p>
  <w:p w:rsidR="00EF55CB" w:rsidRDefault="00EF55C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3B60F3">
    <w:pPr>
      <w:pStyle w:val="a5"/>
      <w:jc w:val="center"/>
    </w:pPr>
    <w:fldSimple w:instr=" PAGE   \* MERGEFORMAT ">
      <w:r w:rsidR="0057306F">
        <w:rPr>
          <w:noProof/>
        </w:rPr>
        <w:t>9</w:t>
      </w:r>
    </w:fldSimple>
  </w:p>
  <w:p w:rsidR="00EF55CB" w:rsidRDefault="00EF55CB">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5CB" w:rsidRDefault="00EF55CB">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198" w:rsidRDefault="00690198" w:rsidP="009919D1">
      <w:r>
        <w:separator/>
      </w:r>
    </w:p>
  </w:footnote>
  <w:footnote w:type="continuationSeparator" w:id="1">
    <w:p w:rsidR="00690198" w:rsidRDefault="00690198"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2DB"/>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07F"/>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494F"/>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9C5"/>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2F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A58"/>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3ED1"/>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1DE4"/>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0AB"/>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4F6D"/>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CA9"/>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961"/>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0F3"/>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01"/>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756"/>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6F"/>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E85"/>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7D1"/>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0982"/>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19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2F3"/>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025"/>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692A"/>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DFA"/>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67"/>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3E"/>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748"/>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072"/>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59A"/>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1C2"/>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05"/>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D7A"/>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45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25F"/>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67"/>
    <w:rsid w:val="00D831BF"/>
    <w:rsid w:val="00D833F9"/>
    <w:rsid w:val="00D839FA"/>
    <w:rsid w:val="00D83BA0"/>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4E1"/>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03"/>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1F4A"/>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5CB"/>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0">
    <w:name w:val="Body Text Indent 3"/>
    <w:basedOn w:val="a"/>
    <w:link w:val="31"/>
    <w:semiHidden/>
    <w:rsid w:val="00B9150B"/>
    <w:pPr>
      <w:ind w:left="360"/>
    </w:pPr>
    <w:rPr>
      <w:sz w:val="28"/>
    </w:rPr>
  </w:style>
  <w:style w:type="character" w:customStyle="1" w:styleId="31">
    <w:name w:val="Основной текст с отступом 3 Знак"/>
    <w:basedOn w:val="a0"/>
    <w:link w:val="30"/>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B9150B"/>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table" w:styleId="ac">
    <w:name w:val="Table Grid"/>
    <w:basedOn w:val="a1"/>
    <w:uiPriority w:val="59"/>
    <w:rsid w:val="009C40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646784288">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42886263">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77525553">
      <w:bodyDiv w:val="1"/>
      <w:marLeft w:val="0"/>
      <w:marRight w:val="0"/>
      <w:marTop w:val="0"/>
      <w:marBottom w:val="0"/>
      <w:divBdr>
        <w:top w:val="none" w:sz="0" w:space="0" w:color="auto"/>
        <w:left w:val="none" w:sz="0" w:space="0" w:color="auto"/>
        <w:bottom w:val="none" w:sz="0" w:space="0" w:color="auto"/>
        <w:right w:val="none" w:sz="0" w:space="0" w:color="auto"/>
      </w:divBdr>
    </w:div>
    <w:div w:id="1598169993">
      <w:bodyDiv w:val="1"/>
      <w:marLeft w:val="0"/>
      <w:marRight w:val="0"/>
      <w:marTop w:val="0"/>
      <w:marBottom w:val="0"/>
      <w:divBdr>
        <w:top w:val="none" w:sz="0" w:space="0" w:color="auto"/>
        <w:left w:val="none" w:sz="0" w:space="0" w:color="auto"/>
        <w:bottom w:val="none" w:sz="0" w:space="0" w:color="auto"/>
        <w:right w:val="none" w:sz="0" w:space="0" w:color="auto"/>
      </w:divBdr>
    </w:div>
    <w:div w:id="194499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Pages>
  <Words>4567</Words>
  <Characters>26033</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30539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42</cp:revision>
  <cp:lastPrinted>2013-10-10T11:03:00Z</cp:lastPrinted>
  <dcterms:created xsi:type="dcterms:W3CDTF">2013-01-09T09:37:00Z</dcterms:created>
  <dcterms:modified xsi:type="dcterms:W3CDTF">2013-10-10T11:08:00Z</dcterms:modified>
</cp:coreProperties>
</file>