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7E1241">
              <w:rPr>
                <w:sz w:val="28"/>
                <w:szCs w:val="28"/>
              </w:rPr>
              <w:t>05</w:t>
            </w:r>
            <w:r>
              <w:rPr>
                <w:sz w:val="28"/>
                <w:szCs w:val="28"/>
              </w:rPr>
              <w:t xml:space="preserve">» </w:t>
            </w:r>
            <w:r w:rsidR="007E1241">
              <w:rPr>
                <w:sz w:val="28"/>
                <w:szCs w:val="28"/>
              </w:rPr>
              <w:t>ноября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w:t>
      </w:r>
      <w:r w:rsidR="007E1241">
        <w:rPr>
          <w:b/>
          <w:sz w:val="32"/>
          <w:szCs w:val="32"/>
        </w:rPr>
        <w:t>хирургических и средств перевязочных</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7E1241" w:rsidP="002C1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Поставка материалов хирургических и средств перевязочных</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AD31AD" w:rsidP="007E1241">
            <w:pPr>
              <w:autoSpaceDE w:val="0"/>
              <w:autoSpaceDN w:val="0"/>
              <w:adjustRightInd w:val="0"/>
              <w:outlineLvl w:val="0"/>
            </w:pPr>
            <w:r>
              <w:rPr>
                <w:sz w:val="22"/>
                <w:szCs w:val="22"/>
              </w:rPr>
              <w:t>493 882,85</w:t>
            </w:r>
            <w:r w:rsidR="007E1241">
              <w:rPr>
                <w:sz w:val="22"/>
                <w:szCs w:val="22"/>
              </w:rPr>
              <w:t xml:space="preserve"> </w:t>
            </w:r>
            <w:r w:rsidR="002A1738">
              <w:rPr>
                <w:sz w:val="22"/>
                <w:szCs w:val="22"/>
              </w:rPr>
              <w:t>рубл</w:t>
            </w:r>
            <w:r w:rsidR="009F2CF5">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F26874" w:rsidP="007E1241">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w:t>
            </w:r>
            <w:r w:rsidR="007E1241">
              <w:rPr>
                <w:rFonts w:ascii="Times New Roman" w:hAnsi="Times New Roman" w:cs="Times New Roman"/>
                <w:sz w:val="22"/>
                <w:szCs w:val="22"/>
              </w:rPr>
              <w:t>с 1 по10 декабря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lastRenderedPageBreak/>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7E1241">
        <w:trPr>
          <w:trHeight w:val="26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56843"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7E1241"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13.11.2013</w:t>
            </w:r>
          </w:p>
          <w:p w:rsidR="00826889" w:rsidRPr="00B218FB"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7E1241" w:rsidP="00F268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14.11.2013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7E1241" w:rsidP="00B01AED">
            <w:pPr>
              <w:autoSpaceDE w:val="0"/>
              <w:autoSpaceDN w:val="0"/>
              <w:adjustRightInd w:val="0"/>
              <w:outlineLvl w:val="1"/>
            </w:pPr>
            <w:r>
              <w:rPr>
                <w:sz w:val="22"/>
                <w:szCs w:val="22"/>
              </w:rPr>
              <w:t>18.11.2013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843"/>
        <w:gridCol w:w="4961"/>
        <w:gridCol w:w="1418"/>
        <w:gridCol w:w="1559"/>
      </w:tblGrid>
      <w:tr w:rsidR="009F2CF5" w:rsidRPr="009F2CF5" w:rsidTr="009F2CF5">
        <w:trPr>
          <w:trHeight w:val="968"/>
        </w:trPr>
        <w:tc>
          <w:tcPr>
            <w:tcW w:w="580" w:type="dxa"/>
            <w:shd w:val="clear" w:color="auto" w:fill="auto"/>
            <w:vAlign w:val="center"/>
            <w:hideMark/>
          </w:tcPr>
          <w:p w:rsidR="009F2CF5" w:rsidRPr="009F2CF5" w:rsidRDefault="009F2CF5" w:rsidP="00B01AED">
            <w:pPr>
              <w:jc w:val="center"/>
              <w:rPr>
                <w:b/>
              </w:rPr>
            </w:pPr>
            <w:r w:rsidRPr="009F2CF5">
              <w:rPr>
                <w:b/>
                <w:sz w:val="22"/>
                <w:szCs w:val="22"/>
              </w:rPr>
              <w:t>№ п/п</w:t>
            </w:r>
          </w:p>
        </w:tc>
        <w:tc>
          <w:tcPr>
            <w:tcW w:w="1843" w:type="dxa"/>
            <w:shd w:val="clear" w:color="auto" w:fill="auto"/>
            <w:vAlign w:val="center"/>
            <w:hideMark/>
          </w:tcPr>
          <w:p w:rsidR="009F2CF5" w:rsidRPr="009F2CF5" w:rsidRDefault="009F2CF5" w:rsidP="00B01AED">
            <w:pPr>
              <w:jc w:val="center"/>
              <w:rPr>
                <w:b/>
              </w:rPr>
            </w:pPr>
            <w:r w:rsidRPr="009F2CF5">
              <w:rPr>
                <w:b/>
                <w:sz w:val="22"/>
                <w:szCs w:val="22"/>
              </w:rPr>
              <w:t>Наименование товара</w:t>
            </w:r>
          </w:p>
        </w:tc>
        <w:tc>
          <w:tcPr>
            <w:tcW w:w="4961" w:type="dxa"/>
            <w:vAlign w:val="center"/>
          </w:tcPr>
          <w:p w:rsidR="009F2CF5" w:rsidRPr="009F2CF5" w:rsidRDefault="009F2CF5" w:rsidP="009F2CF5">
            <w:pPr>
              <w:jc w:val="center"/>
              <w:rPr>
                <w:b/>
              </w:rPr>
            </w:pPr>
            <w:r>
              <w:rPr>
                <w:b/>
                <w:sz w:val="22"/>
                <w:szCs w:val="22"/>
              </w:rPr>
              <w:t>Техническое задание</w:t>
            </w:r>
          </w:p>
        </w:tc>
        <w:tc>
          <w:tcPr>
            <w:tcW w:w="1418" w:type="dxa"/>
            <w:shd w:val="clear" w:color="auto" w:fill="auto"/>
            <w:vAlign w:val="center"/>
            <w:hideMark/>
          </w:tcPr>
          <w:p w:rsidR="009F2CF5" w:rsidRPr="009F2CF5" w:rsidRDefault="009F2CF5" w:rsidP="00B01AED">
            <w:pPr>
              <w:jc w:val="center"/>
              <w:rPr>
                <w:b/>
              </w:rPr>
            </w:pPr>
            <w:r w:rsidRPr="009F2CF5">
              <w:rPr>
                <w:b/>
                <w:sz w:val="22"/>
                <w:szCs w:val="22"/>
              </w:rPr>
              <w:t>Единица измерения</w:t>
            </w:r>
          </w:p>
        </w:tc>
        <w:tc>
          <w:tcPr>
            <w:tcW w:w="1559" w:type="dxa"/>
            <w:shd w:val="clear" w:color="000000" w:fill="FFFFFF"/>
            <w:vAlign w:val="center"/>
            <w:hideMark/>
          </w:tcPr>
          <w:p w:rsidR="009F2CF5" w:rsidRPr="009F2CF5" w:rsidRDefault="009F2CF5" w:rsidP="00B01AED">
            <w:pPr>
              <w:jc w:val="center"/>
              <w:rPr>
                <w:b/>
              </w:rPr>
            </w:pPr>
            <w:r w:rsidRPr="009F2CF5">
              <w:rPr>
                <w:b/>
                <w:sz w:val="22"/>
                <w:szCs w:val="22"/>
              </w:rPr>
              <w:t>Количество</w:t>
            </w:r>
          </w:p>
        </w:tc>
      </w:tr>
      <w:tr w:rsidR="00EC377C" w:rsidRPr="009F2CF5" w:rsidTr="00EC377C">
        <w:trPr>
          <w:trHeight w:val="497"/>
        </w:trPr>
        <w:tc>
          <w:tcPr>
            <w:tcW w:w="580" w:type="dxa"/>
            <w:shd w:val="clear" w:color="000000" w:fill="FFFFFF"/>
            <w:vAlign w:val="center"/>
            <w:hideMark/>
          </w:tcPr>
          <w:p w:rsidR="00EC377C" w:rsidRPr="009F2CF5" w:rsidRDefault="00EC377C" w:rsidP="00B01AED">
            <w:pPr>
              <w:jc w:val="center"/>
            </w:pPr>
            <w:r w:rsidRPr="009F2CF5">
              <w:rPr>
                <w:sz w:val="22"/>
                <w:szCs w:val="22"/>
              </w:rPr>
              <w:t>1</w:t>
            </w:r>
          </w:p>
        </w:tc>
        <w:tc>
          <w:tcPr>
            <w:tcW w:w="1843" w:type="dxa"/>
            <w:shd w:val="clear" w:color="000000" w:fill="FFFFFF"/>
            <w:vAlign w:val="center"/>
            <w:hideMark/>
          </w:tcPr>
          <w:p w:rsidR="00EC377C" w:rsidRDefault="00EC377C">
            <w:pPr>
              <w:jc w:val="center"/>
            </w:pPr>
            <w:r>
              <w:t xml:space="preserve">Фиксирующий (когезивный) бинт 6 см*20 м </w:t>
            </w:r>
          </w:p>
        </w:tc>
        <w:tc>
          <w:tcPr>
            <w:tcW w:w="4961" w:type="dxa"/>
            <w:shd w:val="clear" w:color="000000" w:fill="FFFFFF"/>
            <w:vAlign w:val="center"/>
          </w:tcPr>
          <w:p w:rsidR="00EC377C" w:rsidRDefault="00EC377C">
            <w:pPr>
              <w:jc w:val="center"/>
              <w:rPr>
                <w:sz w:val="16"/>
                <w:szCs w:val="16"/>
              </w:rPr>
            </w:pPr>
            <w:r>
              <w:rPr>
                <w:sz w:val="16"/>
                <w:szCs w:val="16"/>
              </w:rPr>
              <w:t>Фиксирующий бинт с двойным эффектом сцепления благодаря крепированной структуре ткании микроточечной пропитке клеем на синтетической основе. Не требует дополнительной фиксации концов бинта. Не должен содержать латекса. Материал: основа- содержание хлопка не менее 35%, пропитка- гипоаллергенный синтетический клей. Растяжимость-примерно 85 %, полотняное переплетение собработанной кромкой, не крошится, не расползается, предназначен для фиксирующих повязоквсех видов, в особенности на суставах и частях тела, имеющихконическую и округлую форму и легкой степени компресси размер в растянутом виде примерно 20 метров, ширина 6 см. Срок годности не менее 3 лет.</w:t>
            </w:r>
          </w:p>
        </w:tc>
        <w:tc>
          <w:tcPr>
            <w:tcW w:w="1418" w:type="dxa"/>
            <w:shd w:val="clear" w:color="000000" w:fill="FFFFFF"/>
            <w:vAlign w:val="center"/>
            <w:hideMark/>
          </w:tcPr>
          <w:p w:rsidR="00EC377C" w:rsidRDefault="00EC377C">
            <w:pPr>
              <w:jc w:val="center"/>
              <w:rPr>
                <w:sz w:val="16"/>
                <w:szCs w:val="16"/>
              </w:rPr>
            </w:pPr>
            <w:r>
              <w:rPr>
                <w:sz w:val="16"/>
                <w:szCs w:val="16"/>
              </w:rPr>
              <w:t>упак</w:t>
            </w:r>
          </w:p>
        </w:tc>
        <w:tc>
          <w:tcPr>
            <w:tcW w:w="1559" w:type="dxa"/>
            <w:shd w:val="clear" w:color="000000" w:fill="FFFFFF"/>
            <w:vAlign w:val="center"/>
            <w:hideMark/>
          </w:tcPr>
          <w:p w:rsidR="00EC377C" w:rsidRDefault="00EC377C">
            <w:pPr>
              <w:jc w:val="center"/>
              <w:rPr>
                <w:b/>
                <w:bCs/>
              </w:rPr>
            </w:pPr>
            <w:r>
              <w:rPr>
                <w:b/>
                <w:bCs/>
              </w:rPr>
              <w:t>240</w:t>
            </w:r>
          </w:p>
        </w:tc>
      </w:tr>
      <w:tr w:rsidR="00EC377C" w:rsidRPr="009F2CF5" w:rsidTr="009F2CF5">
        <w:trPr>
          <w:trHeight w:val="535"/>
        </w:trPr>
        <w:tc>
          <w:tcPr>
            <w:tcW w:w="580" w:type="dxa"/>
            <w:shd w:val="clear" w:color="000000" w:fill="FFFFFF"/>
            <w:vAlign w:val="center"/>
            <w:hideMark/>
          </w:tcPr>
          <w:p w:rsidR="00EC377C" w:rsidRPr="009F2CF5" w:rsidRDefault="00EC377C" w:rsidP="00B01AED">
            <w:pPr>
              <w:jc w:val="center"/>
            </w:pPr>
            <w:r w:rsidRPr="009F2CF5">
              <w:rPr>
                <w:sz w:val="22"/>
                <w:szCs w:val="22"/>
              </w:rPr>
              <w:t>2</w:t>
            </w:r>
          </w:p>
        </w:tc>
        <w:tc>
          <w:tcPr>
            <w:tcW w:w="1843" w:type="dxa"/>
            <w:shd w:val="clear" w:color="000000" w:fill="FFFFFF"/>
            <w:vAlign w:val="center"/>
            <w:hideMark/>
          </w:tcPr>
          <w:p w:rsidR="00EC377C" w:rsidRDefault="00EC377C">
            <w:pPr>
              <w:jc w:val="center"/>
            </w:pPr>
            <w:r>
              <w:t xml:space="preserve">Фиксирующий (когезивный) бинт 8 см*20 м </w:t>
            </w:r>
          </w:p>
        </w:tc>
        <w:tc>
          <w:tcPr>
            <w:tcW w:w="4961" w:type="dxa"/>
            <w:shd w:val="clear" w:color="000000" w:fill="FFFFFF"/>
            <w:vAlign w:val="center"/>
          </w:tcPr>
          <w:p w:rsidR="00EC377C" w:rsidRDefault="00EC377C">
            <w:pPr>
              <w:jc w:val="center"/>
              <w:rPr>
                <w:sz w:val="16"/>
                <w:szCs w:val="16"/>
              </w:rPr>
            </w:pPr>
            <w:r>
              <w:rPr>
                <w:sz w:val="16"/>
                <w:szCs w:val="16"/>
              </w:rPr>
              <w:t>Фиксирующий бинт с двойным эффектом сцепления благодаря крепированной структуре ткании микроточечной пропитке клеем на синтетической основе. Не требует дополнительной фиксации концов бинта. Не должен содержать латекса. Материал: основа- содержание хлопка не менее 35%, пропитка- гипоаллергенный синтетический клей. Растяжимость-примерно 85 %, полотняное переплетение собработанной кромкой, не крошится, не расползается, предназначен для фиксирующих повязоквсех видов, в особенности на суставах и частях тела, имеющихконическую и округлую форму и легкой степени компресси размер в растянутом виде примерно 20 метров, ширина 8 см. Срок годности не менее 3 лет.</w:t>
            </w:r>
          </w:p>
        </w:tc>
        <w:tc>
          <w:tcPr>
            <w:tcW w:w="1418" w:type="dxa"/>
            <w:shd w:val="clear" w:color="000000" w:fill="FFFFFF"/>
            <w:vAlign w:val="center"/>
            <w:hideMark/>
          </w:tcPr>
          <w:p w:rsidR="00EC377C" w:rsidRDefault="00EC377C">
            <w:pPr>
              <w:jc w:val="center"/>
              <w:rPr>
                <w:sz w:val="16"/>
                <w:szCs w:val="16"/>
              </w:rPr>
            </w:pPr>
            <w:r>
              <w:rPr>
                <w:sz w:val="16"/>
                <w:szCs w:val="16"/>
              </w:rPr>
              <w:t>упак</w:t>
            </w:r>
          </w:p>
        </w:tc>
        <w:tc>
          <w:tcPr>
            <w:tcW w:w="1559" w:type="dxa"/>
            <w:shd w:val="clear" w:color="000000" w:fill="FFFFFF"/>
            <w:vAlign w:val="center"/>
            <w:hideMark/>
          </w:tcPr>
          <w:p w:rsidR="00EC377C" w:rsidRDefault="00EC377C">
            <w:pPr>
              <w:jc w:val="center"/>
              <w:rPr>
                <w:b/>
                <w:bCs/>
              </w:rPr>
            </w:pPr>
            <w:r>
              <w:rPr>
                <w:b/>
                <w:bCs/>
              </w:rPr>
              <w:t>360</w:t>
            </w:r>
          </w:p>
        </w:tc>
      </w:tr>
      <w:tr w:rsidR="00EC377C" w:rsidRPr="009F2CF5" w:rsidTr="009F2CF5">
        <w:trPr>
          <w:trHeight w:val="535"/>
        </w:trPr>
        <w:tc>
          <w:tcPr>
            <w:tcW w:w="580" w:type="dxa"/>
            <w:shd w:val="clear" w:color="000000" w:fill="FFFFFF"/>
            <w:vAlign w:val="center"/>
            <w:hideMark/>
          </w:tcPr>
          <w:p w:rsidR="00EC377C" w:rsidRPr="009F2CF5" w:rsidRDefault="00EC377C" w:rsidP="00B01AED">
            <w:pPr>
              <w:jc w:val="center"/>
            </w:pPr>
            <w:r>
              <w:rPr>
                <w:sz w:val="22"/>
                <w:szCs w:val="22"/>
              </w:rPr>
              <w:t>3</w:t>
            </w:r>
          </w:p>
        </w:tc>
        <w:tc>
          <w:tcPr>
            <w:tcW w:w="1843" w:type="dxa"/>
            <w:shd w:val="clear" w:color="000000" w:fill="FFFFFF"/>
            <w:vAlign w:val="center"/>
            <w:hideMark/>
          </w:tcPr>
          <w:p w:rsidR="00EC377C" w:rsidRDefault="00EC377C">
            <w:pPr>
              <w:jc w:val="center"/>
            </w:pPr>
            <w:r>
              <w:t>Фиксирующий (когезивный) бинт 10 см*20 м</w:t>
            </w:r>
          </w:p>
        </w:tc>
        <w:tc>
          <w:tcPr>
            <w:tcW w:w="4961" w:type="dxa"/>
            <w:shd w:val="clear" w:color="000000" w:fill="FFFFFF"/>
            <w:vAlign w:val="center"/>
          </w:tcPr>
          <w:p w:rsidR="00EC377C" w:rsidRDefault="00EC377C">
            <w:pPr>
              <w:jc w:val="center"/>
              <w:rPr>
                <w:sz w:val="16"/>
                <w:szCs w:val="16"/>
              </w:rPr>
            </w:pPr>
            <w:r>
              <w:rPr>
                <w:sz w:val="16"/>
                <w:szCs w:val="16"/>
              </w:rPr>
              <w:t>Фиксирующий бинт с двойным эффектом сцепления благодаря крепированной структуре ткании микроточечной пропитке клеем на синтетической основе. Не требует дополнительной фиксации концов бинта. Не должен содержать латекса. Материал: основа- содержание хлопка не менее 35%, пропитка- гипоаллергенный синтетический клей. Растяжимость-примерно 85 %, полотняное переплетение собработанной кромкой, не крошится, не расползается, предназначен для фиксирующих повязоквсех видов, в особенности на суставах и частях тела, имеющихконическую и округлую форму и легкой степени компрессии размер в растянутом виде примерно 20 метров, ширина 10 см. Срок годности не менее 3 лет.</w:t>
            </w:r>
          </w:p>
        </w:tc>
        <w:tc>
          <w:tcPr>
            <w:tcW w:w="1418" w:type="dxa"/>
            <w:shd w:val="clear" w:color="000000" w:fill="FFFFFF"/>
            <w:vAlign w:val="center"/>
            <w:hideMark/>
          </w:tcPr>
          <w:p w:rsidR="00EC377C" w:rsidRDefault="00EC377C">
            <w:pPr>
              <w:jc w:val="center"/>
              <w:rPr>
                <w:sz w:val="16"/>
                <w:szCs w:val="16"/>
              </w:rPr>
            </w:pPr>
            <w:r>
              <w:rPr>
                <w:sz w:val="16"/>
                <w:szCs w:val="16"/>
              </w:rPr>
              <w:t>упак</w:t>
            </w:r>
          </w:p>
        </w:tc>
        <w:tc>
          <w:tcPr>
            <w:tcW w:w="1559" w:type="dxa"/>
            <w:shd w:val="clear" w:color="000000" w:fill="FFFFFF"/>
            <w:vAlign w:val="center"/>
            <w:hideMark/>
          </w:tcPr>
          <w:p w:rsidR="00EC377C" w:rsidRDefault="00EC377C">
            <w:pPr>
              <w:jc w:val="center"/>
              <w:rPr>
                <w:b/>
                <w:bCs/>
              </w:rPr>
            </w:pPr>
            <w:r>
              <w:rPr>
                <w:b/>
                <w:bCs/>
              </w:rPr>
              <w:t>240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4</w:t>
            </w:r>
          </w:p>
        </w:tc>
        <w:tc>
          <w:tcPr>
            <w:tcW w:w="1843" w:type="dxa"/>
            <w:shd w:val="clear" w:color="000000" w:fill="FFFFFF"/>
            <w:vAlign w:val="center"/>
            <w:hideMark/>
          </w:tcPr>
          <w:p w:rsidR="00EC377C" w:rsidRDefault="00EC377C">
            <w:pPr>
              <w:jc w:val="center"/>
              <w:rPr>
                <w:color w:val="000000"/>
              </w:rPr>
            </w:pPr>
            <w:r>
              <w:rPr>
                <w:color w:val="000000"/>
              </w:rPr>
              <w:t xml:space="preserve">Повязка адгезивная  10*6см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b/>
                <w:bCs/>
                <w:sz w:val="16"/>
                <w:szCs w:val="16"/>
              </w:rPr>
              <w:t xml:space="preserve"> 4-х слойная</w:t>
            </w:r>
            <w:r>
              <w:rPr>
                <w:color w:val="000000"/>
                <w:sz w:val="16"/>
                <w:szCs w:val="16"/>
              </w:rPr>
              <w:t xml:space="preserve"> раневая подушечка повязки с использованием запатентованой технологии ДрайБарьер:</w:t>
            </w:r>
            <w:r>
              <w:rPr>
                <w:color w:val="000000"/>
                <w:sz w:val="16"/>
                <w:szCs w:val="16"/>
              </w:rPr>
              <w:br/>
              <w:t>- слой, контактирующий с раной: проницаемая сетка из полиуретана, предохраняющая подушечку от приклеивания к ране,</w:t>
            </w:r>
            <w:r>
              <w:rPr>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10 х 6 см Количество штук в упаковке 25.</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375</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5</w:t>
            </w:r>
          </w:p>
        </w:tc>
        <w:tc>
          <w:tcPr>
            <w:tcW w:w="1843" w:type="dxa"/>
            <w:shd w:val="clear" w:color="000000" w:fill="FFFFFF"/>
            <w:vAlign w:val="center"/>
            <w:hideMark/>
          </w:tcPr>
          <w:p w:rsidR="00EC377C" w:rsidRDefault="00EC377C">
            <w:pPr>
              <w:jc w:val="center"/>
              <w:rPr>
                <w:color w:val="000000"/>
              </w:rPr>
            </w:pPr>
            <w:r>
              <w:rPr>
                <w:color w:val="000000"/>
              </w:rPr>
              <w:t xml:space="preserve">Повязка адгезивная  10*8см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b/>
                <w:bCs/>
                <w:sz w:val="16"/>
                <w:szCs w:val="16"/>
              </w:rPr>
              <w:t xml:space="preserve"> 4-х слойная</w:t>
            </w:r>
            <w:r>
              <w:rPr>
                <w:color w:val="000000"/>
                <w:sz w:val="16"/>
                <w:szCs w:val="16"/>
              </w:rPr>
              <w:t xml:space="preserve"> раневая подушечка повязки с использованием запатентованой технологии ДрайБарьер:</w:t>
            </w:r>
            <w:r>
              <w:rPr>
                <w:color w:val="000000"/>
                <w:sz w:val="16"/>
                <w:szCs w:val="16"/>
              </w:rPr>
              <w:br/>
              <w:t>- слой, контактирующий с раной: проницаемая сетка из полиуретана, предохраняющая подушечку от приклеивания к ране,</w:t>
            </w:r>
            <w:r>
              <w:rPr>
                <w:color w:val="000000"/>
                <w:sz w:val="16"/>
                <w:szCs w:val="16"/>
              </w:rPr>
              <w:br/>
            </w:r>
            <w:r>
              <w:rPr>
                <w:color w:val="000000"/>
                <w:sz w:val="16"/>
                <w:szCs w:val="16"/>
              </w:rPr>
              <w:lastRenderedPageBreak/>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10 х 8 см Количество штук в упаковке 25.</w:t>
            </w:r>
          </w:p>
        </w:tc>
        <w:tc>
          <w:tcPr>
            <w:tcW w:w="1418" w:type="dxa"/>
            <w:shd w:val="clear" w:color="000000" w:fill="FFFFFF"/>
            <w:vAlign w:val="center"/>
            <w:hideMark/>
          </w:tcPr>
          <w:p w:rsidR="00EC377C" w:rsidRDefault="00EC377C">
            <w:pPr>
              <w:jc w:val="center"/>
              <w:rPr>
                <w:sz w:val="20"/>
                <w:szCs w:val="20"/>
              </w:rPr>
            </w:pPr>
            <w:r>
              <w:rPr>
                <w:sz w:val="20"/>
                <w:szCs w:val="20"/>
              </w:rPr>
              <w:lastRenderedPageBreak/>
              <w:t>шт</w:t>
            </w:r>
          </w:p>
        </w:tc>
        <w:tc>
          <w:tcPr>
            <w:tcW w:w="1559" w:type="dxa"/>
            <w:shd w:val="clear" w:color="000000" w:fill="FFFFFF"/>
            <w:vAlign w:val="center"/>
            <w:hideMark/>
          </w:tcPr>
          <w:p w:rsidR="00EC377C" w:rsidRDefault="00EC377C">
            <w:pPr>
              <w:jc w:val="center"/>
              <w:rPr>
                <w:b/>
                <w:bCs/>
              </w:rPr>
            </w:pPr>
            <w:r>
              <w:rPr>
                <w:b/>
                <w:bCs/>
              </w:rPr>
              <w:t>150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lastRenderedPageBreak/>
              <w:t>6</w:t>
            </w:r>
          </w:p>
        </w:tc>
        <w:tc>
          <w:tcPr>
            <w:tcW w:w="1843" w:type="dxa"/>
            <w:shd w:val="clear" w:color="000000" w:fill="FFFFFF"/>
            <w:vAlign w:val="center"/>
            <w:hideMark/>
          </w:tcPr>
          <w:p w:rsidR="00EC377C" w:rsidRDefault="00EC377C">
            <w:pPr>
              <w:jc w:val="center"/>
              <w:rPr>
                <w:color w:val="000000"/>
              </w:rPr>
            </w:pPr>
            <w:r>
              <w:rPr>
                <w:color w:val="000000"/>
              </w:rPr>
              <w:t xml:space="preserve">Повязка адгезивная  15*6см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b/>
                <w:bCs/>
                <w:sz w:val="16"/>
                <w:szCs w:val="16"/>
              </w:rPr>
              <w:t xml:space="preserve"> 4-х слойная</w:t>
            </w:r>
            <w:r>
              <w:rPr>
                <w:color w:val="000000"/>
                <w:sz w:val="16"/>
                <w:szCs w:val="16"/>
              </w:rPr>
              <w:t xml:space="preserve"> раневая подушечка повязки с использованием запатентованой технологии ДрайБарьер:</w:t>
            </w:r>
            <w:r>
              <w:rPr>
                <w:color w:val="000000"/>
                <w:sz w:val="16"/>
                <w:szCs w:val="16"/>
              </w:rPr>
              <w:br/>
              <w:t>- слой, контактирующий с раной: проницаемая сетка из полиуретана, предохраняющая подушечку от приклеивания к ране,</w:t>
            </w:r>
            <w:r>
              <w:rPr>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15 х 6 см. Количество штук в упаковке 25.</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225</w:t>
            </w:r>
          </w:p>
        </w:tc>
      </w:tr>
      <w:tr w:rsidR="00EC377C" w:rsidRPr="009F2CF5" w:rsidTr="00EC377C">
        <w:trPr>
          <w:trHeight w:val="535"/>
        </w:trPr>
        <w:tc>
          <w:tcPr>
            <w:tcW w:w="580" w:type="dxa"/>
            <w:shd w:val="clear" w:color="000000" w:fill="FFFFFF"/>
            <w:vAlign w:val="center"/>
            <w:hideMark/>
          </w:tcPr>
          <w:p w:rsidR="00EC377C" w:rsidRDefault="00EC377C" w:rsidP="00B01AED">
            <w:pPr>
              <w:jc w:val="center"/>
            </w:pPr>
            <w:r>
              <w:rPr>
                <w:sz w:val="22"/>
                <w:szCs w:val="22"/>
              </w:rPr>
              <w:t>7</w:t>
            </w:r>
          </w:p>
        </w:tc>
        <w:tc>
          <w:tcPr>
            <w:tcW w:w="1843" w:type="dxa"/>
            <w:shd w:val="clear" w:color="000000" w:fill="FFFFFF"/>
            <w:vAlign w:val="center"/>
            <w:hideMark/>
          </w:tcPr>
          <w:p w:rsidR="00EC377C" w:rsidRDefault="00EC377C">
            <w:pPr>
              <w:jc w:val="center"/>
              <w:rPr>
                <w:color w:val="000000"/>
              </w:rPr>
            </w:pPr>
            <w:r>
              <w:rPr>
                <w:color w:val="000000"/>
              </w:rPr>
              <w:t xml:space="preserve">Повязка адгезивная 15*8см  </w:t>
            </w:r>
          </w:p>
        </w:tc>
        <w:tc>
          <w:tcPr>
            <w:tcW w:w="4961" w:type="dxa"/>
            <w:shd w:val="clear" w:color="000000" w:fill="FFFFFF"/>
            <w:vAlign w:val="bottom"/>
          </w:tcPr>
          <w:p w:rsidR="00EC377C" w:rsidRDefault="00EC377C">
            <w:pPr>
              <w:rPr>
                <w:color w:val="000000"/>
                <w:sz w:val="16"/>
                <w:szCs w:val="16"/>
              </w:rPr>
            </w:pPr>
            <w:r>
              <w:rPr>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b/>
                <w:bCs/>
                <w:sz w:val="16"/>
                <w:szCs w:val="16"/>
              </w:rPr>
              <w:t xml:space="preserve"> 4-х слойная </w:t>
            </w:r>
            <w:r>
              <w:rPr>
                <w:color w:val="000000"/>
                <w:sz w:val="16"/>
                <w:szCs w:val="16"/>
              </w:rPr>
              <w:t>раневая подушечка повязки с использованием запатентованой технологии ДрайБарьер:</w:t>
            </w:r>
            <w:r>
              <w:rPr>
                <w:color w:val="000000"/>
                <w:sz w:val="16"/>
                <w:szCs w:val="16"/>
              </w:rPr>
              <w:br/>
              <w:t>- слой, контактирующий с раной: проницаемая сетка из полиуретана, предохраняющая подушечку от приклеивания к ране,</w:t>
            </w:r>
            <w:r>
              <w:rPr>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15 х 8 см. Количество штук в упаковке 25.</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375</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8</w:t>
            </w:r>
          </w:p>
        </w:tc>
        <w:tc>
          <w:tcPr>
            <w:tcW w:w="1843" w:type="dxa"/>
            <w:shd w:val="clear" w:color="000000" w:fill="FFFFFF"/>
            <w:vAlign w:val="center"/>
            <w:hideMark/>
          </w:tcPr>
          <w:p w:rsidR="00EC377C" w:rsidRDefault="00EC377C">
            <w:pPr>
              <w:jc w:val="center"/>
              <w:rPr>
                <w:color w:val="000000"/>
              </w:rPr>
            </w:pPr>
            <w:r>
              <w:rPr>
                <w:color w:val="000000"/>
              </w:rPr>
              <w:t xml:space="preserve">Повязка адгезивная  20*10см  о/р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стерильная повязка  для ухода за послеоперационными ранами, инфицированными ранами или ранами с повышенной угрозой инфицирования, особенно для ран с высоким объемом экссудата или жидкости. Основа повязки с закругленными краями для предотвращения отлипания: белый нетканый полиэстер, клеевая основа:прозрачный синтетический гипоаллергенный каучуковый клей, не содержит канифоли, латекса, тяжелых металлов и фталатов.</w:t>
            </w:r>
            <w:r>
              <w:rPr>
                <w:b/>
                <w:bCs/>
                <w:sz w:val="16"/>
                <w:szCs w:val="16"/>
              </w:rPr>
              <w:t xml:space="preserve"> 4-х слойная</w:t>
            </w:r>
            <w:r>
              <w:rPr>
                <w:color w:val="000000"/>
                <w:sz w:val="16"/>
                <w:szCs w:val="16"/>
              </w:rPr>
              <w:t xml:space="preserve"> раневая подушечка повязки с использованием запатентованой технологии ДрайБарьер:</w:t>
            </w:r>
            <w:r>
              <w:rPr>
                <w:color w:val="000000"/>
                <w:sz w:val="16"/>
                <w:szCs w:val="16"/>
              </w:rPr>
              <w:br/>
              <w:t>- слой, контактирующий с раной: проницаемая сетка из полиуретана, предохраняющая подушечку от приклеивания к ране,</w:t>
            </w:r>
            <w:r>
              <w:rPr>
                <w:color w:val="000000"/>
                <w:sz w:val="16"/>
                <w:szCs w:val="16"/>
              </w:rPr>
              <w:br/>
              <w:t>- слой передачи:абсорбирующий эксудат и премещающий в след слой- вискоза,  - слой, покрытый металлическим серебром с антибактериальными свойствами, -  удерживающий слой: сделан из доли суперабсорбента (SAF), который блокирует экссудат в толще подушечки даже при давлении.Обкладка: Силиконовая бумага  Впитывающая способность:4050 + г/м2. срок хранения 5 лет от даты производства, Условия хранения: в сухом месте. Размер: 20 х 10 см. Количество штук в упаковке 25.</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150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9</w:t>
            </w:r>
          </w:p>
        </w:tc>
        <w:tc>
          <w:tcPr>
            <w:tcW w:w="1843" w:type="dxa"/>
            <w:shd w:val="clear" w:color="000000" w:fill="FFFFFF"/>
            <w:vAlign w:val="center"/>
            <w:hideMark/>
          </w:tcPr>
          <w:p w:rsidR="00EC377C" w:rsidRDefault="00EC377C">
            <w:pPr>
              <w:jc w:val="center"/>
            </w:pPr>
            <w:r>
              <w:t xml:space="preserve">Повязка мазевая с серебром 10 см*10 см </w:t>
            </w:r>
          </w:p>
        </w:tc>
        <w:tc>
          <w:tcPr>
            <w:tcW w:w="4961" w:type="dxa"/>
            <w:shd w:val="clear" w:color="000000" w:fill="FFFFFF"/>
            <w:vAlign w:val="center"/>
          </w:tcPr>
          <w:p w:rsidR="00EC377C" w:rsidRDefault="00EC377C">
            <w:pPr>
              <w:jc w:val="center"/>
              <w:rPr>
                <w:sz w:val="16"/>
                <w:szCs w:val="16"/>
              </w:rPr>
            </w:pPr>
            <w:r>
              <w:rPr>
                <w:sz w:val="16"/>
                <w:szCs w:val="16"/>
              </w:rPr>
              <w:t>Атравматичная серебросодержащая сетчатая повязка с антибактериальными свойствами для атравматичной обработки ран с повышенной угрозой инфицирования или инфицированных ран. Материал- полиамидная сетка, покрытая элементарным серебром (ионы серебра), нейтральная мазевая пропитка на основе триглециридов жирных кислот и нейтральных жиров, без примесей вазелинов и парафинов. материал: на вес покрытия в м2(пропитка)- мин.140 г/м2; общий вес с мазью не менее 3,1 г. стерильно. Размер 10*10 см. Срок годности не менее 3 лет.</w:t>
            </w:r>
          </w:p>
        </w:tc>
        <w:tc>
          <w:tcPr>
            <w:tcW w:w="1418" w:type="dxa"/>
            <w:shd w:val="clear" w:color="000000" w:fill="FFFFFF"/>
            <w:vAlign w:val="center"/>
            <w:hideMark/>
          </w:tcPr>
          <w:p w:rsidR="00EC377C" w:rsidRDefault="00EC377C">
            <w:pPr>
              <w:jc w:val="center"/>
              <w:rPr>
                <w:sz w:val="16"/>
                <w:szCs w:val="16"/>
              </w:rPr>
            </w:pPr>
            <w:r>
              <w:rPr>
                <w:sz w:val="16"/>
                <w:szCs w:val="16"/>
              </w:rPr>
              <w:t>упак</w:t>
            </w:r>
          </w:p>
        </w:tc>
        <w:tc>
          <w:tcPr>
            <w:tcW w:w="1559" w:type="dxa"/>
            <w:shd w:val="clear" w:color="000000" w:fill="FFFFFF"/>
            <w:vAlign w:val="center"/>
            <w:hideMark/>
          </w:tcPr>
          <w:p w:rsidR="00EC377C" w:rsidRDefault="00EC377C">
            <w:pPr>
              <w:jc w:val="center"/>
              <w:rPr>
                <w:b/>
                <w:bCs/>
              </w:rPr>
            </w:pPr>
            <w:r>
              <w:rPr>
                <w:b/>
                <w:bCs/>
              </w:rPr>
              <w:t>75</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10</w:t>
            </w:r>
          </w:p>
        </w:tc>
        <w:tc>
          <w:tcPr>
            <w:tcW w:w="1843" w:type="dxa"/>
            <w:shd w:val="clear" w:color="000000" w:fill="FFFFFF"/>
            <w:vAlign w:val="center"/>
            <w:hideMark/>
          </w:tcPr>
          <w:p w:rsidR="00EC377C" w:rsidRDefault="00EC377C">
            <w:pPr>
              <w:jc w:val="center"/>
              <w:rPr>
                <w:color w:val="000000"/>
              </w:rPr>
            </w:pPr>
            <w:r>
              <w:rPr>
                <w:color w:val="000000"/>
              </w:rPr>
              <w:t xml:space="preserve">Повязка самоклеящаяся </w:t>
            </w:r>
            <w:r>
              <w:rPr>
                <w:color w:val="000000"/>
              </w:rPr>
              <w:lastRenderedPageBreak/>
              <w:t xml:space="preserve">губчатая  10*20 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lastRenderedPageBreak/>
              <w:t xml:space="preserve">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w:t>
            </w:r>
            <w:r>
              <w:rPr>
                <w:color w:val="000000"/>
                <w:sz w:val="16"/>
                <w:szCs w:val="16"/>
              </w:rPr>
              <w:lastRenderedPageBreak/>
              <w:t>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Размер 10 х 20 см</w:t>
            </w:r>
          </w:p>
        </w:tc>
        <w:tc>
          <w:tcPr>
            <w:tcW w:w="1418" w:type="dxa"/>
            <w:shd w:val="clear" w:color="000000" w:fill="FFFFFF"/>
            <w:vAlign w:val="center"/>
            <w:hideMark/>
          </w:tcPr>
          <w:p w:rsidR="00EC377C" w:rsidRDefault="00EC377C">
            <w:pPr>
              <w:jc w:val="center"/>
              <w:rPr>
                <w:sz w:val="20"/>
                <w:szCs w:val="20"/>
              </w:rPr>
            </w:pPr>
            <w:r>
              <w:rPr>
                <w:sz w:val="20"/>
                <w:szCs w:val="20"/>
              </w:rPr>
              <w:lastRenderedPageBreak/>
              <w:t>шт</w:t>
            </w:r>
          </w:p>
        </w:tc>
        <w:tc>
          <w:tcPr>
            <w:tcW w:w="1559" w:type="dxa"/>
            <w:shd w:val="clear" w:color="000000" w:fill="FFFFFF"/>
            <w:vAlign w:val="center"/>
            <w:hideMark/>
          </w:tcPr>
          <w:p w:rsidR="00EC377C" w:rsidRDefault="00EC377C">
            <w:pPr>
              <w:jc w:val="center"/>
              <w:rPr>
                <w:b/>
                <w:bCs/>
              </w:rPr>
            </w:pPr>
            <w:r>
              <w:rPr>
                <w:b/>
                <w:bCs/>
              </w:rPr>
              <w:t>150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lastRenderedPageBreak/>
              <w:t>11</w:t>
            </w:r>
          </w:p>
        </w:tc>
        <w:tc>
          <w:tcPr>
            <w:tcW w:w="1843" w:type="dxa"/>
            <w:shd w:val="clear" w:color="000000" w:fill="FFFFFF"/>
            <w:vAlign w:val="center"/>
            <w:hideMark/>
          </w:tcPr>
          <w:p w:rsidR="00EC377C" w:rsidRDefault="00EC377C">
            <w:pPr>
              <w:jc w:val="center"/>
              <w:rPr>
                <w:color w:val="000000"/>
              </w:rPr>
            </w:pPr>
            <w:r>
              <w:rPr>
                <w:color w:val="000000"/>
              </w:rPr>
              <w:t xml:space="preserve">Повязка самоклеящаяся губчатая 11*11 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Размер11 х 11 см.</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150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12</w:t>
            </w:r>
          </w:p>
        </w:tc>
        <w:tc>
          <w:tcPr>
            <w:tcW w:w="1843" w:type="dxa"/>
            <w:shd w:val="clear" w:color="000000" w:fill="FFFFFF"/>
            <w:vAlign w:val="center"/>
            <w:hideMark/>
          </w:tcPr>
          <w:p w:rsidR="00EC377C" w:rsidRDefault="00EC377C">
            <w:pPr>
              <w:jc w:val="center"/>
              <w:rPr>
                <w:color w:val="000000"/>
              </w:rPr>
            </w:pPr>
            <w:r>
              <w:rPr>
                <w:color w:val="000000"/>
              </w:rPr>
              <w:t xml:space="preserve">Повязка самоклеящаяся губчатая  15*15 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Размер. 15 х 15 см. Упаковка 5 штук</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100</w:t>
            </w:r>
          </w:p>
        </w:tc>
      </w:tr>
      <w:tr w:rsidR="00EC377C" w:rsidRPr="009F2CF5" w:rsidTr="009F2CF5">
        <w:trPr>
          <w:trHeight w:val="535"/>
        </w:trPr>
        <w:tc>
          <w:tcPr>
            <w:tcW w:w="580" w:type="dxa"/>
            <w:shd w:val="clear" w:color="000000" w:fill="FFFFFF"/>
            <w:vAlign w:val="center"/>
            <w:hideMark/>
          </w:tcPr>
          <w:p w:rsidR="00EC377C" w:rsidRDefault="00EC377C" w:rsidP="00B01AED">
            <w:pPr>
              <w:jc w:val="center"/>
            </w:pPr>
            <w:r>
              <w:rPr>
                <w:sz w:val="22"/>
                <w:szCs w:val="22"/>
              </w:rPr>
              <w:t>13</w:t>
            </w:r>
          </w:p>
        </w:tc>
        <w:tc>
          <w:tcPr>
            <w:tcW w:w="1843" w:type="dxa"/>
            <w:shd w:val="clear" w:color="000000" w:fill="FFFFFF"/>
            <w:vAlign w:val="center"/>
            <w:hideMark/>
          </w:tcPr>
          <w:p w:rsidR="00EC377C" w:rsidRDefault="00EC377C">
            <w:pPr>
              <w:jc w:val="center"/>
              <w:rPr>
                <w:color w:val="000000"/>
              </w:rPr>
            </w:pPr>
            <w:r>
              <w:rPr>
                <w:color w:val="000000"/>
              </w:rPr>
              <w:t xml:space="preserve">Повязка самоклеящаяся губчатая  8*8 см  </w:t>
            </w:r>
          </w:p>
        </w:tc>
        <w:tc>
          <w:tcPr>
            <w:tcW w:w="4961" w:type="dxa"/>
            <w:shd w:val="clear" w:color="000000" w:fill="FFFFFF"/>
            <w:vAlign w:val="center"/>
          </w:tcPr>
          <w:p w:rsidR="00EC377C" w:rsidRDefault="00EC377C">
            <w:pPr>
              <w:jc w:val="center"/>
              <w:rPr>
                <w:color w:val="000000"/>
                <w:sz w:val="16"/>
                <w:szCs w:val="16"/>
              </w:rPr>
            </w:pPr>
            <w:r>
              <w:rPr>
                <w:color w:val="000000"/>
                <w:sz w:val="16"/>
                <w:szCs w:val="16"/>
              </w:rPr>
              <w:t xml:space="preserve">Самоклеящаяся (адгезивная) губчатая повязка с воздухопроницаемым, препятствующим проникновению жидкости и микроорганизмов верхним слоем из полиуретана с клеящимся рантом для фиксации. Требования к материалу повязки: Основа повязки: Эластичный, воздухопроницаемый верхний слой из полиуретана. Абсорбирующая губка: Мягкая абсорбирующая губка из полиуретана. Клеевая основа: Акриловый клей, Оберточный лист: Силиконовая бумага. Функциональные возможности: Абсорбирующая способность: &gt; 11 г/г,  Воздухопроницаемость: &gt; 1800 г/м² в течении 24 часов. Склеивающаяся способность: ≥ 2 Н/25 мм. Стерильность: Наличие. Упаковка повязки: Индивидуальная упаковка каждой повязки. Срок годности  5 лет с даты выпуска. Размер 8 х 8 см. </w:t>
            </w:r>
          </w:p>
        </w:tc>
        <w:tc>
          <w:tcPr>
            <w:tcW w:w="1418" w:type="dxa"/>
            <w:shd w:val="clear" w:color="000000" w:fill="FFFFFF"/>
            <w:vAlign w:val="center"/>
            <w:hideMark/>
          </w:tcPr>
          <w:p w:rsidR="00EC377C" w:rsidRDefault="00EC377C">
            <w:pPr>
              <w:jc w:val="center"/>
              <w:rPr>
                <w:sz w:val="20"/>
                <w:szCs w:val="20"/>
              </w:rPr>
            </w:pPr>
            <w:r>
              <w:rPr>
                <w:sz w:val="20"/>
                <w:szCs w:val="20"/>
              </w:rPr>
              <w:t>шт</w:t>
            </w:r>
          </w:p>
        </w:tc>
        <w:tc>
          <w:tcPr>
            <w:tcW w:w="1559" w:type="dxa"/>
            <w:shd w:val="clear" w:color="000000" w:fill="FFFFFF"/>
            <w:vAlign w:val="center"/>
            <w:hideMark/>
          </w:tcPr>
          <w:p w:rsidR="00EC377C" w:rsidRDefault="00EC377C">
            <w:pPr>
              <w:jc w:val="center"/>
              <w:rPr>
                <w:b/>
                <w:bCs/>
              </w:rPr>
            </w:pPr>
            <w:r>
              <w:rPr>
                <w:b/>
                <w:bCs/>
              </w:rPr>
              <w:t>300</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7E1241" w:rsidRDefault="007E1241" w:rsidP="002A1738">
      <w:pPr>
        <w:ind w:firstLine="567"/>
        <w:jc w:val="right"/>
        <w:rPr>
          <w:sz w:val="22"/>
          <w:szCs w:val="22"/>
        </w:rPr>
      </w:pPr>
    </w:p>
    <w:p w:rsidR="007E1241" w:rsidRDefault="007E1241"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 xml:space="preserve">материалов </w:t>
      </w:r>
      <w:r w:rsidR="007E1241">
        <w:rPr>
          <w:b/>
          <w:bCs/>
        </w:rPr>
        <w:t>хирургических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rsidR="007E1241">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 xml:space="preserve">материалов </w:t>
      </w:r>
      <w:r w:rsidR="007E1241">
        <w:rPr>
          <w:rFonts w:ascii="Times New Roman" w:eastAsia="Times New Roman" w:hAnsi="Times New Roman" w:cs="Times New Roman"/>
          <w:sz w:val="24"/>
          <w:lang w:eastAsia="ru-RU"/>
        </w:rPr>
        <w:t>хирургических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F26874" w:rsidRPr="00D94D3E" w:rsidRDefault="002A1738" w:rsidP="00F26874">
      <w:pPr>
        <w:tabs>
          <w:tab w:val="left" w:pos="-360"/>
          <w:tab w:val="left" w:pos="0"/>
        </w:tabs>
        <w:ind w:firstLine="567"/>
        <w:jc w:val="both"/>
      </w:pPr>
      <w:r w:rsidRPr="00D94D3E">
        <w:t xml:space="preserve">2.5.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w:t>
      </w:r>
      <w:r w:rsidR="00F26874" w:rsidRPr="00F62FD2">
        <w:lastRenderedPageBreak/>
        <w:t xml:space="preserve">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 xml:space="preserve">Поставка товара производится </w:t>
      </w:r>
      <w:r w:rsidR="007E1241">
        <w:t>с 1 по 10 декабря 2013 года одной партией.</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7E1241">
        <w:t xml:space="preserve">4.2, </w:t>
      </w:r>
      <w:r>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7E1241" w:rsidRPr="00D94D3E" w:rsidRDefault="007E1241"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7E1241" w:rsidRDefault="002A1738" w:rsidP="007E1241">
      <w:pPr>
        <w:shd w:val="clear" w:color="auto" w:fill="FFFFFF"/>
        <w:tabs>
          <w:tab w:val="left" w:pos="0"/>
        </w:tabs>
        <w:ind w:right="-263" w:firstLine="567"/>
        <w:jc w:val="both"/>
      </w:pPr>
      <w:r w:rsidRPr="00D94D3E">
        <w:t xml:space="preserve">9.1. </w:t>
      </w:r>
      <w:r w:rsidR="007E124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7E124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2976"/>
        <w:gridCol w:w="1276"/>
        <w:gridCol w:w="1418"/>
        <w:gridCol w:w="1218"/>
        <w:gridCol w:w="1559"/>
      </w:tblGrid>
      <w:tr w:rsidR="00063F8E" w:rsidRPr="00B862B2" w:rsidTr="00063F8E">
        <w:trPr>
          <w:trHeight w:val="968"/>
        </w:trPr>
        <w:tc>
          <w:tcPr>
            <w:tcW w:w="568" w:type="dxa"/>
            <w:shd w:val="clear" w:color="auto" w:fill="auto"/>
            <w:vAlign w:val="center"/>
            <w:hideMark/>
          </w:tcPr>
          <w:p w:rsidR="00063F8E" w:rsidRPr="00B862B2" w:rsidRDefault="00063F8E" w:rsidP="00B862B2">
            <w:pPr>
              <w:jc w:val="center"/>
              <w:rPr>
                <w:b/>
              </w:rPr>
            </w:pPr>
            <w:r w:rsidRPr="00B862B2">
              <w:rPr>
                <w:b/>
                <w:sz w:val="22"/>
                <w:szCs w:val="22"/>
              </w:rPr>
              <w:t>№ п/п</w:t>
            </w:r>
          </w:p>
        </w:tc>
        <w:tc>
          <w:tcPr>
            <w:tcW w:w="1701" w:type="dxa"/>
            <w:shd w:val="clear" w:color="auto" w:fill="auto"/>
            <w:vAlign w:val="center"/>
            <w:hideMark/>
          </w:tcPr>
          <w:p w:rsidR="00063F8E" w:rsidRPr="00B862B2" w:rsidRDefault="00063F8E" w:rsidP="00B862B2">
            <w:pPr>
              <w:jc w:val="center"/>
              <w:rPr>
                <w:b/>
              </w:rPr>
            </w:pPr>
            <w:r w:rsidRPr="00B862B2">
              <w:rPr>
                <w:b/>
                <w:sz w:val="22"/>
                <w:szCs w:val="22"/>
              </w:rPr>
              <w:t>Наименование товара</w:t>
            </w:r>
          </w:p>
        </w:tc>
        <w:tc>
          <w:tcPr>
            <w:tcW w:w="2976" w:type="dxa"/>
            <w:vAlign w:val="center"/>
          </w:tcPr>
          <w:p w:rsidR="00063F8E" w:rsidRPr="00B862B2" w:rsidRDefault="00063F8E" w:rsidP="00063F8E">
            <w:pPr>
              <w:jc w:val="center"/>
              <w:rPr>
                <w:b/>
              </w:rPr>
            </w:pPr>
            <w:r>
              <w:rPr>
                <w:b/>
                <w:sz w:val="22"/>
                <w:szCs w:val="22"/>
              </w:rPr>
              <w:t>Техническое задание</w:t>
            </w:r>
          </w:p>
        </w:tc>
        <w:tc>
          <w:tcPr>
            <w:tcW w:w="1276" w:type="dxa"/>
            <w:shd w:val="clear" w:color="auto" w:fill="auto"/>
            <w:vAlign w:val="center"/>
            <w:hideMark/>
          </w:tcPr>
          <w:p w:rsidR="00063F8E" w:rsidRPr="00B862B2" w:rsidRDefault="00063F8E" w:rsidP="00B862B2">
            <w:pPr>
              <w:jc w:val="center"/>
              <w:rPr>
                <w:b/>
              </w:rPr>
            </w:pPr>
            <w:r w:rsidRPr="00B862B2">
              <w:rPr>
                <w:b/>
                <w:sz w:val="22"/>
                <w:szCs w:val="22"/>
              </w:rPr>
              <w:t>Единица измерения</w:t>
            </w:r>
          </w:p>
        </w:tc>
        <w:tc>
          <w:tcPr>
            <w:tcW w:w="1418" w:type="dxa"/>
            <w:shd w:val="clear" w:color="000000" w:fill="FFFFFF"/>
            <w:vAlign w:val="center"/>
            <w:hideMark/>
          </w:tcPr>
          <w:p w:rsidR="00063F8E" w:rsidRPr="00B862B2" w:rsidRDefault="00063F8E" w:rsidP="00B862B2">
            <w:pPr>
              <w:jc w:val="center"/>
              <w:rPr>
                <w:b/>
              </w:rPr>
            </w:pPr>
            <w:r w:rsidRPr="00B862B2">
              <w:rPr>
                <w:b/>
                <w:sz w:val="22"/>
                <w:szCs w:val="22"/>
              </w:rPr>
              <w:t>Количество</w:t>
            </w:r>
          </w:p>
        </w:tc>
        <w:tc>
          <w:tcPr>
            <w:tcW w:w="1218" w:type="dxa"/>
            <w:shd w:val="clear" w:color="000000" w:fill="FFFFFF"/>
            <w:vAlign w:val="center"/>
            <w:hideMark/>
          </w:tcPr>
          <w:p w:rsidR="00063F8E" w:rsidRPr="00B862B2" w:rsidRDefault="00063F8E"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063F8E" w:rsidRPr="00B862B2" w:rsidRDefault="00063F8E" w:rsidP="00B862B2">
            <w:pPr>
              <w:jc w:val="center"/>
              <w:rPr>
                <w:b/>
              </w:rPr>
            </w:pPr>
            <w:r w:rsidRPr="00B862B2">
              <w:rPr>
                <w:b/>
                <w:sz w:val="22"/>
                <w:szCs w:val="22"/>
              </w:rPr>
              <w:t>Общая стоимость в рублях (в т.ч. НДС)</w:t>
            </w:r>
          </w:p>
        </w:tc>
      </w:tr>
      <w:tr w:rsidR="00EC377C" w:rsidRPr="00B862B2" w:rsidTr="00063F8E">
        <w:trPr>
          <w:trHeight w:val="497"/>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pPr>
          </w:p>
        </w:tc>
        <w:tc>
          <w:tcPr>
            <w:tcW w:w="2976" w:type="dxa"/>
            <w:shd w:val="clear" w:color="000000" w:fill="FFFFFF"/>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EC377C" w:rsidRPr="00B862B2" w:rsidTr="00063F8E">
        <w:trPr>
          <w:trHeight w:val="535"/>
        </w:trPr>
        <w:tc>
          <w:tcPr>
            <w:tcW w:w="568" w:type="dxa"/>
            <w:shd w:val="clear" w:color="000000" w:fill="FFFFFF"/>
            <w:vAlign w:val="center"/>
            <w:hideMark/>
          </w:tcPr>
          <w:p w:rsidR="00EC377C" w:rsidRPr="00B862B2" w:rsidRDefault="00EC377C" w:rsidP="00B862B2">
            <w:pPr>
              <w:jc w:val="center"/>
            </w:pPr>
          </w:p>
        </w:tc>
        <w:tc>
          <w:tcPr>
            <w:tcW w:w="1701" w:type="dxa"/>
            <w:shd w:val="clear" w:color="000000" w:fill="FFFFFF"/>
            <w:vAlign w:val="center"/>
            <w:hideMark/>
          </w:tcPr>
          <w:p w:rsidR="00EC377C" w:rsidRDefault="00EC377C" w:rsidP="00EC377C">
            <w:pPr>
              <w:jc w:val="center"/>
              <w:rPr>
                <w:color w:val="000000"/>
              </w:rPr>
            </w:pPr>
          </w:p>
        </w:tc>
        <w:tc>
          <w:tcPr>
            <w:tcW w:w="2976" w:type="dxa"/>
            <w:shd w:val="clear" w:color="000000" w:fill="FFFFFF"/>
            <w:vAlign w:val="center"/>
          </w:tcPr>
          <w:p w:rsidR="00EC377C" w:rsidRDefault="00EC377C" w:rsidP="00EC377C">
            <w:pPr>
              <w:jc w:val="center"/>
              <w:rPr>
                <w:color w:val="000000"/>
                <w:sz w:val="18"/>
                <w:szCs w:val="18"/>
              </w:rPr>
            </w:pPr>
          </w:p>
        </w:tc>
        <w:tc>
          <w:tcPr>
            <w:tcW w:w="1276" w:type="dxa"/>
            <w:shd w:val="clear" w:color="000000" w:fill="FFFFFF"/>
            <w:vAlign w:val="center"/>
            <w:hideMark/>
          </w:tcPr>
          <w:p w:rsidR="00EC377C" w:rsidRPr="009F2CF5" w:rsidRDefault="00EC377C" w:rsidP="00EC377C">
            <w:pPr>
              <w:jc w:val="center"/>
            </w:pPr>
          </w:p>
        </w:tc>
        <w:tc>
          <w:tcPr>
            <w:tcW w:w="1418" w:type="dxa"/>
            <w:shd w:val="clear" w:color="000000" w:fill="FFFFFF"/>
            <w:vAlign w:val="center"/>
            <w:hideMark/>
          </w:tcPr>
          <w:p w:rsidR="00EC377C" w:rsidRPr="009F2CF5" w:rsidRDefault="00EC377C" w:rsidP="00EC377C">
            <w:pPr>
              <w:jc w:val="center"/>
            </w:pPr>
          </w:p>
        </w:tc>
        <w:tc>
          <w:tcPr>
            <w:tcW w:w="1218" w:type="dxa"/>
            <w:shd w:val="clear" w:color="000000" w:fill="FFFFFF"/>
            <w:vAlign w:val="center"/>
            <w:hideMark/>
          </w:tcPr>
          <w:p w:rsidR="00EC377C" w:rsidRPr="00B862B2" w:rsidRDefault="00EC377C" w:rsidP="00B862B2">
            <w:pPr>
              <w:jc w:val="center"/>
            </w:pPr>
          </w:p>
        </w:tc>
        <w:tc>
          <w:tcPr>
            <w:tcW w:w="1559" w:type="dxa"/>
            <w:shd w:val="clear" w:color="000000" w:fill="FFFFFF"/>
            <w:vAlign w:val="center"/>
            <w:hideMark/>
          </w:tcPr>
          <w:p w:rsidR="00EC377C" w:rsidRPr="00B862B2" w:rsidRDefault="00EC377C" w:rsidP="00B862B2">
            <w:pPr>
              <w:jc w:val="center"/>
            </w:pPr>
          </w:p>
        </w:tc>
      </w:tr>
      <w:tr w:rsidR="00063F8E" w:rsidRPr="00B862B2" w:rsidTr="00063F8E">
        <w:trPr>
          <w:trHeight w:val="467"/>
        </w:trPr>
        <w:tc>
          <w:tcPr>
            <w:tcW w:w="9157" w:type="dxa"/>
            <w:gridSpan w:val="6"/>
            <w:shd w:val="clear" w:color="000000" w:fill="FFFFFF"/>
          </w:tcPr>
          <w:p w:rsidR="00063F8E" w:rsidRPr="00B862B2" w:rsidRDefault="00063F8E" w:rsidP="00B862B2">
            <w:pPr>
              <w:jc w:val="center"/>
              <w:rPr>
                <w:b/>
              </w:rPr>
            </w:pP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w:t>
      </w:r>
      <w:r w:rsidR="007E1241">
        <w:rPr>
          <w:b/>
        </w:rPr>
        <w:t xml:space="preserve"> </w:t>
      </w:r>
      <w:r>
        <w:rPr>
          <w:b/>
        </w:rPr>
        <w:t xml:space="preserve"> </w:t>
      </w:r>
      <w:r w:rsidR="007E1241">
        <w:rPr>
          <w:b/>
        </w:rPr>
        <w:t>(</w:t>
      </w:r>
      <w:r>
        <w:rPr>
          <w:b/>
        </w:rPr>
        <w:t>начальной</w:t>
      </w:r>
      <w:r w:rsidR="007E1241">
        <w:rPr>
          <w:b/>
        </w:rPr>
        <w:t>)</w:t>
      </w:r>
      <w:r w:rsidR="008B4819" w:rsidRPr="00AB25FE">
        <w:rPr>
          <w:b/>
        </w:rPr>
        <w:t xml:space="preserve"> максимальной цены </w:t>
      </w:r>
      <w:r w:rsidR="007E1241">
        <w:rPr>
          <w:b/>
        </w:rPr>
        <w:t>договора</w:t>
      </w:r>
      <w:r w:rsidR="008B4819" w:rsidRPr="00AB25FE">
        <w:rPr>
          <w:b/>
        </w:rPr>
        <w:t xml:space="preserve"> </w:t>
      </w:r>
    </w:p>
    <w:p w:rsidR="008B4819" w:rsidRDefault="008B4819" w:rsidP="008B4819">
      <w:pPr>
        <w:jc w:val="center"/>
        <w:rPr>
          <w:b/>
        </w:rPr>
      </w:pPr>
      <w:r w:rsidRPr="00AB25FE">
        <w:rPr>
          <w:b/>
        </w:rPr>
        <w:t xml:space="preserve">на поставку </w:t>
      </w:r>
      <w:r>
        <w:rPr>
          <w:b/>
        </w:rPr>
        <w:t>материалов</w:t>
      </w:r>
      <w:r w:rsidR="00EC377C">
        <w:rPr>
          <w:b/>
        </w:rPr>
        <w:t xml:space="preserve"> хирургических</w:t>
      </w:r>
      <w:r>
        <w:rPr>
          <w:b/>
        </w:rPr>
        <w:t xml:space="preserve">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2D4B10">
        <w:rPr>
          <w:rFonts w:ascii="Calibri" w:hAnsi="Calibri"/>
          <w:b/>
          <w:bCs/>
          <w:color w:val="000000"/>
        </w:rPr>
        <w:t>49</w:t>
      </w:r>
      <w:r w:rsidR="00EC377C">
        <w:rPr>
          <w:rFonts w:ascii="Calibri" w:hAnsi="Calibri"/>
          <w:b/>
          <w:bCs/>
          <w:color w:val="000000"/>
        </w:rPr>
        <w:t>3 8</w:t>
      </w:r>
      <w:r w:rsidR="00AD31AD">
        <w:rPr>
          <w:rFonts w:ascii="Calibri" w:hAnsi="Calibri"/>
          <w:b/>
          <w:bCs/>
          <w:color w:val="000000"/>
        </w:rPr>
        <w:t>82</w:t>
      </w:r>
      <w:r w:rsidRPr="003D6E94">
        <w:rPr>
          <w:b/>
        </w:rPr>
        <w:t xml:space="preserve"> (</w:t>
      </w:r>
      <w:r w:rsidR="00EC377C">
        <w:rPr>
          <w:b/>
        </w:rPr>
        <w:t xml:space="preserve">Четыреста </w:t>
      </w:r>
      <w:r w:rsidR="00FA1294">
        <w:rPr>
          <w:b/>
        </w:rPr>
        <w:t>девяносто</w:t>
      </w:r>
      <w:r w:rsidR="00EC377C">
        <w:rPr>
          <w:b/>
        </w:rPr>
        <w:t xml:space="preserve"> три тысячи восемьсот </w:t>
      </w:r>
      <w:r w:rsidR="00AD31AD">
        <w:rPr>
          <w:b/>
        </w:rPr>
        <w:t>восемьдесят два</w:t>
      </w:r>
      <w:r w:rsidRPr="003D6E94">
        <w:rPr>
          <w:b/>
        </w:rPr>
        <w:t>) руб</w:t>
      </w:r>
      <w:r w:rsidR="00EC377C">
        <w:rPr>
          <w:b/>
        </w:rPr>
        <w:t>л</w:t>
      </w:r>
      <w:r w:rsidR="00AD31AD">
        <w:rPr>
          <w:b/>
        </w:rPr>
        <w:t>я</w:t>
      </w:r>
      <w:r w:rsidR="00EC377C">
        <w:rPr>
          <w:b/>
        </w:rPr>
        <w:t xml:space="preserve"> </w:t>
      </w:r>
      <w:r w:rsidR="00AD31AD">
        <w:rPr>
          <w:b/>
        </w:rPr>
        <w:t>8</w:t>
      </w:r>
      <w:r w:rsidR="00EC377C">
        <w:rPr>
          <w:b/>
        </w:rPr>
        <w:t>5</w:t>
      </w:r>
      <w:r w:rsidRPr="003D6E94">
        <w:rPr>
          <w:b/>
        </w:rPr>
        <w:t xml:space="preserve"> копе</w:t>
      </w:r>
      <w:r>
        <w:rPr>
          <w:b/>
        </w:rPr>
        <w:t>е</w:t>
      </w:r>
      <w:r w:rsidRPr="003D6E94">
        <w:rPr>
          <w:b/>
        </w:rPr>
        <w:t>к.</w:t>
      </w:r>
    </w:p>
    <w:p w:rsidR="008B4819" w:rsidRDefault="008B4819" w:rsidP="008B4819">
      <w:pPr>
        <w:jc w:val="both"/>
        <w:rPr>
          <w:b/>
        </w:rPr>
      </w:pPr>
    </w:p>
    <w:p w:rsidR="008B4819" w:rsidRDefault="00E454AE" w:rsidP="008B4819">
      <w:pPr>
        <w:jc w:val="both"/>
      </w:pPr>
      <w:r>
        <w:tab/>
      </w:r>
      <w:r w:rsidR="008B4819" w:rsidRPr="003D6E94">
        <w:t xml:space="preserve">Таблица 1 – </w:t>
      </w:r>
      <w:r w:rsidR="0090262A">
        <w:t xml:space="preserve">Обоснование </w:t>
      </w:r>
      <w:r w:rsidR="00EC377C">
        <w:t>(</w:t>
      </w:r>
      <w:r w:rsidR="0090262A">
        <w:t>начальной</w:t>
      </w:r>
      <w:r w:rsidR="00EC377C">
        <w:t>)</w:t>
      </w:r>
      <w:r w:rsidR="0090262A">
        <w:t xml:space="preserve"> максимальной цены </w:t>
      </w:r>
      <w:r w:rsidR="00EC377C">
        <w:t>договора</w:t>
      </w:r>
    </w:p>
    <w:tbl>
      <w:tblPr>
        <w:tblStyle w:val="af"/>
        <w:tblW w:w="0" w:type="auto"/>
        <w:tblLayout w:type="fixed"/>
        <w:tblLook w:val="04A0"/>
      </w:tblPr>
      <w:tblGrid>
        <w:gridCol w:w="2093"/>
        <w:gridCol w:w="992"/>
        <w:gridCol w:w="851"/>
        <w:gridCol w:w="1559"/>
        <w:gridCol w:w="1417"/>
        <w:gridCol w:w="1418"/>
        <w:gridCol w:w="1146"/>
        <w:gridCol w:w="1206"/>
      </w:tblGrid>
      <w:tr w:rsidR="00E454AE" w:rsidRPr="008B4819" w:rsidTr="00EC377C">
        <w:trPr>
          <w:trHeight w:val="301"/>
        </w:trPr>
        <w:tc>
          <w:tcPr>
            <w:tcW w:w="20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Наименование товара</w:t>
            </w:r>
          </w:p>
        </w:tc>
        <w:tc>
          <w:tcPr>
            <w:tcW w:w="992"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Ед.изм.</w:t>
            </w:r>
          </w:p>
        </w:tc>
        <w:tc>
          <w:tcPr>
            <w:tcW w:w="851"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Кол-во</w:t>
            </w:r>
          </w:p>
        </w:tc>
        <w:tc>
          <w:tcPr>
            <w:tcW w:w="4394" w:type="dxa"/>
            <w:gridSpan w:val="3"/>
          </w:tcPr>
          <w:p w:rsidR="00E454AE" w:rsidRPr="008B4819" w:rsidRDefault="00E454AE"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Сумма, руб.</w:t>
            </w:r>
          </w:p>
        </w:tc>
      </w:tr>
      <w:tr w:rsidR="00E454AE" w:rsidRPr="008B4819" w:rsidTr="00EC377C">
        <w:trPr>
          <w:trHeight w:val="300"/>
        </w:trPr>
        <w:tc>
          <w:tcPr>
            <w:tcW w:w="2093" w:type="dxa"/>
            <w:vMerge/>
            <w:vAlign w:val="center"/>
          </w:tcPr>
          <w:p w:rsidR="00E454AE" w:rsidRPr="008B4819" w:rsidRDefault="00E454AE" w:rsidP="008B4819">
            <w:pPr>
              <w:tabs>
                <w:tab w:val="left" w:pos="9435"/>
              </w:tabs>
              <w:jc w:val="center"/>
              <w:rPr>
                <w:b/>
                <w:sz w:val="21"/>
                <w:szCs w:val="21"/>
              </w:rPr>
            </w:pPr>
          </w:p>
        </w:tc>
        <w:tc>
          <w:tcPr>
            <w:tcW w:w="992" w:type="dxa"/>
            <w:vMerge/>
            <w:vAlign w:val="center"/>
          </w:tcPr>
          <w:p w:rsidR="00E454AE" w:rsidRPr="008B4819" w:rsidRDefault="00E454AE" w:rsidP="008B4819">
            <w:pPr>
              <w:tabs>
                <w:tab w:val="left" w:pos="9435"/>
              </w:tabs>
              <w:jc w:val="center"/>
              <w:rPr>
                <w:b/>
                <w:sz w:val="21"/>
                <w:szCs w:val="21"/>
              </w:rPr>
            </w:pPr>
          </w:p>
        </w:tc>
        <w:tc>
          <w:tcPr>
            <w:tcW w:w="851" w:type="dxa"/>
            <w:vMerge/>
            <w:vAlign w:val="center"/>
          </w:tcPr>
          <w:p w:rsidR="00E454AE" w:rsidRPr="008B4819" w:rsidRDefault="00E454AE" w:rsidP="008B4819">
            <w:pPr>
              <w:tabs>
                <w:tab w:val="left" w:pos="9435"/>
              </w:tabs>
              <w:jc w:val="center"/>
              <w:rPr>
                <w:b/>
                <w:sz w:val="21"/>
                <w:szCs w:val="21"/>
              </w:rPr>
            </w:pPr>
          </w:p>
        </w:tc>
        <w:tc>
          <w:tcPr>
            <w:tcW w:w="1559" w:type="dxa"/>
            <w:vAlign w:val="center"/>
          </w:tcPr>
          <w:p w:rsidR="00E454AE" w:rsidRPr="008B4819" w:rsidRDefault="00EC377C" w:rsidP="00EC377C">
            <w:pPr>
              <w:jc w:val="center"/>
              <w:rPr>
                <w:b/>
                <w:sz w:val="21"/>
                <w:szCs w:val="21"/>
              </w:rPr>
            </w:pPr>
            <w:r>
              <w:rPr>
                <w:b/>
                <w:sz w:val="21"/>
                <w:szCs w:val="21"/>
              </w:rPr>
              <w:t>№ 94 от 23.09.2013 г.</w:t>
            </w:r>
          </w:p>
        </w:tc>
        <w:tc>
          <w:tcPr>
            <w:tcW w:w="1417" w:type="dxa"/>
            <w:vAlign w:val="center"/>
          </w:tcPr>
          <w:p w:rsidR="00E454AE" w:rsidRPr="008B4819" w:rsidRDefault="00EC377C" w:rsidP="00EC377C">
            <w:pPr>
              <w:tabs>
                <w:tab w:val="left" w:pos="9435"/>
              </w:tabs>
              <w:jc w:val="center"/>
              <w:rPr>
                <w:b/>
                <w:sz w:val="21"/>
                <w:szCs w:val="21"/>
              </w:rPr>
            </w:pPr>
            <w:r>
              <w:rPr>
                <w:b/>
                <w:sz w:val="21"/>
                <w:szCs w:val="21"/>
              </w:rPr>
              <w:t>№ 13 от 20.09.2013 г.</w:t>
            </w:r>
          </w:p>
        </w:tc>
        <w:tc>
          <w:tcPr>
            <w:tcW w:w="1418" w:type="dxa"/>
            <w:vAlign w:val="center"/>
          </w:tcPr>
          <w:p w:rsidR="00E454AE" w:rsidRPr="008B4819" w:rsidRDefault="00EC377C" w:rsidP="008B4819">
            <w:pPr>
              <w:jc w:val="center"/>
              <w:rPr>
                <w:b/>
                <w:sz w:val="21"/>
                <w:szCs w:val="21"/>
              </w:rPr>
            </w:pPr>
            <w:r>
              <w:rPr>
                <w:b/>
                <w:sz w:val="21"/>
                <w:szCs w:val="21"/>
              </w:rPr>
              <w:t>№ 82 от 23.09.2о13 г.</w:t>
            </w:r>
          </w:p>
        </w:tc>
        <w:tc>
          <w:tcPr>
            <w:tcW w:w="1146" w:type="dxa"/>
            <w:vMerge/>
            <w:vAlign w:val="center"/>
          </w:tcPr>
          <w:p w:rsidR="00E454AE" w:rsidRPr="008B4819" w:rsidRDefault="00E454AE" w:rsidP="008B4819">
            <w:pPr>
              <w:tabs>
                <w:tab w:val="left" w:pos="9435"/>
              </w:tabs>
              <w:jc w:val="center"/>
              <w:rPr>
                <w:b/>
                <w:sz w:val="21"/>
                <w:szCs w:val="21"/>
              </w:rPr>
            </w:pPr>
          </w:p>
        </w:tc>
        <w:tc>
          <w:tcPr>
            <w:tcW w:w="1206" w:type="dxa"/>
            <w:vMerge/>
            <w:vAlign w:val="center"/>
          </w:tcPr>
          <w:p w:rsidR="00E454AE" w:rsidRPr="008B4819" w:rsidRDefault="00E454AE" w:rsidP="008B4819">
            <w:pPr>
              <w:tabs>
                <w:tab w:val="left" w:pos="9435"/>
              </w:tabs>
              <w:jc w:val="center"/>
              <w:rPr>
                <w:b/>
                <w:sz w:val="21"/>
                <w:szCs w:val="21"/>
              </w:rPr>
            </w:pPr>
          </w:p>
        </w:tc>
      </w:tr>
      <w:tr w:rsidR="002D4B10" w:rsidRPr="008B4819" w:rsidTr="002D4B10">
        <w:tc>
          <w:tcPr>
            <w:tcW w:w="2093" w:type="dxa"/>
            <w:vAlign w:val="center"/>
          </w:tcPr>
          <w:p w:rsidR="002D4B10" w:rsidRDefault="002D4B10" w:rsidP="00EC377C">
            <w:pPr>
              <w:jc w:val="center"/>
              <w:rPr>
                <w:sz w:val="24"/>
                <w:szCs w:val="24"/>
              </w:rPr>
            </w:pPr>
            <w:r>
              <w:t xml:space="preserve">Фиксирующий (когезивный) бинт 6 см*20 м </w:t>
            </w:r>
          </w:p>
        </w:tc>
        <w:tc>
          <w:tcPr>
            <w:tcW w:w="992" w:type="dxa"/>
            <w:vAlign w:val="center"/>
          </w:tcPr>
          <w:p w:rsidR="002D4B10" w:rsidRDefault="002D4B10" w:rsidP="00EC377C">
            <w:pPr>
              <w:jc w:val="center"/>
              <w:rPr>
                <w:sz w:val="16"/>
                <w:szCs w:val="16"/>
              </w:rPr>
            </w:pPr>
            <w:r>
              <w:rPr>
                <w:sz w:val="16"/>
                <w:szCs w:val="16"/>
              </w:rPr>
              <w:t>упак</w:t>
            </w:r>
          </w:p>
        </w:tc>
        <w:tc>
          <w:tcPr>
            <w:tcW w:w="851" w:type="dxa"/>
            <w:vAlign w:val="center"/>
          </w:tcPr>
          <w:p w:rsidR="002D4B10" w:rsidRDefault="002D4B10" w:rsidP="00EC377C">
            <w:pPr>
              <w:jc w:val="center"/>
              <w:rPr>
                <w:b/>
                <w:bCs/>
                <w:sz w:val="24"/>
                <w:szCs w:val="24"/>
              </w:rPr>
            </w:pPr>
            <w:r>
              <w:rPr>
                <w:b/>
                <w:bCs/>
              </w:rPr>
              <w:t>240</w:t>
            </w:r>
          </w:p>
        </w:tc>
        <w:tc>
          <w:tcPr>
            <w:tcW w:w="1559" w:type="dxa"/>
            <w:vAlign w:val="center"/>
          </w:tcPr>
          <w:p w:rsidR="002D4B10" w:rsidRPr="008B4819" w:rsidRDefault="002D4B10" w:rsidP="008B4819">
            <w:pPr>
              <w:tabs>
                <w:tab w:val="left" w:pos="9435"/>
              </w:tabs>
              <w:jc w:val="center"/>
            </w:pPr>
            <w:r>
              <w:t>322,30</w:t>
            </w:r>
          </w:p>
        </w:tc>
        <w:tc>
          <w:tcPr>
            <w:tcW w:w="1417" w:type="dxa"/>
            <w:vAlign w:val="center"/>
          </w:tcPr>
          <w:p w:rsidR="002D4B10" w:rsidRPr="008B4819" w:rsidRDefault="002D4B10" w:rsidP="00EC377C">
            <w:pPr>
              <w:tabs>
                <w:tab w:val="left" w:pos="9435"/>
              </w:tabs>
              <w:jc w:val="center"/>
            </w:pPr>
            <w:r>
              <w:t>338,60</w:t>
            </w:r>
          </w:p>
        </w:tc>
        <w:tc>
          <w:tcPr>
            <w:tcW w:w="1418" w:type="dxa"/>
            <w:vAlign w:val="center"/>
          </w:tcPr>
          <w:p w:rsidR="002D4B10" w:rsidRPr="008B4819" w:rsidRDefault="002D4B10" w:rsidP="008B4819">
            <w:pPr>
              <w:tabs>
                <w:tab w:val="left" w:pos="9435"/>
              </w:tabs>
              <w:jc w:val="center"/>
            </w:pPr>
            <w:r>
              <w:t>331,96</w:t>
            </w:r>
          </w:p>
        </w:tc>
        <w:tc>
          <w:tcPr>
            <w:tcW w:w="1146" w:type="dxa"/>
            <w:vAlign w:val="center"/>
          </w:tcPr>
          <w:p w:rsidR="002D4B10" w:rsidRPr="008B4819" w:rsidRDefault="002D4B10" w:rsidP="00AD31AD">
            <w:pPr>
              <w:tabs>
                <w:tab w:val="left" w:pos="9435"/>
              </w:tabs>
              <w:jc w:val="center"/>
            </w:pPr>
            <w:r>
              <w:t>330,9</w:t>
            </w:r>
            <w:r w:rsidR="00AD31AD">
              <w:t>5</w:t>
            </w:r>
          </w:p>
        </w:tc>
        <w:tc>
          <w:tcPr>
            <w:tcW w:w="1206" w:type="dxa"/>
            <w:vAlign w:val="center"/>
          </w:tcPr>
          <w:p w:rsidR="002D4B10" w:rsidRPr="002D4B10" w:rsidRDefault="002D4B10" w:rsidP="00AD31AD">
            <w:pPr>
              <w:tabs>
                <w:tab w:val="left" w:pos="9435"/>
              </w:tabs>
              <w:jc w:val="center"/>
            </w:pPr>
            <w:r w:rsidRPr="002D4B10">
              <w:t>79</w:t>
            </w:r>
            <w:r>
              <w:t xml:space="preserve"> </w:t>
            </w:r>
            <w:r w:rsidRPr="002D4B10">
              <w:t>42</w:t>
            </w:r>
            <w:r w:rsidR="00AD31AD">
              <w:t>8</w:t>
            </w:r>
            <w:r w:rsidRPr="002D4B10">
              <w:t>,</w:t>
            </w:r>
            <w:r w:rsidR="00AD31AD">
              <w:t>0</w:t>
            </w:r>
            <w:r>
              <w:t>0</w:t>
            </w:r>
          </w:p>
        </w:tc>
      </w:tr>
      <w:tr w:rsidR="002D4B10" w:rsidRPr="008B4819" w:rsidTr="002D4B10">
        <w:tc>
          <w:tcPr>
            <w:tcW w:w="2093" w:type="dxa"/>
            <w:vAlign w:val="center"/>
          </w:tcPr>
          <w:p w:rsidR="002D4B10" w:rsidRDefault="002D4B10" w:rsidP="00EC377C">
            <w:pPr>
              <w:jc w:val="center"/>
              <w:rPr>
                <w:sz w:val="24"/>
                <w:szCs w:val="24"/>
              </w:rPr>
            </w:pPr>
            <w:r>
              <w:t xml:space="preserve">Фиксирующий (когезивный) бинт 8 см*20 м </w:t>
            </w:r>
          </w:p>
        </w:tc>
        <w:tc>
          <w:tcPr>
            <w:tcW w:w="992" w:type="dxa"/>
            <w:vAlign w:val="center"/>
          </w:tcPr>
          <w:p w:rsidR="002D4B10" w:rsidRDefault="002D4B10" w:rsidP="00EC377C">
            <w:pPr>
              <w:jc w:val="center"/>
              <w:rPr>
                <w:sz w:val="16"/>
                <w:szCs w:val="16"/>
              </w:rPr>
            </w:pPr>
            <w:r>
              <w:rPr>
                <w:sz w:val="16"/>
                <w:szCs w:val="16"/>
              </w:rPr>
              <w:t>упак</w:t>
            </w:r>
          </w:p>
        </w:tc>
        <w:tc>
          <w:tcPr>
            <w:tcW w:w="851" w:type="dxa"/>
            <w:vAlign w:val="center"/>
          </w:tcPr>
          <w:p w:rsidR="002D4B10" w:rsidRDefault="002D4B10" w:rsidP="00EC377C">
            <w:pPr>
              <w:jc w:val="center"/>
              <w:rPr>
                <w:b/>
                <w:bCs/>
                <w:sz w:val="24"/>
                <w:szCs w:val="24"/>
              </w:rPr>
            </w:pPr>
            <w:r>
              <w:rPr>
                <w:b/>
                <w:bCs/>
              </w:rPr>
              <w:t>360</w:t>
            </w:r>
          </w:p>
        </w:tc>
        <w:tc>
          <w:tcPr>
            <w:tcW w:w="1559" w:type="dxa"/>
            <w:vAlign w:val="center"/>
          </w:tcPr>
          <w:p w:rsidR="002D4B10" w:rsidRPr="008B4819" w:rsidRDefault="002D4B10" w:rsidP="008B4819">
            <w:pPr>
              <w:tabs>
                <w:tab w:val="left" w:pos="9435"/>
              </w:tabs>
              <w:jc w:val="center"/>
            </w:pPr>
            <w:r>
              <w:t>388,30</w:t>
            </w:r>
          </w:p>
        </w:tc>
        <w:tc>
          <w:tcPr>
            <w:tcW w:w="1417" w:type="dxa"/>
            <w:vAlign w:val="center"/>
          </w:tcPr>
          <w:p w:rsidR="002D4B10" w:rsidRPr="008B4819" w:rsidRDefault="002D4B10" w:rsidP="00EC377C">
            <w:pPr>
              <w:tabs>
                <w:tab w:val="left" w:pos="9435"/>
              </w:tabs>
              <w:jc w:val="center"/>
            </w:pPr>
            <w:r>
              <w:t>407,94</w:t>
            </w:r>
          </w:p>
        </w:tc>
        <w:tc>
          <w:tcPr>
            <w:tcW w:w="1418" w:type="dxa"/>
            <w:vAlign w:val="center"/>
          </w:tcPr>
          <w:p w:rsidR="002D4B10" w:rsidRPr="008B4819" w:rsidRDefault="002D4B10" w:rsidP="008B4819">
            <w:pPr>
              <w:tabs>
                <w:tab w:val="left" w:pos="9435"/>
              </w:tabs>
              <w:jc w:val="center"/>
            </w:pPr>
            <w:r>
              <w:t>399,94</w:t>
            </w:r>
          </w:p>
        </w:tc>
        <w:tc>
          <w:tcPr>
            <w:tcW w:w="1146" w:type="dxa"/>
            <w:vAlign w:val="center"/>
          </w:tcPr>
          <w:p w:rsidR="002D4B10" w:rsidRPr="008B4819" w:rsidRDefault="002D4B10" w:rsidP="008B4819">
            <w:pPr>
              <w:tabs>
                <w:tab w:val="left" w:pos="9435"/>
              </w:tabs>
              <w:jc w:val="center"/>
            </w:pPr>
            <w:r>
              <w:t>398,73</w:t>
            </w:r>
          </w:p>
        </w:tc>
        <w:tc>
          <w:tcPr>
            <w:tcW w:w="1206" w:type="dxa"/>
            <w:vAlign w:val="center"/>
          </w:tcPr>
          <w:p w:rsidR="002D4B10" w:rsidRPr="002D4B10" w:rsidRDefault="002D4B10" w:rsidP="002D4B10">
            <w:pPr>
              <w:tabs>
                <w:tab w:val="left" w:pos="9435"/>
              </w:tabs>
              <w:jc w:val="center"/>
            </w:pPr>
            <w:r w:rsidRPr="002D4B10">
              <w:t>143</w:t>
            </w:r>
            <w:r>
              <w:t xml:space="preserve"> </w:t>
            </w:r>
            <w:r w:rsidRPr="002D4B10">
              <w:t>542,8</w:t>
            </w:r>
            <w:r>
              <w:t>0</w:t>
            </w:r>
          </w:p>
        </w:tc>
      </w:tr>
      <w:tr w:rsidR="002D4B10" w:rsidRPr="008B4819" w:rsidTr="002D4B10">
        <w:tc>
          <w:tcPr>
            <w:tcW w:w="2093" w:type="dxa"/>
            <w:vAlign w:val="center"/>
          </w:tcPr>
          <w:p w:rsidR="002D4B10" w:rsidRDefault="002D4B10" w:rsidP="00EC377C">
            <w:pPr>
              <w:jc w:val="center"/>
              <w:rPr>
                <w:sz w:val="24"/>
                <w:szCs w:val="24"/>
              </w:rPr>
            </w:pPr>
            <w:r>
              <w:t>Фиксирующий (когезивный) бинт 10 см*20 м</w:t>
            </w:r>
          </w:p>
        </w:tc>
        <w:tc>
          <w:tcPr>
            <w:tcW w:w="992" w:type="dxa"/>
            <w:vAlign w:val="center"/>
          </w:tcPr>
          <w:p w:rsidR="002D4B10" w:rsidRDefault="002D4B10" w:rsidP="00EC377C">
            <w:pPr>
              <w:jc w:val="center"/>
              <w:rPr>
                <w:sz w:val="16"/>
                <w:szCs w:val="16"/>
              </w:rPr>
            </w:pPr>
            <w:r>
              <w:rPr>
                <w:sz w:val="16"/>
                <w:szCs w:val="16"/>
              </w:rPr>
              <w:t>упак</w:t>
            </w:r>
          </w:p>
        </w:tc>
        <w:tc>
          <w:tcPr>
            <w:tcW w:w="851" w:type="dxa"/>
            <w:vAlign w:val="center"/>
          </w:tcPr>
          <w:p w:rsidR="002D4B10" w:rsidRDefault="002D4B10" w:rsidP="00EC377C">
            <w:pPr>
              <w:jc w:val="center"/>
              <w:rPr>
                <w:b/>
                <w:bCs/>
                <w:sz w:val="24"/>
                <w:szCs w:val="24"/>
              </w:rPr>
            </w:pPr>
            <w:r>
              <w:rPr>
                <w:b/>
                <w:bCs/>
              </w:rPr>
              <w:t>240</w:t>
            </w:r>
          </w:p>
        </w:tc>
        <w:tc>
          <w:tcPr>
            <w:tcW w:w="1559" w:type="dxa"/>
            <w:vAlign w:val="center"/>
          </w:tcPr>
          <w:p w:rsidR="002D4B10" w:rsidRPr="008B4819" w:rsidRDefault="002D4B10" w:rsidP="008B4819">
            <w:pPr>
              <w:tabs>
                <w:tab w:val="left" w:pos="9435"/>
              </w:tabs>
              <w:jc w:val="center"/>
            </w:pPr>
            <w:r>
              <w:t>477,40</w:t>
            </w:r>
          </w:p>
        </w:tc>
        <w:tc>
          <w:tcPr>
            <w:tcW w:w="1417" w:type="dxa"/>
            <w:vAlign w:val="center"/>
          </w:tcPr>
          <w:p w:rsidR="002D4B10" w:rsidRPr="008B4819" w:rsidRDefault="002D4B10" w:rsidP="00EC377C">
            <w:pPr>
              <w:tabs>
                <w:tab w:val="left" w:pos="9435"/>
              </w:tabs>
              <w:jc w:val="center"/>
            </w:pPr>
            <w:r>
              <w:t>501,55</w:t>
            </w:r>
          </w:p>
        </w:tc>
        <w:tc>
          <w:tcPr>
            <w:tcW w:w="1418" w:type="dxa"/>
            <w:vAlign w:val="center"/>
          </w:tcPr>
          <w:p w:rsidR="002D4B10" w:rsidRPr="008B4819" w:rsidRDefault="002D4B10" w:rsidP="008B4819">
            <w:pPr>
              <w:tabs>
                <w:tab w:val="left" w:pos="9435"/>
              </w:tabs>
              <w:jc w:val="center"/>
            </w:pPr>
            <w:r>
              <w:t>491,72</w:t>
            </w:r>
          </w:p>
        </w:tc>
        <w:tc>
          <w:tcPr>
            <w:tcW w:w="1146" w:type="dxa"/>
            <w:vAlign w:val="center"/>
          </w:tcPr>
          <w:p w:rsidR="002D4B10" w:rsidRPr="008B4819" w:rsidRDefault="002D4B10" w:rsidP="008B4819">
            <w:pPr>
              <w:tabs>
                <w:tab w:val="left" w:pos="9435"/>
              </w:tabs>
              <w:jc w:val="center"/>
            </w:pPr>
            <w:r>
              <w:t>490,22</w:t>
            </w:r>
          </w:p>
        </w:tc>
        <w:tc>
          <w:tcPr>
            <w:tcW w:w="1206" w:type="dxa"/>
            <w:vAlign w:val="center"/>
          </w:tcPr>
          <w:p w:rsidR="002D4B10" w:rsidRPr="002D4B10" w:rsidRDefault="002D4B10" w:rsidP="002D4B10">
            <w:pPr>
              <w:tabs>
                <w:tab w:val="left" w:pos="9435"/>
              </w:tabs>
              <w:jc w:val="center"/>
            </w:pPr>
            <w:r w:rsidRPr="002D4B10">
              <w:t>117</w:t>
            </w:r>
            <w:r>
              <w:t xml:space="preserve"> </w:t>
            </w:r>
            <w:r w:rsidRPr="002D4B10">
              <w:t>652,8</w:t>
            </w:r>
            <w:r>
              <w:t>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адгезивная  10*6см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375</w:t>
            </w:r>
          </w:p>
        </w:tc>
        <w:tc>
          <w:tcPr>
            <w:tcW w:w="1559" w:type="dxa"/>
            <w:vAlign w:val="center"/>
          </w:tcPr>
          <w:p w:rsidR="002D4B10" w:rsidRPr="008B4819" w:rsidRDefault="002D4B10" w:rsidP="008B4819">
            <w:pPr>
              <w:tabs>
                <w:tab w:val="left" w:pos="9435"/>
              </w:tabs>
              <w:jc w:val="center"/>
            </w:pPr>
            <w:r>
              <w:t>7,96</w:t>
            </w:r>
          </w:p>
        </w:tc>
        <w:tc>
          <w:tcPr>
            <w:tcW w:w="1417" w:type="dxa"/>
            <w:vAlign w:val="center"/>
          </w:tcPr>
          <w:p w:rsidR="002D4B10" w:rsidRPr="008B4819" w:rsidRDefault="002D4B10" w:rsidP="00EC377C">
            <w:pPr>
              <w:tabs>
                <w:tab w:val="left" w:pos="9435"/>
              </w:tabs>
              <w:jc w:val="center"/>
            </w:pPr>
            <w:r>
              <w:t>8,36</w:t>
            </w:r>
          </w:p>
        </w:tc>
        <w:tc>
          <w:tcPr>
            <w:tcW w:w="1418" w:type="dxa"/>
            <w:vAlign w:val="center"/>
          </w:tcPr>
          <w:p w:rsidR="002D4B10" w:rsidRPr="008B4819" w:rsidRDefault="002D4B10" w:rsidP="008B4819">
            <w:pPr>
              <w:tabs>
                <w:tab w:val="left" w:pos="9435"/>
              </w:tabs>
              <w:jc w:val="center"/>
            </w:pPr>
            <w:r>
              <w:t>8,19</w:t>
            </w:r>
          </w:p>
        </w:tc>
        <w:tc>
          <w:tcPr>
            <w:tcW w:w="1146" w:type="dxa"/>
            <w:vAlign w:val="center"/>
          </w:tcPr>
          <w:p w:rsidR="002D4B10" w:rsidRPr="008B4819" w:rsidRDefault="002D4B10" w:rsidP="008B4819">
            <w:pPr>
              <w:tabs>
                <w:tab w:val="left" w:pos="9435"/>
              </w:tabs>
              <w:jc w:val="center"/>
            </w:pPr>
            <w:r>
              <w:t>8,17</w:t>
            </w:r>
          </w:p>
        </w:tc>
        <w:tc>
          <w:tcPr>
            <w:tcW w:w="1206" w:type="dxa"/>
            <w:vAlign w:val="center"/>
          </w:tcPr>
          <w:p w:rsidR="002D4B10" w:rsidRPr="002D4B10" w:rsidRDefault="002D4B10" w:rsidP="002D4B10">
            <w:pPr>
              <w:tabs>
                <w:tab w:val="left" w:pos="9435"/>
              </w:tabs>
              <w:jc w:val="center"/>
            </w:pPr>
            <w:r w:rsidRPr="002D4B10">
              <w:t>3</w:t>
            </w:r>
            <w:r>
              <w:t xml:space="preserve"> </w:t>
            </w:r>
            <w:r w:rsidRPr="002D4B10">
              <w:t>063,75</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адгезивная  10*8см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150</w:t>
            </w:r>
          </w:p>
        </w:tc>
        <w:tc>
          <w:tcPr>
            <w:tcW w:w="1559" w:type="dxa"/>
            <w:vAlign w:val="center"/>
          </w:tcPr>
          <w:p w:rsidR="002D4B10" w:rsidRPr="008B4819" w:rsidRDefault="002D4B10" w:rsidP="008B4819">
            <w:pPr>
              <w:tabs>
                <w:tab w:val="left" w:pos="9435"/>
              </w:tabs>
              <w:jc w:val="center"/>
            </w:pPr>
            <w:r>
              <w:t>10,58</w:t>
            </w:r>
          </w:p>
        </w:tc>
        <w:tc>
          <w:tcPr>
            <w:tcW w:w="1417" w:type="dxa"/>
            <w:vAlign w:val="center"/>
          </w:tcPr>
          <w:p w:rsidR="002D4B10" w:rsidRPr="008B4819" w:rsidRDefault="002D4B10" w:rsidP="00EC377C">
            <w:pPr>
              <w:tabs>
                <w:tab w:val="left" w:pos="9435"/>
              </w:tabs>
              <w:jc w:val="center"/>
            </w:pPr>
            <w:r>
              <w:t>11,11</w:t>
            </w:r>
          </w:p>
        </w:tc>
        <w:tc>
          <w:tcPr>
            <w:tcW w:w="1418" w:type="dxa"/>
            <w:vAlign w:val="center"/>
          </w:tcPr>
          <w:p w:rsidR="002D4B10" w:rsidRPr="008B4819" w:rsidRDefault="002D4B10" w:rsidP="008B4819">
            <w:pPr>
              <w:tabs>
                <w:tab w:val="left" w:pos="9435"/>
              </w:tabs>
              <w:jc w:val="center"/>
            </w:pPr>
            <w:r>
              <w:t>10,89</w:t>
            </w:r>
          </w:p>
        </w:tc>
        <w:tc>
          <w:tcPr>
            <w:tcW w:w="1146" w:type="dxa"/>
            <w:vAlign w:val="center"/>
          </w:tcPr>
          <w:p w:rsidR="002D4B10" w:rsidRPr="008B4819" w:rsidRDefault="002D4B10" w:rsidP="008B4819">
            <w:pPr>
              <w:tabs>
                <w:tab w:val="left" w:pos="9435"/>
              </w:tabs>
              <w:jc w:val="center"/>
            </w:pPr>
            <w:r>
              <w:t>10,86</w:t>
            </w:r>
          </w:p>
        </w:tc>
        <w:tc>
          <w:tcPr>
            <w:tcW w:w="1206" w:type="dxa"/>
            <w:vAlign w:val="center"/>
          </w:tcPr>
          <w:p w:rsidR="002D4B10" w:rsidRPr="002D4B10" w:rsidRDefault="002D4B10" w:rsidP="002D4B10">
            <w:pPr>
              <w:tabs>
                <w:tab w:val="left" w:pos="9435"/>
              </w:tabs>
              <w:jc w:val="center"/>
            </w:pPr>
            <w:r w:rsidRPr="002D4B10">
              <w:t>1</w:t>
            </w:r>
            <w:r>
              <w:t xml:space="preserve"> </w:t>
            </w:r>
            <w:r w:rsidRPr="002D4B10">
              <w:t>629</w:t>
            </w:r>
            <w:r>
              <w:t>,00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адгезивная  15*6см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225</w:t>
            </w:r>
          </w:p>
        </w:tc>
        <w:tc>
          <w:tcPr>
            <w:tcW w:w="1559" w:type="dxa"/>
            <w:vAlign w:val="center"/>
          </w:tcPr>
          <w:p w:rsidR="002D4B10" w:rsidRPr="008B4819" w:rsidRDefault="002D4B10" w:rsidP="008B4819">
            <w:pPr>
              <w:tabs>
                <w:tab w:val="left" w:pos="9435"/>
              </w:tabs>
              <w:jc w:val="center"/>
            </w:pPr>
            <w:r>
              <w:t>11,55</w:t>
            </w:r>
          </w:p>
        </w:tc>
        <w:tc>
          <w:tcPr>
            <w:tcW w:w="1417" w:type="dxa"/>
            <w:vAlign w:val="center"/>
          </w:tcPr>
          <w:p w:rsidR="002D4B10" w:rsidRPr="008B4819" w:rsidRDefault="002D4B10" w:rsidP="00EC377C">
            <w:pPr>
              <w:tabs>
                <w:tab w:val="left" w:pos="9435"/>
              </w:tabs>
              <w:jc w:val="center"/>
            </w:pPr>
            <w:r>
              <w:t>12,13</w:t>
            </w:r>
          </w:p>
        </w:tc>
        <w:tc>
          <w:tcPr>
            <w:tcW w:w="1418" w:type="dxa"/>
            <w:vAlign w:val="center"/>
          </w:tcPr>
          <w:p w:rsidR="002D4B10" w:rsidRPr="008B4819" w:rsidRDefault="002D4B10" w:rsidP="008B4819">
            <w:pPr>
              <w:tabs>
                <w:tab w:val="left" w:pos="9435"/>
              </w:tabs>
              <w:jc w:val="center"/>
            </w:pPr>
            <w:r>
              <w:t>11,89</w:t>
            </w:r>
          </w:p>
        </w:tc>
        <w:tc>
          <w:tcPr>
            <w:tcW w:w="1146" w:type="dxa"/>
            <w:vAlign w:val="center"/>
          </w:tcPr>
          <w:p w:rsidR="002D4B10" w:rsidRPr="008B4819" w:rsidRDefault="002D4B10" w:rsidP="008B4819">
            <w:pPr>
              <w:tabs>
                <w:tab w:val="left" w:pos="9435"/>
              </w:tabs>
              <w:jc w:val="center"/>
            </w:pPr>
            <w:r>
              <w:t>11,86</w:t>
            </w:r>
          </w:p>
        </w:tc>
        <w:tc>
          <w:tcPr>
            <w:tcW w:w="1206" w:type="dxa"/>
            <w:vAlign w:val="center"/>
          </w:tcPr>
          <w:p w:rsidR="002D4B10" w:rsidRPr="002D4B10" w:rsidRDefault="002D4B10" w:rsidP="002D4B10">
            <w:pPr>
              <w:tabs>
                <w:tab w:val="left" w:pos="9435"/>
              </w:tabs>
              <w:jc w:val="center"/>
            </w:pPr>
            <w:r w:rsidRPr="002D4B10">
              <w:t>2</w:t>
            </w:r>
            <w:r>
              <w:t xml:space="preserve"> </w:t>
            </w:r>
            <w:r w:rsidRPr="002D4B10">
              <w:t>668,5</w:t>
            </w:r>
            <w:r>
              <w:t>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адгезивная 15*8см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375</w:t>
            </w:r>
          </w:p>
        </w:tc>
        <w:tc>
          <w:tcPr>
            <w:tcW w:w="1559" w:type="dxa"/>
            <w:vAlign w:val="center"/>
          </w:tcPr>
          <w:p w:rsidR="002D4B10" w:rsidRPr="008B4819" w:rsidRDefault="002D4B10" w:rsidP="008B4819">
            <w:pPr>
              <w:tabs>
                <w:tab w:val="left" w:pos="9435"/>
              </w:tabs>
              <w:jc w:val="center"/>
            </w:pPr>
            <w:r>
              <w:t>13,56</w:t>
            </w:r>
          </w:p>
        </w:tc>
        <w:tc>
          <w:tcPr>
            <w:tcW w:w="1417" w:type="dxa"/>
            <w:vAlign w:val="center"/>
          </w:tcPr>
          <w:p w:rsidR="002D4B10" w:rsidRPr="008B4819" w:rsidRDefault="002D4B10" w:rsidP="00EC377C">
            <w:pPr>
              <w:tabs>
                <w:tab w:val="left" w:pos="9435"/>
              </w:tabs>
              <w:jc w:val="center"/>
            </w:pPr>
            <w:r>
              <w:t>14,24</w:t>
            </w:r>
          </w:p>
        </w:tc>
        <w:tc>
          <w:tcPr>
            <w:tcW w:w="1418" w:type="dxa"/>
            <w:vAlign w:val="center"/>
          </w:tcPr>
          <w:p w:rsidR="002D4B10" w:rsidRPr="008B4819" w:rsidRDefault="002D4B10" w:rsidP="008B4819">
            <w:pPr>
              <w:tabs>
                <w:tab w:val="left" w:pos="9435"/>
              </w:tabs>
              <w:jc w:val="center"/>
            </w:pPr>
            <w:r>
              <w:t>13,96</w:t>
            </w:r>
          </w:p>
        </w:tc>
        <w:tc>
          <w:tcPr>
            <w:tcW w:w="1146" w:type="dxa"/>
            <w:vAlign w:val="center"/>
          </w:tcPr>
          <w:p w:rsidR="002D4B10" w:rsidRPr="008B4819" w:rsidRDefault="002D4B10" w:rsidP="008B4819">
            <w:pPr>
              <w:tabs>
                <w:tab w:val="left" w:pos="9435"/>
              </w:tabs>
              <w:jc w:val="center"/>
            </w:pPr>
            <w:r>
              <w:t>13,92</w:t>
            </w:r>
          </w:p>
        </w:tc>
        <w:tc>
          <w:tcPr>
            <w:tcW w:w="1206" w:type="dxa"/>
            <w:vAlign w:val="center"/>
          </w:tcPr>
          <w:p w:rsidR="002D4B10" w:rsidRPr="002D4B10" w:rsidRDefault="002D4B10" w:rsidP="002D4B10">
            <w:pPr>
              <w:tabs>
                <w:tab w:val="left" w:pos="9435"/>
              </w:tabs>
              <w:jc w:val="center"/>
            </w:pPr>
            <w:r w:rsidRPr="002D4B10">
              <w:t>5</w:t>
            </w:r>
            <w:r>
              <w:t> </w:t>
            </w:r>
            <w:r w:rsidRPr="002D4B10">
              <w:t>220</w:t>
            </w:r>
            <w:r>
              <w:t>,00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адгезивная  20*10см  о/р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150</w:t>
            </w:r>
          </w:p>
        </w:tc>
        <w:tc>
          <w:tcPr>
            <w:tcW w:w="1559" w:type="dxa"/>
            <w:vAlign w:val="center"/>
          </w:tcPr>
          <w:p w:rsidR="002D4B10" w:rsidRPr="008B4819" w:rsidRDefault="002D4B10" w:rsidP="008B4819">
            <w:pPr>
              <w:tabs>
                <w:tab w:val="left" w:pos="9435"/>
              </w:tabs>
              <w:jc w:val="center"/>
            </w:pPr>
            <w:r>
              <w:t>22,84</w:t>
            </w:r>
          </w:p>
        </w:tc>
        <w:tc>
          <w:tcPr>
            <w:tcW w:w="1417" w:type="dxa"/>
            <w:vAlign w:val="center"/>
          </w:tcPr>
          <w:p w:rsidR="002D4B10" w:rsidRPr="008B4819" w:rsidRDefault="002D4B10" w:rsidP="00EC377C">
            <w:pPr>
              <w:tabs>
                <w:tab w:val="left" w:pos="9435"/>
              </w:tabs>
              <w:jc w:val="center"/>
            </w:pPr>
            <w:r>
              <w:t>23,99</w:t>
            </w:r>
          </w:p>
        </w:tc>
        <w:tc>
          <w:tcPr>
            <w:tcW w:w="1418" w:type="dxa"/>
            <w:vAlign w:val="center"/>
          </w:tcPr>
          <w:p w:rsidR="002D4B10" w:rsidRPr="008B4819" w:rsidRDefault="002D4B10" w:rsidP="008B4819">
            <w:pPr>
              <w:tabs>
                <w:tab w:val="left" w:pos="9435"/>
              </w:tabs>
              <w:jc w:val="center"/>
            </w:pPr>
            <w:r>
              <w:t>23,52</w:t>
            </w:r>
          </w:p>
        </w:tc>
        <w:tc>
          <w:tcPr>
            <w:tcW w:w="1146" w:type="dxa"/>
            <w:vAlign w:val="center"/>
          </w:tcPr>
          <w:p w:rsidR="002D4B10" w:rsidRPr="008B4819" w:rsidRDefault="002D4B10" w:rsidP="008B4819">
            <w:pPr>
              <w:tabs>
                <w:tab w:val="left" w:pos="9435"/>
              </w:tabs>
              <w:jc w:val="center"/>
            </w:pPr>
            <w:r>
              <w:t>23,45</w:t>
            </w:r>
          </w:p>
        </w:tc>
        <w:tc>
          <w:tcPr>
            <w:tcW w:w="1206" w:type="dxa"/>
            <w:vAlign w:val="center"/>
          </w:tcPr>
          <w:p w:rsidR="002D4B10" w:rsidRPr="002D4B10" w:rsidRDefault="002D4B10" w:rsidP="002D4B10">
            <w:pPr>
              <w:tabs>
                <w:tab w:val="left" w:pos="9435"/>
              </w:tabs>
              <w:jc w:val="center"/>
            </w:pPr>
            <w:r w:rsidRPr="002D4B10">
              <w:t>3</w:t>
            </w:r>
            <w:r>
              <w:t xml:space="preserve"> </w:t>
            </w:r>
            <w:r w:rsidRPr="002D4B10">
              <w:t>517,5</w:t>
            </w:r>
            <w:r>
              <w:t>0</w:t>
            </w:r>
          </w:p>
        </w:tc>
      </w:tr>
      <w:tr w:rsidR="002D4B10" w:rsidRPr="008B4819" w:rsidTr="002D4B10">
        <w:tc>
          <w:tcPr>
            <w:tcW w:w="2093" w:type="dxa"/>
            <w:vAlign w:val="center"/>
          </w:tcPr>
          <w:p w:rsidR="002D4B10" w:rsidRDefault="002D4B10" w:rsidP="00EC377C">
            <w:pPr>
              <w:jc w:val="center"/>
              <w:rPr>
                <w:sz w:val="24"/>
                <w:szCs w:val="24"/>
              </w:rPr>
            </w:pPr>
            <w:r>
              <w:t xml:space="preserve">Повязка мазевая с серебром 10 см*10 см </w:t>
            </w:r>
          </w:p>
        </w:tc>
        <w:tc>
          <w:tcPr>
            <w:tcW w:w="992" w:type="dxa"/>
            <w:vAlign w:val="center"/>
          </w:tcPr>
          <w:p w:rsidR="002D4B10" w:rsidRDefault="002D4B10" w:rsidP="00EC377C">
            <w:pPr>
              <w:jc w:val="center"/>
              <w:rPr>
                <w:sz w:val="16"/>
                <w:szCs w:val="16"/>
              </w:rPr>
            </w:pPr>
            <w:r>
              <w:rPr>
                <w:sz w:val="16"/>
                <w:szCs w:val="16"/>
              </w:rPr>
              <w:t>упак</w:t>
            </w:r>
          </w:p>
        </w:tc>
        <w:tc>
          <w:tcPr>
            <w:tcW w:w="851" w:type="dxa"/>
            <w:vAlign w:val="center"/>
          </w:tcPr>
          <w:p w:rsidR="002D4B10" w:rsidRDefault="002D4B10" w:rsidP="00EC377C">
            <w:pPr>
              <w:jc w:val="center"/>
              <w:rPr>
                <w:b/>
                <w:bCs/>
                <w:sz w:val="24"/>
                <w:szCs w:val="24"/>
              </w:rPr>
            </w:pPr>
            <w:r>
              <w:rPr>
                <w:b/>
                <w:bCs/>
              </w:rPr>
              <w:t>75</w:t>
            </w:r>
          </w:p>
        </w:tc>
        <w:tc>
          <w:tcPr>
            <w:tcW w:w="1559" w:type="dxa"/>
            <w:vAlign w:val="center"/>
          </w:tcPr>
          <w:p w:rsidR="002D4B10" w:rsidRPr="008B4819" w:rsidRDefault="002D4B10" w:rsidP="008B4819">
            <w:pPr>
              <w:tabs>
                <w:tab w:val="left" w:pos="9435"/>
              </w:tabs>
              <w:jc w:val="center"/>
            </w:pPr>
            <w:r>
              <w:t>109,11</w:t>
            </w:r>
          </w:p>
        </w:tc>
        <w:tc>
          <w:tcPr>
            <w:tcW w:w="1417" w:type="dxa"/>
            <w:vAlign w:val="center"/>
          </w:tcPr>
          <w:p w:rsidR="002D4B10" w:rsidRPr="008B4819" w:rsidRDefault="002D4B10" w:rsidP="00EC377C">
            <w:pPr>
              <w:tabs>
                <w:tab w:val="left" w:pos="9435"/>
              </w:tabs>
              <w:jc w:val="center"/>
            </w:pPr>
            <w:r>
              <w:t>114,63</w:t>
            </w:r>
          </w:p>
        </w:tc>
        <w:tc>
          <w:tcPr>
            <w:tcW w:w="1418" w:type="dxa"/>
            <w:vAlign w:val="center"/>
          </w:tcPr>
          <w:p w:rsidR="002D4B10" w:rsidRPr="008B4819" w:rsidRDefault="002D4B10" w:rsidP="008B4819">
            <w:pPr>
              <w:tabs>
                <w:tab w:val="left" w:pos="9435"/>
              </w:tabs>
              <w:jc w:val="center"/>
            </w:pPr>
            <w:r>
              <w:t>112,38</w:t>
            </w:r>
          </w:p>
        </w:tc>
        <w:tc>
          <w:tcPr>
            <w:tcW w:w="1146" w:type="dxa"/>
            <w:vAlign w:val="center"/>
          </w:tcPr>
          <w:p w:rsidR="002D4B10" w:rsidRPr="008B4819" w:rsidRDefault="002D4B10" w:rsidP="008B4819">
            <w:pPr>
              <w:tabs>
                <w:tab w:val="left" w:pos="9435"/>
              </w:tabs>
              <w:jc w:val="center"/>
            </w:pPr>
            <w:r>
              <w:t>112,04</w:t>
            </w:r>
          </w:p>
        </w:tc>
        <w:tc>
          <w:tcPr>
            <w:tcW w:w="1206" w:type="dxa"/>
            <w:vAlign w:val="center"/>
          </w:tcPr>
          <w:p w:rsidR="002D4B10" w:rsidRPr="002D4B10" w:rsidRDefault="002D4B10" w:rsidP="002D4B10">
            <w:pPr>
              <w:tabs>
                <w:tab w:val="left" w:pos="9435"/>
              </w:tabs>
              <w:jc w:val="center"/>
            </w:pPr>
            <w:r w:rsidRPr="002D4B10">
              <w:t>8</w:t>
            </w:r>
            <w:r>
              <w:t> </w:t>
            </w:r>
            <w:r w:rsidRPr="002D4B10">
              <w:t>403</w:t>
            </w:r>
            <w:r>
              <w:t>,00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самоклеящаяся губчатая  10*20 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150</w:t>
            </w:r>
          </w:p>
        </w:tc>
        <w:tc>
          <w:tcPr>
            <w:tcW w:w="1559" w:type="dxa"/>
            <w:vAlign w:val="center"/>
          </w:tcPr>
          <w:p w:rsidR="002D4B10" w:rsidRPr="008B4819" w:rsidRDefault="002D4B10" w:rsidP="008B4819">
            <w:pPr>
              <w:tabs>
                <w:tab w:val="left" w:pos="9435"/>
              </w:tabs>
              <w:jc w:val="center"/>
            </w:pPr>
            <w:r>
              <w:t>274,65</w:t>
            </w:r>
          </w:p>
        </w:tc>
        <w:tc>
          <w:tcPr>
            <w:tcW w:w="1417" w:type="dxa"/>
            <w:vAlign w:val="center"/>
          </w:tcPr>
          <w:p w:rsidR="002D4B10" w:rsidRPr="008B4819" w:rsidRDefault="002D4B10" w:rsidP="00EC377C">
            <w:pPr>
              <w:tabs>
                <w:tab w:val="left" w:pos="9435"/>
              </w:tabs>
              <w:jc w:val="center"/>
            </w:pPr>
            <w:r>
              <w:t>288,54</w:t>
            </w:r>
          </w:p>
        </w:tc>
        <w:tc>
          <w:tcPr>
            <w:tcW w:w="1418" w:type="dxa"/>
            <w:vAlign w:val="center"/>
          </w:tcPr>
          <w:p w:rsidR="002D4B10" w:rsidRPr="008B4819" w:rsidRDefault="002D4B10" w:rsidP="008B4819">
            <w:pPr>
              <w:tabs>
                <w:tab w:val="left" w:pos="9435"/>
              </w:tabs>
              <w:jc w:val="center"/>
            </w:pPr>
            <w:r>
              <w:t>282,88</w:t>
            </w:r>
          </w:p>
        </w:tc>
        <w:tc>
          <w:tcPr>
            <w:tcW w:w="1146" w:type="dxa"/>
            <w:vAlign w:val="center"/>
          </w:tcPr>
          <w:p w:rsidR="002D4B10" w:rsidRPr="008B4819" w:rsidRDefault="002D4B10" w:rsidP="008B4819">
            <w:pPr>
              <w:tabs>
                <w:tab w:val="left" w:pos="9435"/>
              </w:tabs>
              <w:jc w:val="center"/>
            </w:pPr>
            <w:r>
              <w:t>282,02</w:t>
            </w:r>
          </w:p>
        </w:tc>
        <w:tc>
          <w:tcPr>
            <w:tcW w:w="1206" w:type="dxa"/>
            <w:vAlign w:val="center"/>
          </w:tcPr>
          <w:p w:rsidR="002D4B10" w:rsidRPr="002D4B10" w:rsidRDefault="002D4B10" w:rsidP="002D4B10">
            <w:pPr>
              <w:tabs>
                <w:tab w:val="left" w:pos="9435"/>
              </w:tabs>
              <w:jc w:val="center"/>
            </w:pPr>
            <w:r w:rsidRPr="002D4B10">
              <w:t>42</w:t>
            </w:r>
            <w:r>
              <w:t xml:space="preserve"> </w:t>
            </w:r>
            <w:r w:rsidRPr="002D4B10">
              <w:t>303</w:t>
            </w:r>
            <w:r>
              <w:t>,00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самоклеящаяся губчатая 11*11 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150</w:t>
            </w:r>
          </w:p>
        </w:tc>
        <w:tc>
          <w:tcPr>
            <w:tcW w:w="1559" w:type="dxa"/>
            <w:vAlign w:val="center"/>
          </w:tcPr>
          <w:p w:rsidR="002D4B10" w:rsidRPr="008B4819" w:rsidRDefault="002D4B10" w:rsidP="008B4819">
            <w:pPr>
              <w:tabs>
                <w:tab w:val="left" w:pos="9435"/>
              </w:tabs>
              <w:jc w:val="center"/>
            </w:pPr>
            <w:r>
              <w:t>152,05</w:t>
            </w:r>
          </w:p>
        </w:tc>
        <w:tc>
          <w:tcPr>
            <w:tcW w:w="1417" w:type="dxa"/>
            <w:vAlign w:val="center"/>
          </w:tcPr>
          <w:p w:rsidR="002D4B10" w:rsidRPr="008B4819" w:rsidRDefault="002D4B10" w:rsidP="00EC377C">
            <w:pPr>
              <w:tabs>
                <w:tab w:val="left" w:pos="9435"/>
              </w:tabs>
              <w:jc w:val="center"/>
            </w:pPr>
            <w:r>
              <w:t>159,74</w:t>
            </w:r>
          </w:p>
        </w:tc>
        <w:tc>
          <w:tcPr>
            <w:tcW w:w="1418" w:type="dxa"/>
            <w:vAlign w:val="center"/>
          </w:tcPr>
          <w:p w:rsidR="002D4B10" w:rsidRPr="008B4819" w:rsidRDefault="002D4B10" w:rsidP="008B4819">
            <w:pPr>
              <w:tabs>
                <w:tab w:val="left" w:pos="9435"/>
              </w:tabs>
              <w:jc w:val="center"/>
            </w:pPr>
            <w:r>
              <w:t>156,61</w:t>
            </w:r>
          </w:p>
        </w:tc>
        <w:tc>
          <w:tcPr>
            <w:tcW w:w="1146" w:type="dxa"/>
            <w:vAlign w:val="center"/>
          </w:tcPr>
          <w:p w:rsidR="002D4B10" w:rsidRPr="008B4819" w:rsidRDefault="002D4B10" w:rsidP="008B4819">
            <w:pPr>
              <w:tabs>
                <w:tab w:val="left" w:pos="9435"/>
              </w:tabs>
              <w:jc w:val="center"/>
            </w:pPr>
            <w:r>
              <w:t>156,13</w:t>
            </w:r>
          </w:p>
        </w:tc>
        <w:tc>
          <w:tcPr>
            <w:tcW w:w="1206" w:type="dxa"/>
            <w:vAlign w:val="center"/>
          </w:tcPr>
          <w:p w:rsidR="002D4B10" w:rsidRPr="002D4B10" w:rsidRDefault="002D4B10" w:rsidP="002D4B10">
            <w:pPr>
              <w:tabs>
                <w:tab w:val="left" w:pos="9435"/>
              </w:tabs>
              <w:jc w:val="center"/>
            </w:pPr>
            <w:r w:rsidRPr="002D4B10">
              <w:t>23</w:t>
            </w:r>
            <w:r>
              <w:t xml:space="preserve"> </w:t>
            </w:r>
            <w:r w:rsidRPr="002D4B10">
              <w:t>419,5</w:t>
            </w:r>
            <w:r>
              <w:t>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самоклеящаяся губчатая  15*15 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100</w:t>
            </w:r>
          </w:p>
        </w:tc>
        <w:tc>
          <w:tcPr>
            <w:tcW w:w="1559" w:type="dxa"/>
            <w:vAlign w:val="center"/>
          </w:tcPr>
          <w:p w:rsidR="002D4B10" w:rsidRPr="008B4819" w:rsidRDefault="002D4B10" w:rsidP="008B4819">
            <w:pPr>
              <w:tabs>
                <w:tab w:val="left" w:pos="9435"/>
              </w:tabs>
              <w:jc w:val="center"/>
            </w:pPr>
            <w:r>
              <w:t>287,56</w:t>
            </w:r>
          </w:p>
        </w:tc>
        <w:tc>
          <w:tcPr>
            <w:tcW w:w="1417" w:type="dxa"/>
            <w:vAlign w:val="center"/>
          </w:tcPr>
          <w:p w:rsidR="002D4B10" w:rsidRPr="008B4819" w:rsidRDefault="002D4B10" w:rsidP="00EC377C">
            <w:pPr>
              <w:tabs>
                <w:tab w:val="left" w:pos="9435"/>
              </w:tabs>
              <w:jc w:val="center"/>
            </w:pPr>
            <w:r>
              <w:t>302,11</w:t>
            </w:r>
          </w:p>
        </w:tc>
        <w:tc>
          <w:tcPr>
            <w:tcW w:w="1418" w:type="dxa"/>
            <w:vAlign w:val="center"/>
          </w:tcPr>
          <w:p w:rsidR="002D4B10" w:rsidRPr="008B4819" w:rsidRDefault="002D4B10" w:rsidP="008B4819">
            <w:pPr>
              <w:tabs>
                <w:tab w:val="left" w:pos="9435"/>
              </w:tabs>
              <w:jc w:val="center"/>
            </w:pPr>
            <w:r>
              <w:t>296,18</w:t>
            </w:r>
          </w:p>
        </w:tc>
        <w:tc>
          <w:tcPr>
            <w:tcW w:w="1146" w:type="dxa"/>
            <w:vAlign w:val="center"/>
          </w:tcPr>
          <w:p w:rsidR="002D4B10" w:rsidRPr="008B4819" w:rsidRDefault="002D4B10" w:rsidP="008B4819">
            <w:pPr>
              <w:tabs>
                <w:tab w:val="left" w:pos="9435"/>
              </w:tabs>
              <w:jc w:val="center"/>
            </w:pPr>
            <w:r>
              <w:t>295,28</w:t>
            </w:r>
          </w:p>
        </w:tc>
        <w:tc>
          <w:tcPr>
            <w:tcW w:w="1206" w:type="dxa"/>
            <w:vAlign w:val="center"/>
          </w:tcPr>
          <w:p w:rsidR="002D4B10" w:rsidRPr="002D4B10" w:rsidRDefault="002D4B10" w:rsidP="002D4B10">
            <w:pPr>
              <w:tabs>
                <w:tab w:val="left" w:pos="9435"/>
              </w:tabs>
              <w:jc w:val="center"/>
            </w:pPr>
            <w:r w:rsidRPr="002D4B10">
              <w:t>29</w:t>
            </w:r>
            <w:r>
              <w:t> </w:t>
            </w:r>
            <w:r w:rsidRPr="002D4B10">
              <w:t>528</w:t>
            </w:r>
            <w:r>
              <w:t>,00</w:t>
            </w:r>
          </w:p>
        </w:tc>
      </w:tr>
      <w:tr w:rsidR="002D4B10" w:rsidRPr="008B4819" w:rsidTr="002D4B10">
        <w:tc>
          <w:tcPr>
            <w:tcW w:w="2093" w:type="dxa"/>
            <w:vAlign w:val="center"/>
          </w:tcPr>
          <w:p w:rsidR="002D4B10" w:rsidRDefault="002D4B10" w:rsidP="00EC377C">
            <w:pPr>
              <w:jc w:val="center"/>
              <w:rPr>
                <w:color w:val="000000"/>
                <w:sz w:val="24"/>
                <w:szCs w:val="24"/>
              </w:rPr>
            </w:pPr>
            <w:r>
              <w:rPr>
                <w:color w:val="000000"/>
              </w:rPr>
              <w:t xml:space="preserve">Повязка самоклеящаяся губчатая  8*8 см  </w:t>
            </w:r>
          </w:p>
        </w:tc>
        <w:tc>
          <w:tcPr>
            <w:tcW w:w="992" w:type="dxa"/>
            <w:vAlign w:val="center"/>
          </w:tcPr>
          <w:p w:rsidR="002D4B10" w:rsidRDefault="002D4B10" w:rsidP="00EC377C">
            <w:pPr>
              <w:jc w:val="center"/>
              <w:rPr>
                <w:sz w:val="20"/>
                <w:szCs w:val="20"/>
              </w:rPr>
            </w:pPr>
            <w:r>
              <w:rPr>
                <w:sz w:val="20"/>
                <w:szCs w:val="20"/>
              </w:rPr>
              <w:t>шт</w:t>
            </w:r>
          </w:p>
        </w:tc>
        <w:tc>
          <w:tcPr>
            <w:tcW w:w="851" w:type="dxa"/>
            <w:vAlign w:val="center"/>
          </w:tcPr>
          <w:p w:rsidR="002D4B10" w:rsidRDefault="002D4B10" w:rsidP="00EC377C">
            <w:pPr>
              <w:jc w:val="center"/>
              <w:rPr>
                <w:b/>
                <w:bCs/>
                <w:sz w:val="24"/>
                <w:szCs w:val="24"/>
              </w:rPr>
            </w:pPr>
            <w:r>
              <w:rPr>
                <w:b/>
                <w:bCs/>
              </w:rPr>
              <w:t>300</w:t>
            </w:r>
          </w:p>
        </w:tc>
        <w:tc>
          <w:tcPr>
            <w:tcW w:w="1559" w:type="dxa"/>
            <w:vAlign w:val="center"/>
          </w:tcPr>
          <w:p w:rsidR="002D4B10" w:rsidRPr="008B4819" w:rsidRDefault="002D4B10" w:rsidP="008B4819">
            <w:pPr>
              <w:tabs>
                <w:tab w:val="left" w:pos="9435"/>
              </w:tabs>
              <w:jc w:val="center"/>
            </w:pPr>
            <w:r>
              <w:t>108,77</w:t>
            </w:r>
          </w:p>
        </w:tc>
        <w:tc>
          <w:tcPr>
            <w:tcW w:w="1417" w:type="dxa"/>
            <w:vAlign w:val="center"/>
          </w:tcPr>
          <w:p w:rsidR="002D4B10" w:rsidRPr="008B4819" w:rsidRDefault="002D4B10" w:rsidP="00EC377C">
            <w:pPr>
              <w:tabs>
                <w:tab w:val="left" w:pos="9435"/>
              </w:tabs>
              <w:jc w:val="center"/>
            </w:pPr>
            <w:r>
              <w:t>114,27</w:t>
            </w:r>
          </w:p>
        </w:tc>
        <w:tc>
          <w:tcPr>
            <w:tcW w:w="1418" w:type="dxa"/>
            <w:vAlign w:val="center"/>
          </w:tcPr>
          <w:p w:rsidR="002D4B10" w:rsidRPr="008B4819" w:rsidRDefault="002D4B10" w:rsidP="008B4819">
            <w:pPr>
              <w:tabs>
                <w:tab w:val="left" w:pos="9435"/>
              </w:tabs>
              <w:jc w:val="center"/>
            </w:pPr>
            <w:r>
              <w:t>112,03</w:t>
            </w:r>
          </w:p>
        </w:tc>
        <w:tc>
          <w:tcPr>
            <w:tcW w:w="1146" w:type="dxa"/>
            <w:vAlign w:val="center"/>
          </w:tcPr>
          <w:p w:rsidR="002D4B10" w:rsidRPr="008B4819" w:rsidRDefault="002D4B10" w:rsidP="008B4819">
            <w:pPr>
              <w:tabs>
                <w:tab w:val="left" w:pos="9435"/>
              </w:tabs>
              <w:jc w:val="center"/>
            </w:pPr>
            <w:r>
              <w:t>111,69</w:t>
            </w:r>
          </w:p>
        </w:tc>
        <w:tc>
          <w:tcPr>
            <w:tcW w:w="1206" w:type="dxa"/>
            <w:vAlign w:val="center"/>
          </w:tcPr>
          <w:p w:rsidR="002D4B10" w:rsidRPr="002D4B10" w:rsidRDefault="002D4B10" w:rsidP="002D4B10">
            <w:pPr>
              <w:tabs>
                <w:tab w:val="left" w:pos="9435"/>
              </w:tabs>
              <w:jc w:val="center"/>
            </w:pPr>
            <w:r w:rsidRPr="002D4B10">
              <w:t>33</w:t>
            </w:r>
            <w:r>
              <w:t> </w:t>
            </w:r>
            <w:r w:rsidRPr="002D4B10">
              <w:t>507</w:t>
            </w:r>
            <w:r>
              <w:t>,00</w:t>
            </w:r>
          </w:p>
        </w:tc>
      </w:tr>
      <w:tr w:rsidR="00E454AE" w:rsidRPr="008B4819" w:rsidTr="00EC377C">
        <w:tc>
          <w:tcPr>
            <w:tcW w:w="9476"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2D4B10" w:rsidP="00AD31AD">
            <w:pPr>
              <w:tabs>
                <w:tab w:val="left" w:pos="9435"/>
              </w:tabs>
              <w:jc w:val="center"/>
              <w:rPr>
                <w:b/>
              </w:rPr>
            </w:pPr>
            <w:r>
              <w:rPr>
                <w:b/>
              </w:rPr>
              <w:t>493</w:t>
            </w:r>
            <w:r w:rsidR="00AD31AD">
              <w:rPr>
                <w:b/>
              </w:rPr>
              <w:t> 882,85</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A3A" w:rsidRDefault="00FA4A3A" w:rsidP="00187FC8">
      <w:r>
        <w:separator/>
      </w:r>
    </w:p>
  </w:endnote>
  <w:endnote w:type="continuationSeparator" w:id="1">
    <w:p w:rsidR="00FA4A3A" w:rsidRDefault="00FA4A3A"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77C" w:rsidRDefault="00BD212E">
    <w:pPr>
      <w:pStyle w:val="a5"/>
      <w:framePr w:wrap="around" w:vAnchor="text" w:hAnchor="margin" w:xAlign="center" w:y="1"/>
      <w:rPr>
        <w:rStyle w:val="a9"/>
      </w:rPr>
    </w:pPr>
    <w:r>
      <w:rPr>
        <w:rStyle w:val="a9"/>
      </w:rPr>
      <w:fldChar w:fldCharType="begin"/>
    </w:r>
    <w:r w:rsidR="00EC377C">
      <w:rPr>
        <w:rStyle w:val="a9"/>
      </w:rPr>
      <w:instrText xml:space="preserve">PAGE  </w:instrText>
    </w:r>
    <w:r>
      <w:rPr>
        <w:rStyle w:val="a9"/>
      </w:rPr>
      <w:fldChar w:fldCharType="end"/>
    </w:r>
  </w:p>
  <w:p w:rsidR="00EC377C" w:rsidRDefault="00EC377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77C" w:rsidRDefault="00BD212E">
    <w:pPr>
      <w:pStyle w:val="a5"/>
      <w:jc w:val="center"/>
    </w:pPr>
    <w:fldSimple w:instr=" PAGE   \* MERGEFORMAT ">
      <w:r w:rsidR="00AD31AD">
        <w:rPr>
          <w:noProof/>
        </w:rPr>
        <w:t>2</w:t>
      </w:r>
    </w:fldSimple>
  </w:p>
  <w:p w:rsidR="00EC377C" w:rsidRDefault="00EC377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EC377C" w:rsidRDefault="00BD212E">
        <w:pPr>
          <w:pStyle w:val="a5"/>
          <w:jc w:val="center"/>
        </w:pPr>
        <w:fldSimple w:instr=" PAGE   \* MERGEFORMAT ">
          <w:r w:rsidR="00AD31AD">
            <w:rPr>
              <w:noProof/>
            </w:rPr>
            <w:t>15</w:t>
          </w:r>
        </w:fldSimple>
      </w:p>
    </w:sdtContent>
  </w:sdt>
  <w:p w:rsidR="00EC377C" w:rsidRPr="008B4819" w:rsidRDefault="00EC377C"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A3A" w:rsidRDefault="00FA4A3A" w:rsidP="00187FC8">
      <w:r>
        <w:separator/>
      </w:r>
    </w:p>
  </w:footnote>
  <w:footnote w:type="continuationSeparator" w:id="1">
    <w:p w:rsidR="00FA4A3A" w:rsidRDefault="00FA4A3A"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4B10"/>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07D"/>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241"/>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1AD"/>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12E"/>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282"/>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77C"/>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94"/>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A3A"/>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6358</Words>
  <Characters>36244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46</cp:revision>
  <cp:lastPrinted>2013-11-05T08:05:00Z</cp:lastPrinted>
  <dcterms:created xsi:type="dcterms:W3CDTF">2013-01-09T11:14:00Z</dcterms:created>
  <dcterms:modified xsi:type="dcterms:W3CDTF">2013-11-05T08:05:00Z</dcterms:modified>
</cp:coreProperties>
</file>