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84" w:rsidRPr="007C3AF1" w:rsidRDefault="00DB2584" w:rsidP="00DB2584">
      <w:pPr>
        <w:jc w:val="right"/>
        <w:rPr>
          <w:i/>
          <w:sz w:val="18"/>
          <w:szCs w:val="18"/>
        </w:rPr>
      </w:pPr>
      <w:r w:rsidRPr="007C3AF1">
        <w:rPr>
          <w:i/>
          <w:sz w:val="18"/>
          <w:szCs w:val="18"/>
        </w:rPr>
        <w:t xml:space="preserve">Приложение № 1 к извещению </w:t>
      </w:r>
    </w:p>
    <w:p w:rsidR="00DB2584" w:rsidRPr="007C3AF1" w:rsidRDefault="00DB2584" w:rsidP="00DB2584">
      <w:pPr>
        <w:jc w:val="right"/>
        <w:rPr>
          <w:i/>
          <w:sz w:val="18"/>
          <w:szCs w:val="18"/>
        </w:rPr>
      </w:pPr>
      <w:r w:rsidRPr="007C3AF1">
        <w:rPr>
          <w:i/>
          <w:sz w:val="18"/>
          <w:szCs w:val="18"/>
        </w:rPr>
        <w:t>о проведении запроса котировок</w:t>
      </w:r>
    </w:p>
    <w:p w:rsidR="00DB2584" w:rsidRDefault="00DB2584" w:rsidP="00DB2584"/>
    <w:p w:rsidR="001774F9" w:rsidRPr="001774F9" w:rsidRDefault="00DB2584" w:rsidP="001774F9">
      <w:pPr>
        <w:pStyle w:val="3"/>
        <w:rPr>
          <w:b w:val="0"/>
          <w:i w:val="0"/>
          <w:sz w:val="24"/>
          <w:szCs w:val="24"/>
        </w:rPr>
      </w:pPr>
      <w:r>
        <w:tab/>
      </w:r>
      <w:r w:rsidR="001774F9" w:rsidRPr="001774F9">
        <w:rPr>
          <w:b w:val="0"/>
          <w:i w:val="0"/>
          <w:sz w:val="24"/>
          <w:szCs w:val="24"/>
        </w:rPr>
        <w:t>ТЕХНИЧЕСКОЕ ЗАДАНИЕ</w:t>
      </w:r>
    </w:p>
    <w:p w:rsidR="001774F9" w:rsidRPr="001774F9" w:rsidRDefault="001774F9" w:rsidP="001774F9">
      <w:pPr>
        <w:jc w:val="center"/>
        <w:rPr>
          <w:sz w:val="24"/>
          <w:szCs w:val="24"/>
        </w:rPr>
      </w:pPr>
      <w:r w:rsidRPr="001774F9">
        <w:rPr>
          <w:sz w:val="24"/>
          <w:szCs w:val="24"/>
        </w:rPr>
        <w:t xml:space="preserve">на разработку ПСД и ПИР для строительства пожарного водоёма северо-восточнее микрорайона </w:t>
      </w:r>
      <w:proofErr w:type="spellStart"/>
      <w:r w:rsidRPr="001774F9">
        <w:rPr>
          <w:sz w:val="24"/>
          <w:szCs w:val="24"/>
        </w:rPr>
        <w:t>Оборино</w:t>
      </w:r>
      <w:proofErr w:type="spellEnd"/>
      <w:r w:rsidRPr="001774F9">
        <w:rPr>
          <w:sz w:val="24"/>
          <w:szCs w:val="24"/>
        </w:rPr>
        <w:t xml:space="preserve"> по ул. Бахчевой</w:t>
      </w:r>
    </w:p>
    <w:p w:rsidR="001774F9" w:rsidRDefault="001774F9" w:rsidP="001774F9"/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835"/>
        <w:gridCol w:w="5953"/>
      </w:tblGrid>
      <w:tr w:rsidR="001774F9" w:rsidRPr="001F3BAF" w:rsidTr="00E907D2">
        <w:trPr>
          <w:trHeight w:val="381"/>
        </w:trPr>
        <w:tc>
          <w:tcPr>
            <w:tcW w:w="709" w:type="dxa"/>
          </w:tcPr>
          <w:p w:rsidR="001774F9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774F9" w:rsidRDefault="001774F9" w:rsidP="00E907D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74F9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проведения работ</w:t>
            </w:r>
          </w:p>
        </w:tc>
        <w:tc>
          <w:tcPr>
            <w:tcW w:w="5953" w:type="dxa"/>
          </w:tcPr>
          <w:p w:rsidR="001774F9" w:rsidRDefault="001774F9" w:rsidP="00E907D2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Перми от 03.12.2009 № 936 «Об утверждении долгосрочной целевой программы «Обеспечение первичных мер пожарной безопасности на территории города Перми на 2012-2016 годы».</w:t>
            </w:r>
          </w:p>
        </w:tc>
      </w:tr>
      <w:tr w:rsidR="001774F9" w:rsidRPr="001F3BAF" w:rsidTr="00E907D2">
        <w:trPr>
          <w:trHeight w:val="381"/>
        </w:trPr>
        <w:tc>
          <w:tcPr>
            <w:tcW w:w="709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774F9" w:rsidRPr="001F3BAF" w:rsidRDefault="001774F9" w:rsidP="00E907D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5953" w:type="dxa"/>
          </w:tcPr>
          <w:p w:rsidR="001774F9" w:rsidRPr="001F3BAF" w:rsidRDefault="001774F9" w:rsidP="00E907D2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</w:t>
            </w:r>
            <w:r w:rsidRPr="001F3BAF">
              <w:rPr>
                <w:sz w:val="24"/>
                <w:szCs w:val="24"/>
              </w:rPr>
              <w:t>ое строительство</w:t>
            </w:r>
            <w:r>
              <w:rPr>
                <w:sz w:val="24"/>
                <w:szCs w:val="24"/>
              </w:rPr>
              <w:t>.</w:t>
            </w:r>
          </w:p>
        </w:tc>
      </w:tr>
      <w:tr w:rsidR="001774F9" w:rsidRPr="001F3BAF" w:rsidTr="00E907D2">
        <w:trPr>
          <w:trHeight w:val="554"/>
        </w:trPr>
        <w:tc>
          <w:tcPr>
            <w:tcW w:w="709" w:type="dxa"/>
          </w:tcPr>
          <w:p w:rsidR="001774F9" w:rsidRPr="001F3BAF" w:rsidRDefault="001774F9" w:rsidP="00E907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774F9" w:rsidRPr="006B4B70" w:rsidRDefault="001774F9" w:rsidP="00E907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объекта</w:t>
            </w:r>
          </w:p>
        </w:tc>
        <w:tc>
          <w:tcPr>
            <w:tcW w:w="5953" w:type="dxa"/>
          </w:tcPr>
          <w:p w:rsidR="001774F9" w:rsidRDefault="001774F9" w:rsidP="00E907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водоёма в микрорайоне </w:t>
            </w:r>
            <w:proofErr w:type="spellStart"/>
            <w:r>
              <w:rPr>
                <w:sz w:val="24"/>
                <w:szCs w:val="24"/>
              </w:rPr>
              <w:t>Оборино</w:t>
            </w:r>
            <w:proofErr w:type="spellEnd"/>
            <w:r>
              <w:rPr>
                <w:sz w:val="24"/>
                <w:szCs w:val="24"/>
              </w:rPr>
              <w:t xml:space="preserve"> города Перми для организации противопожарного водоснабжения с устройством подъездной площадки для забора воды пожарной техникой.</w:t>
            </w:r>
          </w:p>
          <w:p w:rsidR="001774F9" w:rsidRPr="001F3BAF" w:rsidRDefault="001774F9" w:rsidP="00E907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земельного участка – 403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1774F9" w:rsidRPr="001F3BAF" w:rsidTr="00E907D2">
        <w:trPr>
          <w:trHeight w:val="416"/>
        </w:trPr>
        <w:tc>
          <w:tcPr>
            <w:tcW w:w="709" w:type="dxa"/>
          </w:tcPr>
          <w:p w:rsidR="001774F9" w:rsidRPr="001F3BAF" w:rsidRDefault="001774F9" w:rsidP="00E907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774F9" w:rsidRPr="001F3BAF" w:rsidRDefault="001774F9" w:rsidP="00E907D2">
            <w:pPr>
              <w:jc w:val="both"/>
              <w:rPr>
                <w:sz w:val="24"/>
                <w:szCs w:val="24"/>
              </w:rPr>
            </w:pPr>
            <w:r w:rsidRPr="001F3BAF">
              <w:rPr>
                <w:sz w:val="24"/>
                <w:szCs w:val="24"/>
              </w:rPr>
              <w:t>Заказчик</w:t>
            </w:r>
          </w:p>
        </w:tc>
        <w:tc>
          <w:tcPr>
            <w:tcW w:w="5953" w:type="dxa"/>
          </w:tcPr>
          <w:p w:rsidR="001774F9" w:rsidRPr="001F3BAF" w:rsidRDefault="001774F9" w:rsidP="00E907D2">
            <w:pPr>
              <w:pStyle w:val="6"/>
              <w:ind w:left="0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Муниципальное казённое учреждение «Управление строительства города Перми».</w:t>
            </w:r>
          </w:p>
        </w:tc>
      </w:tr>
      <w:tr w:rsidR="001774F9" w:rsidRPr="001F3BAF" w:rsidTr="00E907D2">
        <w:trPr>
          <w:trHeight w:val="828"/>
        </w:trPr>
        <w:tc>
          <w:tcPr>
            <w:tcW w:w="709" w:type="dxa"/>
          </w:tcPr>
          <w:p w:rsidR="001774F9" w:rsidRPr="001F3BAF" w:rsidRDefault="001774F9" w:rsidP="00E907D2">
            <w:p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 w:rsidRPr="001F3BAF">
              <w:rPr>
                <w:sz w:val="24"/>
                <w:szCs w:val="24"/>
              </w:rPr>
              <w:t>Материалы, предоставляемые Заказчиком</w:t>
            </w:r>
          </w:p>
        </w:tc>
        <w:tc>
          <w:tcPr>
            <w:tcW w:w="5953" w:type="dxa"/>
          </w:tcPr>
          <w:p w:rsidR="001774F9" w:rsidRDefault="001774F9" w:rsidP="001774F9">
            <w:pPr>
              <w:numPr>
                <w:ilvl w:val="0"/>
                <w:numId w:val="8"/>
              </w:numPr>
              <w:tabs>
                <w:tab w:val="clear" w:pos="393"/>
                <w:tab w:val="left" w:pos="0"/>
                <w:tab w:val="num" w:pos="34"/>
              </w:tabs>
              <w:ind w:left="0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 на право получения собственными силами и за счёт собственных средств документов, необходимых для производства работ.</w:t>
            </w:r>
          </w:p>
          <w:p w:rsidR="001774F9" w:rsidRPr="00885DA6" w:rsidRDefault="001774F9" w:rsidP="001774F9">
            <w:pPr>
              <w:numPr>
                <w:ilvl w:val="0"/>
                <w:numId w:val="8"/>
              </w:numPr>
              <w:tabs>
                <w:tab w:val="clear" w:pos="393"/>
                <w:tab w:val="left" w:pos="0"/>
                <w:tab w:val="num" w:pos="34"/>
              </w:tabs>
              <w:ind w:lef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Градостроительный план земельного участка.</w:t>
            </w:r>
          </w:p>
        </w:tc>
      </w:tr>
      <w:tr w:rsidR="001774F9" w:rsidRPr="001F3BAF" w:rsidTr="00E907D2">
        <w:trPr>
          <w:trHeight w:val="712"/>
        </w:trPr>
        <w:tc>
          <w:tcPr>
            <w:tcW w:w="709" w:type="dxa"/>
          </w:tcPr>
          <w:p w:rsidR="001774F9" w:rsidRDefault="001774F9" w:rsidP="00E907D2">
            <w:p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774F9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5953" w:type="dxa"/>
          </w:tcPr>
          <w:p w:rsidR="001774F9" w:rsidRDefault="001774F9" w:rsidP="00E907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документация, инженерные изыскания.</w:t>
            </w:r>
          </w:p>
        </w:tc>
      </w:tr>
      <w:tr w:rsidR="001774F9" w:rsidRPr="001F3BAF" w:rsidTr="00E907D2">
        <w:trPr>
          <w:trHeight w:val="1129"/>
        </w:trPr>
        <w:tc>
          <w:tcPr>
            <w:tcW w:w="709" w:type="dxa"/>
          </w:tcPr>
          <w:p w:rsidR="001774F9" w:rsidRPr="001F3BAF" w:rsidRDefault="001774F9" w:rsidP="00E907D2">
            <w:p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перечень выполняемых работ</w:t>
            </w:r>
          </w:p>
        </w:tc>
        <w:tc>
          <w:tcPr>
            <w:tcW w:w="5953" w:type="dxa"/>
          </w:tcPr>
          <w:p w:rsidR="001774F9" w:rsidRDefault="001774F9" w:rsidP="001774F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инженерных изысканий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1774F9" w:rsidRDefault="001774F9" w:rsidP="001774F9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инженерно-геодезических изысканий в объёме необходимом для подготовки проектно-сметной документации.</w:t>
            </w:r>
          </w:p>
          <w:p w:rsidR="001774F9" w:rsidRDefault="001774F9" w:rsidP="001774F9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инженерно-геологических изысканий в объёме необходимом для подготовки проектно-сметной документации.</w:t>
            </w:r>
          </w:p>
          <w:p w:rsidR="001774F9" w:rsidRDefault="001774F9" w:rsidP="001774F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Разработка проектно-сметной документации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1774F9" w:rsidRDefault="001774F9" w:rsidP="001774F9">
            <w:pPr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проектно-сметной документации в соответствии с требованиями действующих норм в строительстве и в объёме согласно требованиям Постановления Правительства РФ № 87 от 16.02.2008г.</w:t>
            </w:r>
          </w:p>
          <w:p w:rsidR="001774F9" w:rsidRDefault="001774F9" w:rsidP="001774F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проектно-сметной документации у Заказчика.</w:t>
            </w:r>
          </w:p>
          <w:p w:rsidR="001774F9" w:rsidRDefault="001774F9" w:rsidP="001774F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Согласование проектно-сметной документации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1774F9" w:rsidRPr="00E054C0" w:rsidRDefault="001774F9" w:rsidP="00E907D2">
            <w:pPr>
              <w:ind w:left="393"/>
              <w:jc w:val="both"/>
              <w:rPr>
                <w:sz w:val="24"/>
                <w:szCs w:val="24"/>
              </w:rPr>
            </w:pPr>
          </w:p>
          <w:p w:rsidR="001774F9" w:rsidRDefault="001774F9" w:rsidP="00E907D2">
            <w:pPr>
              <w:ind w:left="3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эксплуатирующими организациями.</w:t>
            </w:r>
          </w:p>
          <w:p w:rsidR="001774F9" w:rsidRDefault="001774F9" w:rsidP="001774F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проектно-сметной документации с районной администрацией.</w:t>
            </w:r>
          </w:p>
          <w:p w:rsidR="001774F9" w:rsidRDefault="001774F9" w:rsidP="001774F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Согласование проектно-сметной документации с </w:t>
            </w:r>
            <w:r>
              <w:rPr>
                <w:sz w:val="24"/>
                <w:szCs w:val="24"/>
              </w:rPr>
              <w:lastRenderedPageBreak/>
              <w:t>управлением ГО и ЧС.</w:t>
            </w:r>
          </w:p>
          <w:p w:rsidR="001774F9" w:rsidRPr="001F3BAF" w:rsidRDefault="001774F9" w:rsidP="001774F9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Сдача работ Заказчику.</w:t>
            </w:r>
          </w:p>
        </w:tc>
      </w:tr>
      <w:tr w:rsidR="001774F9" w:rsidRPr="001F3BAF" w:rsidTr="00E907D2">
        <w:trPr>
          <w:trHeight w:val="904"/>
        </w:trPr>
        <w:tc>
          <w:tcPr>
            <w:tcW w:w="709" w:type="dxa"/>
          </w:tcPr>
          <w:p w:rsidR="001774F9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и рекомендации к проектным решениям</w:t>
            </w:r>
          </w:p>
        </w:tc>
        <w:tc>
          <w:tcPr>
            <w:tcW w:w="5953" w:type="dxa"/>
          </w:tcPr>
          <w:p w:rsidR="001774F9" w:rsidRDefault="001774F9" w:rsidP="00E907D2">
            <w:pPr>
              <w:pStyle w:val="5"/>
              <w:spacing w:line="240" w:lineRule="auto"/>
              <w:ind w:left="33"/>
              <w:rPr>
                <w:i w:val="0"/>
                <w:iCs/>
                <w:szCs w:val="24"/>
              </w:rPr>
            </w:pPr>
            <w:r>
              <w:rPr>
                <w:i w:val="0"/>
                <w:iCs/>
                <w:szCs w:val="24"/>
              </w:rPr>
              <w:t>При проектировании руководствоваться требованиями федерального закона РФ от 22 июля 2008 года №123-ФЗ «Технический регламент о требованиях пожарной безопасности», постановлением Правительства РФ от 25 апреля 2012 года №390 «О противопожарном режиме», СП 8.13130.2009 «Системы противопожарной защиты. Источники наружного противопожарного водоснабжения. Требования пожарной безопасности»   и т.д.</w:t>
            </w:r>
          </w:p>
          <w:p w:rsidR="001774F9" w:rsidRDefault="001774F9" w:rsidP="001774F9">
            <w:pPr>
              <w:pStyle w:val="5"/>
              <w:numPr>
                <w:ilvl w:val="0"/>
                <w:numId w:val="9"/>
              </w:numPr>
              <w:spacing w:line="240" w:lineRule="auto"/>
              <w:rPr>
                <w:i w:val="0"/>
                <w:iCs/>
                <w:szCs w:val="24"/>
              </w:rPr>
            </w:pPr>
            <w:r>
              <w:rPr>
                <w:i w:val="0"/>
                <w:iCs/>
                <w:szCs w:val="24"/>
              </w:rPr>
              <w:t xml:space="preserve">Вопрос конструкционных требований к виду и материалу пожарного водоёма должен рассматриваться с учётом оптимальной стоимости строительства, сроков гарантийной эксплуатации и площади земельного участка. </w:t>
            </w:r>
          </w:p>
          <w:p w:rsidR="001774F9" w:rsidRDefault="001774F9" w:rsidP="001774F9">
            <w:pPr>
              <w:pStyle w:val="5"/>
              <w:numPr>
                <w:ilvl w:val="0"/>
                <w:numId w:val="9"/>
              </w:numPr>
              <w:spacing w:line="240" w:lineRule="auto"/>
              <w:rPr>
                <w:i w:val="0"/>
                <w:iCs/>
                <w:szCs w:val="24"/>
              </w:rPr>
            </w:pPr>
            <w:r>
              <w:rPr>
                <w:i w:val="0"/>
                <w:iCs/>
                <w:szCs w:val="24"/>
              </w:rPr>
              <w:t xml:space="preserve">Объём пожарного водоёма следует определять исходя их расчётных расходов воды и продолжительности тушения пожаров </w:t>
            </w:r>
          </w:p>
          <w:p w:rsidR="001774F9" w:rsidRDefault="001774F9" w:rsidP="001774F9">
            <w:pPr>
              <w:pStyle w:val="5"/>
              <w:numPr>
                <w:ilvl w:val="0"/>
                <w:numId w:val="9"/>
              </w:numPr>
              <w:spacing w:line="240" w:lineRule="auto"/>
              <w:rPr>
                <w:i w:val="0"/>
                <w:iCs/>
                <w:szCs w:val="24"/>
              </w:rPr>
            </w:pPr>
            <w:r>
              <w:rPr>
                <w:i w:val="0"/>
                <w:iCs/>
                <w:szCs w:val="24"/>
              </w:rPr>
              <w:t>Предусмотреть решение вопроса о наполнении пожарного водоёма водой, рассмотрев варианты подвоза воды или обустройства скважины с насосом, сопряжённым с датчиком уровня воды в водоёме.</w:t>
            </w:r>
          </w:p>
          <w:p w:rsidR="001774F9" w:rsidRDefault="001774F9" w:rsidP="001774F9">
            <w:pPr>
              <w:pStyle w:val="5"/>
              <w:numPr>
                <w:ilvl w:val="0"/>
                <w:numId w:val="9"/>
              </w:numPr>
              <w:spacing w:line="240" w:lineRule="auto"/>
              <w:ind w:right="33"/>
              <w:rPr>
                <w:i w:val="0"/>
                <w:iCs/>
                <w:szCs w:val="24"/>
              </w:rPr>
            </w:pPr>
            <w:r>
              <w:rPr>
                <w:i w:val="0"/>
                <w:iCs/>
                <w:szCs w:val="24"/>
              </w:rPr>
              <w:t>Пожарный водоём должен иметь подъездную площадку или приёмный колодец, обеспеченный свободным подъездом с возможностью размещения пожарных автомобилей.</w:t>
            </w:r>
          </w:p>
          <w:p w:rsidR="001774F9" w:rsidRDefault="001774F9" w:rsidP="001774F9">
            <w:pPr>
              <w:pStyle w:val="5"/>
              <w:numPr>
                <w:ilvl w:val="0"/>
                <w:numId w:val="9"/>
              </w:numPr>
              <w:spacing w:line="240" w:lineRule="auto"/>
              <w:rPr>
                <w:i w:val="0"/>
                <w:iCs/>
                <w:szCs w:val="24"/>
              </w:rPr>
            </w:pPr>
            <w:r>
              <w:rPr>
                <w:i w:val="0"/>
                <w:iCs/>
                <w:szCs w:val="24"/>
              </w:rPr>
              <w:t xml:space="preserve">Покрытие подъездной площадки выполнить из железобетона размерами не менее 12х12 м. </w:t>
            </w:r>
          </w:p>
          <w:p w:rsidR="001774F9" w:rsidRPr="00A24EEC" w:rsidRDefault="001774F9" w:rsidP="001774F9">
            <w:pPr>
              <w:pStyle w:val="5"/>
              <w:numPr>
                <w:ilvl w:val="0"/>
                <w:numId w:val="9"/>
              </w:numPr>
              <w:spacing w:line="240" w:lineRule="auto"/>
              <w:rPr>
                <w:i w:val="0"/>
                <w:iCs/>
                <w:szCs w:val="24"/>
              </w:rPr>
            </w:pPr>
            <w:r>
              <w:rPr>
                <w:i w:val="0"/>
                <w:iCs/>
                <w:szCs w:val="24"/>
              </w:rPr>
              <w:t xml:space="preserve">Подъездная площадка должна иметь указатель, расположенный напротив подъездной площадки, а также на въезде в микрорайон. </w:t>
            </w:r>
          </w:p>
        </w:tc>
      </w:tr>
      <w:tr w:rsidR="001774F9" w:rsidRPr="001F3BAF" w:rsidTr="00E907D2">
        <w:trPr>
          <w:trHeight w:val="904"/>
        </w:trPr>
        <w:tc>
          <w:tcPr>
            <w:tcW w:w="709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 w:rsidRPr="001F3BAF">
              <w:rPr>
                <w:sz w:val="24"/>
                <w:szCs w:val="24"/>
              </w:rPr>
              <w:t>Требования к результатам работ</w:t>
            </w:r>
          </w:p>
        </w:tc>
        <w:tc>
          <w:tcPr>
            <w:tcW w:w="5953" w:type="dxa"/>
          </w:tcPr>
          <w:p w:rsidR="001774F9" w:rsidRPr="00A24EEC" w:rsidRDefault="001774F9" w:rsidP="00E907D2">
            <w:pPr>
              <w:pStyle w:val="5"/>
              <w:spacing w:line="240" w:lineRule="auto"/>
              <w:ind w:left="33"/>
              <w:rPr>
                <w:i w:val="0"/>
                <w:szCs w:val="24"/>
              </w:rPr>
            </w:pPr>
            <w:r w:rsidRPr="00A24EEC">
              <w:rPr>
                <w:i w:val="0"/>
                <w:iCs/>
                <w:szCs w:val="24"/>
              </w:rPr>
              <w:t>Передача Заказчику согласованной проектно-сметной докумен</w:t>
            </w:r>
            <w:r>
              <w:rPr>
                <w:i w:val="0"/>
                <w:iCs/>
                <w:szCs w:val="24"/>
              </w:rPr>
              <w:t xml:space="preserve">тации, отчета по инженерно-геологическим изысканиям и отчёта по инженерно-геодезическим изысканиям </w:t>
            </w:r>
            <w:r w:rsidRPr="00A24EEC">
              <w:rPr>
                <w:i w:val="0"/>
                <w:iCs/>
                <w:szCs w:val="24"/>
              </w:rPr>
              <w:t>осуществляется на бумажном носителе в 4-х экзе</w:t>
            </w:r>
            <w:r>
              <w:rPr>
                <w:i w:val="0"/>
                <w:iCs/>
                <w:szCs w:val="24"/>
              </w:rPr>
              <w:t xml:space="preserve">мплярах и на </w:t>
            </w:r>
            <w:r w:rsidRPr="00A24EEC">
              <w:rPr>
                <w:i w:val="0"/>
                <w:iCs/>
                <w:szCs w:val="24"/>
              </w:rPr>
              <w:t>электронном носителе</w:t>
            </w:r>
            <w:r>
              <w:rPr>
                <w:i w:val="0"/>
                <w:iCs/>
                <w:szCs w:val="24"/>
              </w:rPr>
              <w:t xml:space="preserve"> в 1</w:t>
            </w:r>
            <w:r w:rsidRPr="00A24EEC">
              <w:rPr>
                <w:i w:val="0"/>
                <w:iCs/>
                <w:szCs w:val="24"/>
              </w:rPr>
              <w:t>-</w:t>
            </w:r>
            <w:r>
              <w:rPr>
                <w:i w:val="0"/>
                <w:iCs/>
                <w:szCs w:val="24"/>
              </w:rPr>
              <w:t>м экземпляре.</w:t>
            </w:r>
          </w:p>
        </w:tc>
      </w:tr>
      <w:tr w:rsidR="001774F9" w:rsidRPr="001F3BAF" w:rsidTr="00E907D2">
        <w:trPr>
          <w:trHeight w:val="375"/>
        </w:trPr>
        <w:tc>
          <w:tcPr>
            <w:tcW w:w="709" w:type="dxa"/>
          </w:tcPr>
          <w:p w:rsidR="001774F9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774F9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5953" w:type="dxa"/>
          </w:tcPr>
          <w:p w:rsidR="001774F9" w:rsidRDefault="001774F9" w:rsidP="00E907D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течение 90 календарных дней </w:t>
            </w:r>
            <w:proofErr w:type="gramStart"/>
            <w:r>
              <w:rPr>
                <w:iCs/>
                <w:sz w:val="24"/>
                <w:szCs w:val="24"/>
              </w:rPr>
              <w:t>с даты заключения</w:t>
            </w:r>
            <w:proofErr w:type="gramEnd"/>
            <w:r>
              <w:rPr>
                <w:iCs/>
                <w:sz w:val="24"/>
                <w:szCs w:val="24"/>
              </w:rPr>
              <w:t xml:space="preserve"> муниципального контракта.</w:t>
            </w:r>
          </w:p>
        </w:tc>
      </w:tr>
      <w:tr w:rsidR="001774F9" w:rsidRPr="001F3BAF" w:rsidTr="00E907D2">
        <w:trPr>
          <w:trHeight w:val="1176"/>
        </w:trPr>
        <w:tc>
          <w:tcPr>
            <w:tcW w:w="709" w:type="dxa"/>
          </w:tcPr>
          <w:p w:rsidR="001774F9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1774F9" w:rsidRDefault="001774F9" w:rsidP="00E907D2">
            <w:pPr>
              <w:rPr>
                <w:sz w:val="24"/>
                <w:szCs w:val="24"/>
              </w:rPr>
            </w:pPr>
          </w:p>
          <w:p w:rsidR="001774F9" w:rsidRDefault="001774F9" w:rsidP="00E907D2">
            <w:pPr>
              <w:rPr>
                <w:sz w:val="24"/>
                <w:szCs w:val="24"/>
              </w:rPr>
            </w:pPr>
          </w:p>
          <w:p w:rsidR="001774F9" w:rsidRDefault="001774F9" w:rsidP="00E907D2">
            <w:pPr>
              <w:rPr>
                <w:sz w:val="24"/>
                <w:szCs w:val="24"/>
              </w:rPr>
            </w:pPr>
          </w:p>
          <w:p w:rsidR="001774F9" w:rsidRPr="001F3BAF" w:rsidRDefault="001774F9" w:rsidP="00E907D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5953" w:type="dxa"/>
          </w:tcPr>
          <w:p w:rsidR="001774F9" w:rsidRPr="001F3BAF" w:rsidRDefault="001774F9" w:rsidP="00E907D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Гарантийные обязательства на разработанную Подрядчиком проектно-сметную </w:t>
            </w:r>
            <w:r w:rsidRPr="00594AD5">
              <w:rPr>
                <w:iCs/>
                <w:sz w:val="24"/>
                <w:szCs w:val="24"/>
              </w:rPr>
              <w:t>документацию не менее 36 месяцев с момента переда</w:t>
            </w:r>
            <w:r>
              <w:rPr>
                <w:iCs/>
                <w:sz w:val="24"/>
                <w:szCs w:val="24"/>
              </w:rPr>
              <w:t>чи документации Заказчику по акту приема-передачи работ.</w:t>
            </w:r>
          </w:p>
        </w:tc>
      </w:tr>
      <w:tr w:rsidR="001774F9" w:rsidRPr="001F3BAF" w:rsidTr="00E907D2">
        <w:trPr>
          <w:trHeight w:val="1339"/>
        </w:trPr>
        <w:tc>
          <w:tcPr>
            <w:tcW w:w="709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1774F9" w:rsidRPr="001F3BAF" w:rsidRDefault="001774F9" w:rsidP="00E907D2">
            <w:pPr>
              <w:rPr>
                <w:sz w:val="24"/>
                <w:szCs w:val="24"/>
              </w:rPr>
            </w:pPr>
            <w:r w:rsidRPr="001F3BAF">
              <w:rPr>
                <w:sz w:val="24"/>
                <w:szCs w:val="24"/>
              </w:rPr>
              <w:t xml:space="preserve">Дополнительные </w:t>
            </w:r>
            <w:r>
              <w:rPr>
                <w:sz w:val="24"/>
                <w:szCs w:val="24"/>
              </w:rPr>
              <w:t xml:space="preserve">требования и </w:t>
            </w:r>
            <w:r w:rsidRPr="001F3BAF">
              <w:rPr>
                <w:sz w:val="24"/>
                <w:szCs w:val="24"/>
              </w:rPr>
              <w:t>рекомендации</w:t>
            </w:r>
          </w:p>
        </w:tc>
        <w:tc>
          <w:tcPr>
            <w:tcW w:w="5953" w:type="dxa"/>
          </w:tcPr>
          <w:p w:rsidR="001774F9" w:rsidRDefault="001774F9" w:rsidP="00E907D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Применять современные материалы и оборудование, обеспечивающие технологическую и экологическую безопасность, энергетическую эффективность при эксплуатации проектируемых объектов.</w:t>
            </w:r>
          </w:p>
          <w:p w:rsidR="001774F9" w:rsidRDefault="001774F9" w:rsidP="00E907D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Закладываемые в проект материалы, оборудование и конструктивные решения согласовать с Заказчиком.  Проектирование вести с учётом охранных зон</w:t>
            </w:r>
          </w:p>
          <w:p w:rsidR="001774F9" w:rsidRPr="00A24EEC" w:rsidRDefault="001774F9" w:rsidP="00E907D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существующих коммуникаций, при необходимости выполнить проект выноса сетей, попадающих в пятно застройки. </w:t>
            </w:r>
          </w:p>
        </w:tc>
      </w:tr>
    </w:tbl>
    <w:p w:rsidR="001774F9" w:rsidRPr="001F3BAF" w:rsidRDefault="001774F9" w:rsidP="001774F9">
      <w:pPr>
        <w:jc w:val="both"/>
        <w:rPr>
          <w:i/>
          <w:sz w:val="24"/>
          <w:szCs w:val="24"/>
        </w:rPr>
      </w:pPr>
    </w:p>
    <w:p w:rsidR="001774F9" w:rsidRDefault="001774F9" w:rsidP="001774F9">
      <w:pPr>
        <w:jc w:val="both"/>
        <w:rPr>
          <w:sz w:val="24"/>
          <w:szCs w:val="24"/>
        </w:rPr>
      </w:pPr>
    </w:p>
    <w:p w:rsidR="00F57B81" w:rsidRPr="00DB2584" w:rsidRDefault="00F57B81" w:rsidP="001774F9">
      <w:pPr>
        <w:pStyle w:val="3"/>
      </w:pPr>
    </w:p>
    <w:sectPr w:rsidR="00F57B81" w:rsidRPr="00DB2584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2F5"/>
    <w:multiLevelType w:val="hybridMultilevel"/>
    <w:tmpl w:val="4B66ED32"/>
    <w:lvl w:ilvl="0" w:tplc="D22A2936">
      <w:start w:val="1"/>
      <w:numFmt w:val="decimal"/>
      <w:lvlText w:val="%1."/>
      <w:lvlJc w:val="left"/>
      <w:pPr>
        <w:tabs>
          <w:tab w:val="num" w:pos="453"/>
        </w:tabs>
        <w:ind w:left="45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1">
    <w:nsid w:val="02A0614C"/>
    <w:multiLevelType w:val="hybridMultilevel"/>
    <w:tmpl w:val="C072679E"/>
    <w:lvl w:ilvl="0" w:tplc="A51EE68E">
      <w:start w:val="1"/>
      <w:numFmt w:val="bullet"/>
      <w:lvlText w:val=""/>
      <w:lvlJc w:val="left"/>
      <w:pPr>
        <w:tabs>
          <w:tab w:val="num" w:pos="1195"/>
        </w:tabs>
        <w:ind w:left="11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">
    <w:nsid w:val="16F744F8"/>
    <w:multiLevelType w:val="hybridMultilevel"/>
    <w:tmpl w:val="163C7300"/>
    <w:lvl w:ilvl="0" w:tplc="A51EE68E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3">
    <w:nsid w:val="608E6ACC"/>
    <w:multiLevelType w:val="hybridMultilevel"/>
    <w:tmpl w:val="7216437C"/>
    <w:lvl w:ilvl="0" w:tplc="17A0D95E">
      <w:start w:val="1"/>
      <w:numFmt w:val="decimal"/>
      <w:lvlText w:val="%1.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4">
    <w:nsid w:val="63591790"/>
    <w:multiLevelType w:val="hybridMultilevel"/>
    <w:tmpl w:val="C63092C8"/>
    <w:lvl w:ilvl="0" w:tplc="CC44F722">
      <w:start w:val="1"/>
      <w:numFmt w:val="decimal"/>
      <w:lvlText w:val="%1.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13"/>
        </w:tabs>
        <w:ind w:left="111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5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584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774F9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469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3A40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92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AF1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584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58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b/>
      <w:bCs/>
      <w:iCs/>
    </w:rPr>
  </w:style>
  <w:style w:type="paragraph" w:styleId="5">
    <w:name w:val="heading 5"/>
    <w:basedOn w:val="a"/>
    <w:next w:val="a"/>
    <w:link w:val="50"/>
    <w:qFormat/>
    <w:rsid w:val="00DB2584"/>
    <w:pPr>
      <w:keepNext/>
      <w:spacing w:line="360" w:lineRule="auto"/>
      <w:jc w:val="both"/>
      <w:outlineLvl w:val="4"/>
    </w:pPr>
    <w:rPr>
      <w:i/>
      <w:sz w:val="24"/>
      <w:szCs w:val="20"/>
    </w:rPr>
  </w:style>
  <w:style w:type="paragraph" w:styleId="6">
    <w:name w:val="heading 6"/>
    <w:basedOn w:val="a"/>
    <w:next w:val="a"/>
    <w:link w:val="60"/>
    <w:qFormat/>
    <w:rsid w:val="00DB2584"/>
    <w:pPr>
      <w:keepNext/>
      <w:ind w:left="33"/>
      <w:jc w:val="both"/>
      <w:outlineLvl w:val="5"/>
    </w:pPr>
    <w:rPr>
      <w:i/>
      <w:sz w:val="24"/>
      <w:szCs w:val="20"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50">
    <w:name w:val="Заголовок 5 Знак"/>
    <w:basedOn w:val="a0"/>
    <w:link w:val="5"/>
    <w:rsid w:val="00DB2584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B2584"/>
    <w:rPr>
      <w:rFonts w:ascii="Times New Roman" w:eastAsia="Times New Roman" w:hAnsi="Times New Roman" w:cs="Times New Roman"/>
      <w:i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639</Words>
  <Characters>3644</Characters>
  <Application>Microsoft Office Word</Application>
  <DocSecurity>0</DocSecurity>
  <Lines>30</Lines>
  <Paragraphs>8</Paragraphs>
  <ScaleCrop>false</ScaleCrop>
  <Company>Microsoft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cp:lastPrinted>2013-10-30T04:47:00Z</cp:lastPrinted>
  <dcterms:created xsi:type="dcterms:W3CDTF">2013-10-15T09:58:00Z</dcterms:created>
  <dcterms:modified xsi:type="dcterms:W3CDTF">2013-10-30T04:47:00Z</dcterms:modified>
</cp:coreProperties>
</file>