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0A" w:rsidRPr="00EA7251" w:rsidRDefault="003A5E0A" w:rsidP="003A5E0A">
      <w:pPr>
        <w:jc w:val="right"/>
        <w:rPr>
          <w:sz w:val="24"/>
          <w:szCs w:val="24"/>
        </w:rPr>
      </w:pPr>
      <w:r w:rsidRPr="00EA7251">
        <w:rPr>
          <w:sz w:val="24"/>
          <w:szCs w:val="24"/>
        </w:rPr>
        <w:t>Приложение №</w:t>
      </w:r>
      <w:r>
        <w:rPr>
          <w:sz w:val="24"/>
          <w:szCs w:val="24"/>
        </w:rPr>
        <w:t>2</w:t>
      </w:r>
    </w:p>
    <w:p w:rsidR="003A5E0A" w:rsidRDefault="003A5E0A" w:rsidP="003A5E0A">
      <w:pPr>
        <w:jc w:val="right"/>
        <w:rPr>
          <w:sz w:val="24"/>
          <w:szCs w:val="24"/>
        </w:rPr>
      </w:pPr>
      <w:r w:rsidRPr="00E57098">
        <w:rPr>
          <w:sz w:val="24"/>
          <w:szCs w:val="24"/>
        </w:rPr>
        <w:t xml:space="preserve">к документации об </w:t>
      </w:r>
      <w:r>
        <w:rPr>
          <w:sz w:val="24"/>
          <w:szCs w:val="24"/>
        </w:rPr>
        <w:t>открытом</w:t>
      </w:r>
    </w:p>
    <w:p w:rsidR="003A5E0A" w:rsidRPr="009E6E11" w:rsidRDefault="003A5E0A" w:rsidP="003A5E0A">
      <w:pPr>
        <w:jc w:val="right"/>
        <w:rPr>
          <w:b/>
          <w:sz w:val="28"/>
          <w:szCs w:val="28"/>
        </w:rPr>
      </w:pPr>
      <w:r w:rsidRPr="00E57098">
        <w:rPr>
          <w:sz w:val="24"/>
          <w:szCs w:val="24"/>
        </w:rPr>
        <w:t>аукционе</w:t>
      </w:r>
      <w:r>
        <w:rPr>
          <w:sz w:val="24"/>
          <w:szCs w:val="24"/>
        </w:rPr>
        <w:t xml:space="preserve"> в электронной форме</w:t>
      </w:r>
    </w:p>
    <w:p w:rsidR="003A5E0A" w:rsidRDefault="003A5E0A" w:rsidP="003A5E0A">
      <w:pPr>
        <w:jc w:val="center"/>
        <w:rPr>
          <w:b/>
          <w:sz w:val="24"/>
          <w:szCs w:val="24"/>
        </w:rPr>
      </w:pPr>
      <w:r w:rsidRPr="009252BC">
        <w:rPr>
          <w:b/>
          <w:sz w:val="24"/>
          <w:szCs w:val="24"/>
        </w:rPr>
        <w:t>Конкретные показатели товаров, используемых при выполнении работ</w:t>
      </w:r>
    </w:p>
    <w:p w:rsidR="006A22EA" w:rsidRDefault="006A22EA" w:rsidP="003A5E0A">
      <w:pPr>
        <w:jc w:val="center"/>
        <w:rPr>
          <w:b/>
          <w:sz w:val="24"/>
          <w:szCs w:val="24"/>
        </w:rPr>
      </w:pPr>
    </w:p>
    <w:p w:rsidR="000E6D5D" w:rsidRDefault="000E6D5D" w:rsidP="000E6D5D">
      <w:pPr>
        <w:jc w:val="both"/>
        <w:rPr>
          <w:sz w:val="24"/>
          <w:szCs w:val="24"/>
        </w:rPr>
      </w:pPr>
    </w:p>
    <w:tbl>
      <w:tblPr>
        <w:tblpPr w:leftFromText="180" w:rightFromText="180" w:vertAnchor="page" w:horzAnchor="margin" w:tblpXSpec="center" w:tblpY="2560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0"/>
        <w:gridCol w:w="3507"/>
        <w:gridCol w:w="2918"/>
        <w:gridCol w:w="3461"/>
        <w:gridCol w:w="4253"/>
      </w:tblGrid>
      <w:tr w:rsidR="006A22EA" w:rsidRPr="00661017" w:rsidTr="009903AE">
        <w:trPr>
          <w:trHeight w:val="1557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bCs/>
                <w:sz w:val="24"/>
                <w:szCs w:val="24"/>
              </w:rPr>
            </w:pPr>
            <w:r w:rsidRPr="00661017">
              <w:rPr>
                <w:bCs/>
                <w:sz w:val="24"/>
                <w:szCs w:val="24"/>
              </w:rPr>
              <w:t>№</w:t>
            </w:r>
          </w:p>
          <w:p w:rsidR="006A22EA" w:rsidRPr="00661017" w:rsidRDefault="006A22EA" w:rsidP="009903AE">
            <w:pPr>
              <w:jc w:val="center"/>
              <w:rPr>
                <w:bCs/>
                <w:sz w:val="24"/>
                <w:szCs w:val="24"/>
              </w:rPr>
            </w:pPr>
            <w:r w:rsidRPr="0066101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rPr>
                <w:bCs/>
              </w:rPr>
            </w:pPr>
            <w:r w:rsidRPr="00661017">
              <w:rPr>
                <w:bCs/>
              </w:rPr>
              <w:t>Наименование товара, используемого при производстве работ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jc w:val="center"/>
              <w:rPr>
                <w:bCs/>
              </w:rPr>
            </w:pPr>
            <w:r w:rsidRPr="00661017">
              <w:rPr>
                <w:bCs/>
              </w:rPr>
              <w:t>Требования к товарам, используемым</w:t>
            </w:r>
          </w:p>
          <w:p w:rsidR="006A22EA" w:rsidRPr="00661017" w:rsidRDefault="006A22EA" w:rsidP="009903AE">
            <w:pPr>
              <w:jc w:val="center"/>
              <w:rPr>
                <w:bCs/>
              </w:rPr>
            </w:pPr>
            <w:r w:rsidRPr="00661017">
              <w:rPr>
                <w:bCs/>
              </w:rPr>
              <w:t>при производстве работ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jc w:val="center"/>
              <w:rPr>
                <w:bCs/>
              </w:rPr>
            </w:pPr>
            <w:r w:rsidRPr="00661017">
              <w:rPr>
                <w:bCs/>
              </w:rPr>
              <w:t>Конкретные показатели, соответствующие значениям, установленным документацией об открытом аукционе в электронной форме (заполняется участником размещения заказа)</w:t>
            </w: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jc w:val="center"/>
              <w:rPr>
                <w:bCs/>
              </w:rPr>
            </w:pPr>
            <w:r w:rsidRPr="00661017">
              <w:rPr>
                <w:bCs/>
              </w:rPr>
              <w:t>Товарный знак (при его наличии, заполняется участником размещения заказа) предлагаемого для использования при производстве работ товара</w:t>
            </w:r>
          </w:p>
        </w:tc>
      </w:tr>
      <w:tr w:rsidR="006A22EA" w:rsidRPr="00661017" w:rsidTr="009903AE">
        <w:trPr>
          <w:trHeight w:val="187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</w:pPr>
            <w:r w:rsidRPr="00661017">
              <w:t>1</w:t>
            </w:r>
          </w:p>
        </w:tc>
        <w:tc>
          <w:tcPr>
            <w:tcW w:w="3507" w:type="dxa"/>
          </w:tcPr>
          <w:p w:rsidR="006A22EA" w:rsidRPr="00661017" w:rsidRDefault="006A22EA" w:rsidP="009903AE">
            <w:pPr>
              <w:jc w:val="center"/>
            </w:pPr>
            <w:r w:rsidRPr="00661017">
              <w:t>2</w:t>
            </w:r>
          </w:p>
        </w:tc>
        <w:tc>
          <w:tcPr>
            <w:tcW w:w="2918" w:type="dxa"/>
          </w:tcPr>
          <w:p w:rsidR="006A22EA" w:rsidRPr="00661017" w:rsidRDefault="006A22EA" w:rsidP="009903AE">
            <w:pPr>
              <w:jc w:val="center"/>
            </w:pPr>
            <w:r w:rsidRPr="00661017">
              <w:t>3</w:t>
            </w:r>
          </w:p>
        </w:tc>
        <w:tc>
          <w:tcPr>
            <w:tcW w:w="3461" w:type="dxa"/>
          </w:tcPr>
          <w:p w:rsidR="006A22EA" w:rsidRPr="00661017" w:rsidRDefault="006A22EA" w:rsidP="009903AE">
            <w:pPr>
              <w:jc w:val="center"/>
            </w:pPr>
            <w:r w:rsidRPr="00661017">
              <w:t>4</w:t>
            </w:r>
          </w:p>
        </w:tc>
        <w:tc>
          <w:tcPr>
            <w:tcW w:w="4253" w:type="dxa"/>
          </w:tcPr>
          <w:p w:rsidR="006A22EA" w:rsidRPr="00661017" w:rsidRDefault="006A22EA" w:rsidP="009903AE">
            <w:pPr>
              <w:jc w:val="center"/>
            </w:pPr>
            <w:r w:rsidRPr="00661017">
              <w:t>5</w:t>
            </w:r>
          </w:p>
        </w:tc>
      </w:tr>
      <w:tr w:rsidR="006A22EA" w:rsidRPr="00661017" w:rsidTr="009903AE">
        <w:trPr>
          <w:trHeight w:val="163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1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>Брусок для создания каркаса и укрытия хвойных пород</w:t>
            </w:r>
          </w:p>
          <w:p w:rsidR="006A22EA" w:rsidRPr="00661017" w:rsidRDefault="006A22EA" w:rsidP="006A22EA">
            <w:pPr>
              <w:keepNext/>
              <w:numPr>
                <w:ilvl w:val="1"/>
                <w:numId w:val="1"/>
              </w:numPr>
              <w:tabs>
                <w:tab w:val="clear" w:pos="1248"/>
              </w:tabs>
              <w:spacing w:after="60" w:line="240" w:lineRule="exact"/>
              <w:ind w:left="0" w:firstLine="0"/>
              <w:outlineLvl w:val="1"/>
              <w:rPr>
                <w:iCs/>
              </w:rPr>
            </w:pPr>
            <w:r w:rsidRPr="00661017">
              <w:rPr>
                <w:iCs/>
              </w:rPr>
              <w:t xml:space="preserve">ГОСТ 2695-83 "Пиломатериалы лиственных пород. </w:t>
            </w:r>
          </w:p>
          <w:p w:rsidR="006A22EA" w:rsidRPr="00661017" w:rsidRDefault="006A22EA" w:rsidP="006A22EA">
            <w:pPr>
              <w:keepNext/>
              <w:numPr>
                <w:ilvl w:val="1"/>
                <w:numId w:val="1"/>
              </w:numPr>
              <w:tabs>
                <w:tab w:val="clear" w:pos="1248"/>
              </w:tabs>
              <w:spacing w:after="60" w:line="240" w:lineRule="exact"/>
              <w:ind w:left="0" w:firstLine="0"/>
              <w:outlineLvl w:val="1"/>
              <w:rPr>
                <w:iCs/>
              </w:rPr>
            </w:pPr>
            <w:r w:rsidRPr="00661017">
              <w:rPr>
                <w:iCs/>
              </w:rPr>
              <w:t>ГОСТ 8486-86 "Пиломатериалы хвойных пород. Технические условия",</w:t>
            </w:r>
          </w:p>
          <w:p w:rsidR="006A22EA" w:rsidRPr="00661017" w:rsidRDefault="006A22EA" w:rsidP="006A22EA">
            <w:pPr>
              <w:keepNext/>
              <w:numPr>
                <w:ilvl w:val="1"/>
                <w:numId w:val="1"/>
              </w:numPr>
              <w:tabs>
                <w:tab w:val="clear" w:pos="1248"/>
              </w:tabs>
              <w:spacing w:after="60" w:line="240" w:lineRule="exact"/>
              <w:ind w:left="0" w:firstLine="0"/>
              <w:outlineLvl w:val="1"/>
              <w:rPr>
                <w:iCs/>
                <w:u w:val="single"/>
              </w:rPr>
            </w:pPr>
            <w:r w:rsidRPr="00661017">
              <w:rPr>
                <w:iCs/>
              </w:rPr>
              <w:t>ГОСТ 24454-80 "Пиломатериалы хвойных пород. Размеры"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>Пиломатериалы хвойных либо лиственных пород с сечением 40х40 мм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</w:tr>
      <w:tr w:rsidR="006A22EA" w:rsidRPr="00661017" w:rsidTr="009903AE">
        <w:trPr>
          <w:trHeight w:val="1661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2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>Полотно укрывное сельскохозяйственное для укрытия хвойных пород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t>ТУ 8397-002-55443925-2006 "Полотно укрывное сельскохозяйственное АГРОТЕКС"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rPr>
                <w:shd w:val="clear" w:color="auto" w:fill="FFFFFF"/>
              </w:rPr>
              <w:t>Поверхностная плотность 30±5 г/м2; цвет белый.</w:t>
            </w:r>
            <w:r w:rsidRPr="00661017">
              <w:t xml:space="preserve"> Полотно укрывное сельскохозяйственное "АГРОТЕКС"  или эквивалент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</w:tr>
      <w:tr w:rsidR="006A22EA" w:rsidRPr="00661017" w:rsidTr="009903AE">
        <w:trPr>
          <w:trHeight w:val="374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3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>Вода для полива растений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t>ГОСТ 17.1.1.04-80 "</w:t>
            </w:r>
            <w:r w:rsidRPr="00661017">
              <w:rPr>
                <w:bCs/>
              </w:rPr>
              <w:t>Охрана природы. Гидросфера. Классификация подземных вод по целям водопользования"</w:t>
            </w:r>
            <w:r w:rsidRPr="00661017">
              <w:t>,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t>СанПиН 2.1.4.1074-01 "</w:t>
            </w:r>
            <w:r w:rsidRPr="00661017">
              <w:rPr>
                <w:bCs/>
              </w:rPr>
              <w:t xml:space="preserve">Питьевая </w:t>
            </w:r>
            <w:r w:rsidRPr="00661017">
              <w:rPr>
                <w:bCs/>
              </w:rPr>
              <w:lastRenderedPageBreak/>
              <w:t>вода. Гигиенические требованияк качеству воды централизованных систем питьевого водоснабжения.Контроль качества"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keepNext/>
              <w:shd w:val="clear" w:color="auto" w:fill="FFFFFF"/>
              <w:suppressAutoHyphens/>
              <w:spacing w:line="240" w:lineRule="exact"/>
              <w:jc w:val="both"/>
              <w:outlineLvl w:val="0"/>
              <w:rPr>
                <w:rFonts w:eastAsia="Arial"/>
                <w:bCs/>
                <w:lang w:eastAsia="ar-SA"/>
              </w:rPr>
            </w:pPr>
            <w:r w:rsidRPr="00661017">
              <w:rPr>
                <w:rFonts w:eastAsia="Arial"/>
                <w:lang w:eastAsia="ar-SA"/>
              </w:rPr>
              <w:lastRenderedPageBreak/>
              <w:t>Вода, пригодная для нужд сельского хозяйства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</w:tr>
      <w:tr w:rsidR="006A22EA" w:rsidRPr="00661017" w:rsidTr="009903AE">
        <w:trPr>
          <w:trHeight w:val="1656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bCs/>
              </w:rPr>
            </w:pPr>
            <w:r w:rsidRPr="00661017">
              <w:t>Удобрения комплексные минеральные для подкормки растений</w:t>
            </w:r>
          </w:p>
          <w:p w:rsidR="006A22EA" w:rsidRPr="00661017" w:rsidRDefault="006A22EA" w:rsidP="009903AE">
            <w:pPr>
              <w:spacing w:line="240" w:lineRule="exact"/>
              <w:rPr>
                <w:bCs/>
              </w:rPr>
            </w:pPr>
            <w:r w:rsidRPr="00661017">
              <w:rPr>
                <w:bCs/>
              </w:rPr>
              <w:t>ГОСТ Р 51520-99 "Удобрения минеральные. Общие технические условия",</w:t>
            </w:r>
          </w:p>
          <w:p w:rsidR="006A22EA" w:rsidRPr="00661017" w:rsidRDefault="006A22EA" w:rsidP="009903AE">
            <w:pPr>
              <w:spacing w:line="240" w:lineRule="exact"/>
              <w:rPr>
                <w:bCs/>
              </w:rPr>
            </w:pPr>
            <w:r w:rsidRPr="00661017">
              <w:rPr>
                <w:bCs/>
              </w:rPr>
              <w:t>ТУ 113-08-569-98 "Диаммофоска марки Б"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 xml:space="preserve">"Диаммофоска" 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t>или эквивалент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shd w:val="clear" w:color="auto" w:fill="FFFFFF"/>
              </w:rPr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</w:tr>
      <w:tr w:rsidR="006A22EA" w:rsidRPr="00661017" w:rsidTr="009903AE">
        <w:trPr>
          <w:trHeight w:val="1695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5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>Рассада однолетних цветочных культур для устройства цветников из однолетних растений и для устройства цветников  вертикального озеленения.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rPr>
                <w:bCs/>
              </w:rPr>
              <w:t xml:space="preserve">ГОСТ 28852-90 "Рассада цветочных культур. Технические условия" 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rPr>
                <w:bCs/>
              </w:rPr>
              <w:t>Рассада по качеству должна соответствовать требованиям, указанным в таблице п. 1.1.3. ГОСТ 28852-90 к 15 мая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shd w:val="clear" w:color="auto" w:fill="FFFFFF"/>
              </w:rPr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</w:tr>
      <w:tr w:rsidR="006A22EA" w:rsidRPr="00661017" w:rsidTr="009903AE">
        <w:trPr>
          <w:trHeight w:val="416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6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bCs/>
              </w:rPr>
            </w:pPr>
            <w:r w:rsidRPr="00661017">
              <w:t>Эмаль ПФ-115 для покраски металлических элементов малых архитектурных форм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rPr>
                <w:bCs/>
              </w:rPr>
              <w:t>ГОСТ 6465-76 "Эмали ПФ-115. Технические условия"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>Эмаль ПФ-115 высокоглянцевая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</w:tr>
      <w:tr w:rsidR="006A22EA" w:rsidRPr="00661017" w:rsidTr="009903AE">
        <w:trPr>
          <w:trHeight w:val="416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7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bCs/>
              </w:rPr>
            </w:pPr>
            <w:r w:rsidRPr="00661017">
              <w:t>Керамзитовый гравий (керамзит) для дренажа в чашах вертикального озеленения (устройство цветников вертикального озеленения)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rPr>
                <w:bCs/>
              </w:rPr>
              <w:t>ГОСТ 9757-90 "Гравий, щебень и песок искусственные пористые. Технические условия"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>Водопоглощение не менее 10%. Фракция 10-20 мм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</w:tr>
      <w:tr w:rsidR="006A22EA" w:rsidRPr="00661017" w:rsidTr="009903AE">
        <w:trPr>
          <w:trHeight w:val="837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8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>Плодородный грунт для устройства цветников вертикального озеленения ГОСТ 17.4.2.01-81 "Охрана природы. Почвы. Номенклатура показателей санитарного состояния" ТУ 0390-001-77952834-2007 "Плодородный грунт "Садовый универсальный"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 xml:space="preserve">Плодородный грунт 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t xml:space="preserve">"Садовый универсальный" 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t>или эквивалент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</w:tr>
      <w:tr w:rsidR="006A22EA" w:rsidRPr="00661017" w:rsidTr="009903AE">
        <w:trPr>
          <w:trHeight w:val="1322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caps/>
              </w:rPr>
            </w:pPr>
            <w:r w:rsidRPr="00661017">
              <w:t xml:space="preserve">Гидрогель для устройства цветников из однолетних растений и для устройства цветников  вертикального озеленения. </w:t>
            </w:r>
            <w:r w:rsidRPr="00661017">
              <w:rPr>
                <w:caps/>
              </w:rPr>
              <w:t>ТУ 2387-022-58665419-06 "</w:t>
            </w:r>
            <w:r w:rsidRPr="00661017">
              <w:rPr>
                <w:shd w:val="clear" w:color="auto" w:fill="FFFFFF"/>
              </w:rPr>
              <w:t>Гидрогель "Кондиционер для почвы"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keepNext/>
              <w:shd w:val="clear" w:color="auto" w:fill="FFFFFF"/>
              <w:suppressAutoHyphens/>
              <w:spacing w:line="240" w:lineRule="exact"/>
              <w:ind w:firstLine="34"/>
              <w:outlineLvl w:val="0"/>
              <w:rPr>
                <w:rFonts w:eastAsia="Arial"/>
                <w:bCs/>
                <w:lang w:eastAsia="ar-SA"/>
              </w:rPr>
            </w:pPr>
            <w:r w:rsidRPr="00661017">
              <w:rPr>
                <w:rFonts w:eastAsia="Arial"/>
                <w:lang w:eastAsia="ar-SA"/>
              </w:rPr>
              <w:t>Гидрогель «Кондиционер для почвы» или эквивалент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</w:tr>
      <w:tr w:rsidR="006A22EA" w:rsidRPr="00661017" w:rsidTr="009903AE">
        <w:trPr>
          <w:trHeight w:val="979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10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>Вар садовый для замазывания ран деревьев и кустарников при обрезке ветвей, механических повреждениях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t>ТУ 2387-012-02952213-96 "Вар садовый "Садовник"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 xml:space="preserve">Вар садовый "Садовник" 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t>или эквивалент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b/>
              </w:rPr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</w:tr>
      <w:tr w:rsidR="006A22EA" w:rsidRPr="00661017" w:rsidTr="009903AE">
        <w:trPr>
          <w:trHeight w:val="1555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11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rPr>
                <w:shd w:val="clear" w:color="auto" w:fill="FFFFFF"/>
              </w:rPr>
              <w:t xml:space="preserve">Регулятор роста растений "Эпин" </w:t>
            </w:r>
            <w:r w:rsidRPr="00661017">
              <w:t>для устройства цветников из однолетних растений и для устройства цветников  вертикального озеленения.</w:t>
            </w:r>
          </w:p>
          <w:p w:rsidR="006A22EA" w:rsidRPr="00661017" w:rsidRDefault="006A22EA" w:rsidP="009903AE">
            <w:pPr>
              <w:spacing w:line="240" w:lineRule="exact"/>
            </w:pPr>
            <w:r w:rsidRPr="00661017">
              <w:rPr>
                <w:shd w:val="clear" w:color="auto" w:fill="FFFFFF"/>
              </w:rPr>
              <w:t>ТУ 2387-002-18769652-06 "</w:t>
            </w:r>
            <w:r w:rsidRPr="00661017">
              <w:t>Регулятор роста растений "Эпин-Экстра"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rPr>
                <w:bCs/>
              </w:rPr>
              <w:t>Регулятор роста растений "Эпин-Экстра" или эквивалент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b/>
              </w:rPr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</w:tr>
      <w:tr w:rsidR="006A22EA" w:rsidRPr="00661017" w:rsidTr="009903AE">
        <w:trPr>
          <w:trHeight w:val="1648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12</w:t>
            </w:r>
          </w:p>
        </w:tc>
        <w:tc>
          <w:tcPr>
            <w:tcW w:w="3507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  <w:r w:rsidRPr="00661017">
              <w:t>Защитное покрытие для обработки деревянных элементов малых архитектурных форм</w:t>
            </w:r>
          </w:p>
          <w:p w:rsidR="006A22EA" w:rsidRPr="00661017" w:rsidRDefault="006A22EA" w:rsidP="009903AE">
            <w:pPr>
              <w:spacing w:line="240" w:lineRule="exact"/>
              <w:rPr>
                <w:shd w:val="clear" w:color="auto" w:fill="FFFFFF"/>
              </w:rPr>
            </w:pPr>
            <w:r w:rsidRPr="00661017">
              <w:rPr>
                <w:shd w:val="clear" w:color="auto" w:fill="FFFFFF"/>
              </w:rPr>
              <w:t>ТУ 2312-002-40898471-2005 "</w:t>
            </w:r>
            <w:r w:rsidRPr="00661017">
              <w:t>Защитно-декоративное покрытие для древесины "</w:t>
            </w:r>
            <w:r w:rsidRPr="00661017">
              <w:rPr>
                <w:shd w:val="clear" w:color="auto" w:fill="FFFFFF"/>
              </w:rPr>
              <w:t>ПЕНЕТРЕКС-УНИВЕРСАЛ"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Защитно-декоративное покрытие для древесины "</w:t>
            </w:r>
            <w:r w:rsidRPr="00661017">
              <w:rPr>
                <w:sz w:val="24"/>
                <w:szCs w:val="24"/>
                <w:shd w:val="clear" w:color="auto" w:fill="FFFFFF"/>
              </w:rPr>
              <w:t>ПЕНЕТРЕКС-УНИВЕРСАЛ</w:t>
            </w:r>
            <w:r w:rsidRPr="00661017">
              <w:rPr>
                <w:sz w:val="24"/>
                <w:szCs w:val="24"/>
              </w:rPr>
              <w:t xml:space="preserve">" </w:t>
            </w:r>
          </w:p>
          <w:p w:rsidR="006A22EA" w:rsidRPr="00661017" w:rsidRDefault="006A22EA" w:rsidP="009903AE">
            <w:pPr>
              <w:spacing w:line="240" w:lineRule="exact"/>
              <w:rPr>
                <w:bCs/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или эквивалент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A22EA" w:rsidRPr="00661017" w:rsidTr="009903AE">
        <w:trPr>
          <w:trHeight w:val="1648"/>
        </w:trPr>
        <w:tc>
          <w:tcPr>
            <w:tcW w:w="570" w:type="dxa"/>
          </w:tcPr>
          <w:p w:rsidR="006A22EA" w:rsidRPr="00661017" w:rsidRDefault="006A22EA" w:rsidP="009903AE">
            <w:pPr>
              <w:jc w:val="center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13</w:t>
            </w:r>
          </w:p>
        </w:tc>
        <w:tc>
          <w:tcPr>
            <w:tcW w:w="3507" w:type="dxa"/>
          </w:tcPr>
          <w:p w:rsidR="006A22EA" w:rsidRPr="00661017" w:rsidRDefault="006A22EA" w:rsidP="009903AE">
            <w:pPr>
              <w:rPr>
                <w:shd w:val="clear" w:color="auto" w:fill="FFFFFF"/>
              </w:rPr>
            </w:pPr>
            <w:r w:rsidRPr="00661017">
              <w:rPr>
                <w:shd w:val="clear" w:color="auto" w:fill="FFFFFF"/>
              </w:rPr>
              <w:t xml:space="preserve">Молотковая эмаль марки МЛ-165 для покраски металлических элементов вертикального озеленения. </w:t>
            </w:r>
          </w:p>
          <w:p w:rsidR="006A22EA" w:rsidRPr="00661017" w:rsidRDefault="006A22EA" w:rsidP="009903AE">
            <w:r w:rsidRPr="00661017">
              <w:rPr>
                <w:shd w:val="clear" w:color="auto" w:fill="FFFFFF"/>
              </w:rPr>
              <w:t>ГОСТ 12034-77</w:t>
            </w:r>
            <w:r w:rsidRPr="00661017">
              <w:rPr>
                <w:shd w:val="clear" w:color="auto" w:fill="FFFFFF"/>
                <w:vertAlign w:val="superscript"/>
              </w:rPr>
              <w:t>*</w:t>
            </w:r>
            <w:r w:rsidRPr="00661017">
              <w:rPr>
                <w:shd w:val="clear" w:color="auto" w:fill="FFFFFF"/>
              </w:rPr>
              <w:t xml:space="preserve"> «Эмали марок МЛ-165, МЛ-165ПМ, МС-160. Технические условия» переиздание (февраль1997г)</w:t>
            </w:r>
          </w:p>
        </w:tc>
        <w:tc>
          <w:tcPr>
            <w:tcW w:w="2918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sz w:val="24"/>
                <w:szCs w:val="24"/>
              </w:rPr>
            </w:pPr>
            <w:r w:rsidRPr="00661017">
              <w:rPr>
                <w:sz w:val="24"/>
                <w:szCs w:val="24"/>
              </w:rPr>
              <w:t>Эмаль марки МЛ-165 или эквивалент.</w:t>
            </w:r>
          </w:p>
        </w:tc>
        <w:tc>
          <w:tcPr>
            <w:tcW w:w="3461" w:type="dxa"/>
            <w:vAlign w:val="center"/>
          </w:tcPr>
          <w:p w:rsidR="006A22EA" w:rsidRPr="00661017" w:rsidRDefault="006A22EA" w:rsidP="009903AE">
            <w:pPr>
              <w:spacing w:line="240" w:lineRule="exact"/>
            </w:pPr>
          </w:p>
        </w:tc>
        <w:tc>
          <w:tcPr>
            <w:tcW w:w="4253" w:type="dxa"/>
            <w:vAlign w:val="center"/>
          </w:tcPr>
          <w:p w:rsidR="006A22EA" w:rsidRPr="00661017" w:rsidRDefault="006A22EA" w:rsidP="009903AE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BC44FA" w:rsidRDefault="000D7440"/>
    <w:p w:rsidR="00C01B6E" w:rsidRDefault="00C01B6E" w:rsidP="00C01B6E">
      <w:r w:rsidRPr="00B2083E">
        <w:rPr>
          <w:b/>
          <w:sz w:val="24"/>
          <w:szCs w:val="24"/>
        </w:rPr>
        <w:t>Примечание:</w:t>
      </w:r>
      <w:r>
        <w:rPr>
          <w:sz w:val="24"/>
          <w:szCs w:val="24"/>
        </w:rPr>
        <w:t>колонки 4 и 5 таблицы заполняются участником размещения заказа самостоятельно при подаче заявки на участие в открытом аукционе в электронной форме, в соответствии с требованиями аукционной документации.</w:t>
      </w:r>
    </w:p>
    <w:p w:rsidR="00C01B6E" w:rsidRDefault="00C01B6E"/>
    <w:sectPr w:rsidR="00C01B6E" w:rsidSect="003A5E0A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440" w:rsidRDefault="000D7440" w:rsidP="00C23709">
      <w:r>
        <w:separator/>
      </w:r>
    </w:p>
  </w:endnote>
  <w:endnote w:type="continuationSeparator" w:id="1">
    <w:p w:rsidR="000D7440" w:rsidRDefault="000D7440" w:rsidP="00C23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22672"/>
      <w:docPartObj>
        <w:docPartGallery w:val="Page Numbers (Bottom of Page)"/>
        <w:docPartUnique/>
      </w:docPartObj>
    </w:sdtPr>
    <w:sdtContent>
      <w:p w:rsidR="00C23709" w:rsidRDefault="008B25C7">
        <w:pPr>
          <w:pStyle w:val="a5"/>
          <w:jc w:val="right"/>
        </w:pPr>
        <w:r>
          <w:fldChar w:fldCharType="begin"/>
        </w:r>
        <w:r w:rsidR="00C06C48">
          <w:instrText xml:space="preserve"> PAGE   \* MERGEFORMAT </w:instrText>
        </w:r>
        <w:r>
          <w:fldChar w:fldCharType="separate"/>
        </w:r>
        <w:r w:rsidR="006A22E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23709" w:rsidRDefault="00C2370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440" w:rsidRDefault="000D7440" w:rsidP="00C23709">
      <w:r>
        <w:separator/>
      </w:r>
    </w:p>
  </w:footnote>
  <w:footnote w:type="continuationSeparator" w:id="1">
    <w:p w:rsidR="000D7440" w:rsidRDefault="000D7440" w:rsidP="00C237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56D2"/>
    <w:multiLevelType w:val="multilevel"/>
    <w:tmpl w:val="0AF6D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5E0A"/>
    <w:rsid w:val="00033DA6"/>
    <w:rsid w:val="000D7440"/>
    <w:rsid w:val="000E6D5D"/>
    <w:rsid w:val="0016039B"/>
    <w:rsid w:val="001613C6"/>
    <w:rsid w:val="00267B40"/>
    <w:rsid w:val="003A5E0A"/>
    <w:rsid w:val="003E2759"/>
    <w:rsid w:val="00407CC4"/>
    <w:rsid w:val="00540653"/>
    <w:rsid w:val="005A17B6"/>
    <w:rsid w:val="006A22EA"/>
    <w:rsid w:val="0071197D"/>
    <w:rsid w:val="008B25C7"/>
    <w:rsid w:val="00AF0FB6"/>
    <w:rsid w:val="00C01B6E"/>
    <w:rsid w:val="00C06C48"/>
    <w:rsid w:val="00C23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6D5D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lang w:eastAsia="ar-SA"/>
    </w:rPr>
  </w:style>
  <w:style w:type="paragraph" w:styleId="2">
    <w:name w:val="heading 2"/>
    <w:basedOn w:val="a"/>
    <w:next w:val="a"/>
    <w:link w:val="20"/>
    <w:qFormat/>
    <w:rsid w:val="000E6D5D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6D5D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E6D5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237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7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37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37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3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603</Words>
  <Characters>3440</Characters>
  <Application>Microsoft Office Word</Application>
  <DocSecurity>0</DocSecurity>
  <Lines>28</Lines>
  <Paragraphs>8</Paragraphs>
  <ScaleCrop>false</ScaleCrop>
  <Company>-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8</cp:revision>
  <dcterms:created xsi:type="dcterms:W3CDTF">2013-10-31T04:09:00Z</dcterms:created>
  <dcterms:modified xsi:type="dcterms:W3CDTF">2013-11-13T07:45:00Z</dcterms:modified>
</cp:coreProperties>
</file>