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BA" w:rsidRPr="0017711B" w:rsidRDefault="00132DBA" w:rsidP="00132DBA">
      <w:pPr>
        <w:jc w:val="right"/>
      </w:pPr>
      <w:r w:rsidRPr="0017711B">
        <w:t xml:space="preserve">Приложение № 1 к документации </w:t>
      </w:r>
    </w:p>
    <w:p w:rsidR="00132DBA" w:rsidRPr="0017711B" w:rsidRDefault="00132DBA" w:rsidP="00132DBA">
      <w:pPr>
        <w:jc w:val="right"/>
      </w:pPr>
      <w:r w:rsidRPr="0017711B">
        <w:t xml:space="preserve">                                                                           об открытом аукционе в электронной форме</w:t>
      </w:r>
    </w:p>
    <w:p w:rsidR="00132DBA" w:rsidRPr="0017711B" w:rsidRDefault="00132DBA" w:rsidP="00132DBA">
      <w:pPr>
        <w:jc w:val="right"/>
      </w:pPr>
      <w:r w:rsidRPr="0017711B">
        <w:t xml:space="preserve">                                                                         от «</w:t>
      </w:r>
      <w:r w:rsidR="0017711B">
        <w:t>19</w:t>
      </w:r>
      <w:r w:rsidRPr="0017711B">
        <w:t xml:space="preserve">» </w:t>
      </w:r>
      <w:r w:rsidR="00895D11" w:rsidRPr="0017711B">
        <w:t>ноябр</w:t>
      </w:r>
      <w:r w:rsidRPr="0017711B">
        <w:t xml:space="preserve">я 2013 г. № </w:t>
      </w:r>
      <w:r w:rsidR="0017711B">
        <w:t>0856300000213000070</w:t>
      </w:r>
    </w:p>
    <w:p w:rsidR="00132DBA" w:rsidRPr="0017711B" w:rsidRDefault="00132DBA" w:rsidP="00132DBA">
      <w:pPr>
        <w:jc w:val="right"/>
      </w:pPr>
      <w:r w:rsidRPr="0017711B">
        <w:t xml:space="preserve">   </w:t>
      </w:r>
      <w:proofErr w:type="gramStart"/>
      <w:r w:rsidRPr="0017711B">
        <w:t xml:space="preserve">(Приложение № 1 к муниципальному контракту </w:t>
      </w:r>
      <w:proofErr w:type="gramEnd"/>
    </w:p>
    <w:p w:rsidR="00132DBA" w:rsidRPr="0017711B" w:rsidRDefault="00132DBA" w:rsidP="00132DBA">
      <w:pPr>
        <w:jc w:val="right"/>
        <w:rPr>
          <w:b/>
        </w:rPr>
      </w:pPr>
      <w:r w:rsidRPr="0017711B">
        <w:t xml:space="preserve">                                                                          от «___» ___________ 2013 г. №__________)</w:t>
      </w:r>
    </w:p>
    <w:p w:rsidR="009C2418" w:rsidRDefault="009C2418" w:rsidP="007E0E8B">
      <w:pPr>
        <w:jc w:val="right"/>
        <w:rPr>
          <w:sz w:val="28"/>
          <w:szCs w:val="28"/>
          <w:highlight w:val="yellow"/>
        </w:rPr>
      </w:pPr>
    </w:p>
    <w:p w:rsidR="00132DBA" w:rsidRPr="00FC3364" w:rsidRDefault="00132DBA" w:rsidP="007E0E8B">
      <w:pPr>
        <w:jc w:val="right"/>
        <w:rPr>
          <w:sz w:val="28"/>
          <w:szCs w:val="28"/>
          <w:highlight w:val="yellow"/>
        </w:rPr>
      </w:pPr>
    </w:p>
    <w:p w:rsidR="009C2418" w:rsidRPr="003A0C2A" w:rsidRDefault="00A97063" w:rsidP="007E0E8B">
      <w:pPr>
        <w:pStyle w:val="31"/>
        <w:keepNext w:val="0"/>
        <w:ind w:right="708"/>
        <w:jc w:val="center"/>
        <w:rPr>
          <w:b/>
        </w:rPr>
      </w:pPr>
      <w:r>
        <w:rPr>
          <w:b/>
        </w:rPr>
        <w:t>ТЕХНИЧЕСКОЕ ЗАДАНИЕ</w:t>
      </w:r>
    </w:p>
    <w:p w:rsidR="00E653B7" w:rsidRDefault="00F91729" w:rsidP="00F91729">
      <w:pPr>
        <w:pStyle w:val="a3"/>
        <w:jc w:val="center"/>
        <w:rPr>
          <w:b/>
          <w:sz w:val="22"/>
          <w:szCs w:val="22"/>
        </w:rPr>
      </w:pPr>
      <w:r w:rsidRPr="00F91729">
        <w:rPr>
          <w:b/>
          <w:sz w:val="22"/>
          <w:szCs w:val="22"/>
        </w:rPr>
        <w:t>на выполнение работ по реконструкции светофорн</w:t>
      </w:r>
      <w:r w:rsidR="00895D11">
        <w:rPr>
          <w:b/>
          <w:sz w:val="22"/>
          <w:szCs w:val="22"/>
        </w:rPr>
        <w:t>ых</w:t>
      </w:r>
      <w:r w:rsidRPr="00F91729">
        <w:rPr>
          <w:b/>
          <w:sz w:val="22"/>
          <w:szCs w:val="22"/>
        </w:rPr>
        <w:t xml:space="preserve"> объект</w:t>
      </w:r>
      <w:r w:rsidR="00895D11">
        <w:rPr>
          <w:b/>
          <w:sz w:val="22"/>
          <w:szCs w:val="22"/>
        </w:rPr>
        <w:t>ов</w:t>
      </w:r>
    </w:p>
    <w:p w:rsidR="00F91729" w:rsidRDefault="00E653B7" w:rsidP="00F91729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895D11">
        <w:rPr>
          <w:b/>
          <w:sz w:val="22"/>
          <w:szCs w:val="22"/>
        </w:rPr>
        <w:t>улично-дорожной сети</w:t>
      </w:r>
      <w:r>
        <w:rPr>
          <w:b/>
          <w:sz w:val="22"/>
          <w:szCs w:val="22"/>
        </w:rPr>
        <w:t xml:space="preserve"> г.</w:t>
      </w:r>
      <w:r w:rsidR="001A14A6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Перми</w:t>
      </w:r>
    </w:p>
    <w:p w:rsidR="00E653B7" w:rsidRPr="00F91729" w:rsidRDefault="00E653B7" w:rsidP="00F91729">
      <w:pPr>
        <w:pStyle w:val="a3"/>
        <w:jc w:val="center"/>
        <w:rPr>
          <w:b/>
          <w:sz w:val="22"/>
          <w:szCs w:val="22"/>
        </w:rPr>
      </w:pPr>
    </w:p>
    <w:p w:rsidR="009C2418" w:rsidRPr="00A42B3A" w:rsidRDefault="009C2418" w:rsidP="007E0E8B">
      <w:pPr>
        <w:pStyle w:val="40"/>
        <w:numPr>
          <w:ilvl w:val="0"/>
          <w:numId w:val="3"/>
        </w:numPr>
        <w:spacing w:line="320" w:lineRule="exact"/>
        <w:ind w:left="0" w:firstLine="0"/>
        <w:contextualSpacing/>
        <w:rPr>
          <w:b/>
        </w:rPr>
      </w:pPr>
      <w:r w:rsidRPr="00A42B3A">
        <w:rPr>
          <w:b/>
        </w:rPr>
        <w:t>Разработка документации</w:t>
      </w:r>
    </w:p>
    <w:p w:rsidR="00744850" w:rsidRPr="00895D11" w:rsidRDefault="00744850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t>Разработать проект по реконструкции светофорн</w:t>
      </w:r>
      <w:r w:rsidR="002E108E" w:rsidRPr="00A42B3A">
        <w:t>ого</w:t>
      </w:r>
      <w:r w:rsidRPr="00A42B3A">
        <w:t xml:space="preserve"> объект</w:t>
      </w:r>
      <w:r w:rsidR="002E108E" w:rsidRPr="00A42B3A">
        <w:t>а</w:t>
      </w:r>
      <w:r w:rsidR="00F64998">
        <w:t xml:space="preserve"> </w:t>
      </w:r>
      <w:r w:rsidRPr="00A42B3A">
        <w:t>на перекрестк</w:t>
      </w:r>
      <w:r w:rsidR="002E108E" w:rsidRPr="00A42B3A">
        <w:t>е</w:t>
      </w:r>
      <w:r w:rsidRPr="00A42B3A">
        <w:t xml:space="preserve"> </w:t>
      </w:r>
      <w:r w:rsidR="00565A67">
        <w:t xml:space="preserve">ул. Островского - </w:t>
      </w:r>
      <w:r w:rsidR="00895D11">
        <w:t xml:space="preserve">ул.1-я </w:t>
      </w:r>
      <w:proofErr w:type="gramStart"/>
      <w:r w:rsidR="00895D11">
        <w:t>Красноармейская</w:t>
      </w:r>
      <w:proofErr w:type="gramEnd"/>
      <w:r w:rsidR="00895D11">
        <w:t xml:space="preserve"> в Свердловском районе г.</w:t>
      </w:r>
      <w:r w:rsidR="00F64998">
        <w:t xml:space="preserve"> </w:t>
      </w:r>
      <w:r w:rsidR="00895D11">
        <w:t>Перми</w:t>
      </w:r>
      <w:r w:rsidR="00DA3E4A" w:rsidRPr="00A42B3A">
        <w:t>, предусматривающий установку дополнительн</w:t>
      </w:r>
      <w:r w:rsidR="00FA6391" w:rsidRPr="00A42B3A">
        <w:t>ых</w:t>
      </w:r>
      <w:r w:rsidR="00DA3E4A" w:rsidRPr="00A42B3A">
        <w:t xml:space="preserve"> </w:t>
      </w:r>
      <w:r w:rsidR="00FA6391" w:rsidRPr="00A42B3A">
        <w:t>пешеходных светофоров</w:t>
      </w:r>
      <w:r w:rsidR="00DA3E4A" w:rsidRPr="00A42B3A">
        <w:t xml:space="preserve"> в соответствии с прилагаемой к техническому заданию схемой</w:t>
      </w:r>
      <w:r w:rsidR="00A42B3A" w:rsidRPr="00A42B3A">
        <w:t xml:space="preserve"> (Приложение № 1 к настоящему техническому заданию)</w:t>
      </w:r>
      <w:r w:rsidRPr="00A42B3A">
        <w:t>.</w:t>
      </w:r>
      <w:r w:rsidRPr="00A42B3A">
        <w:rPr>
          <w:rFonts w:eastAsia="Times New Roman"/>
        </w:rPr>
        <w:t xml:space="preserve"> </w:t>
      </w:r>
      <w:r w:rsidRPr="00A42B3A">
        <w:t>Согласовать проект с отделом ГИБДД УМВД России по городу Перми и Заказчиком.</w:t>
      </w:r>
    </w:p>
    <w:p w:rsidR="00895D11" w:rsidRPr="00A42B3A" w:rsidRDefault="00895D11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t>Разработать проект по реконструкции светофорно</w:t>
      </w:r>
      <w:r w:rsidR="00F64998">
        <w:t xml:space="preserve">го объекта </w:t>
      </w:r>
      <w:r w:rsidRPr="00A42B3A">
        <w:t xml:space="preserve">на перекрестке </w:t>
      </w:r>
      <w:r>
        <w:t>ул.</w:t>
      </w:r>
      <w:r w:rsidR="00F64998">
        <w:t xml:space="preserve"> </w:t>
      </w:r>
      <w:proofErr w:type="gramStart"/>
      <w:r>
        <w:t>Соликамская</w:t>
      </w:r>
      <w:proofErr w:type="gramEnd"/>
      <w:r>
        <w:t xml:space="preserve"> –</w:t>
      </w:r>
      <w:r w:rsidR="0019081D">
        <w:t xml:space="preserve"> </w:t>
      </w:r>
      <w:r>
        <w:t>ул.</w:t>
      </w:r>
      <w:r w:rsidR="00F64998">
        <w:t xml:space="preserve"> </w:t>
      </w:r>
      <w:r>
        <w:t>Переездная в Мотовилихинском районе г.</w:t>
      </w:r>
      <w:r w:rsidR="00F64998">
        <w:t xml:space="preserve"> </w:t>
      </w:r>
      <w:r>
        <w:t>Перми</w:t>
      </w:r>
      <w:r w:rsidRPr="00A42B3A">
        <w:t xml:space="preserve">, предусматривающий </w:t>
      </w:r>
      <w:r>
        <w:t>замену</w:t>
      </w:r>
      <w:r w:rsidRPr="00A42B3A">
        <w:t xml:space="preserve"> </w:t>
      </w:r>
      <w:r>
        <w:t>ламповых</w:t>
      </w:r>
      <w:r w:rsidRPr="00A42B3A">
        <w:t xml:space="preserve"> пешеходных светофоров </w:t>
      </w:r>
      <w:r>
        <w:t>на светодиодные пешеходные светофоры</w:t>
      </w:r>
      <w:r w:rsidR="00565A67">
        <w:t xml:space="preserve"> </w:t>
      </w:r>
      <w:r w:rsidR="00565A67" w:rsidRPr="00A42B3A">
        <w:t xml:space="preserve">в соответствии с прилагаемой к техническому заданию схемой (Приложение № </w:t>
      </w:r>
      <w:r w:rsidR="00565A67">
        <w:t>2</w:t>
      </w:r>
      <w:r w:rsidR="00565A67" w:rsidRPr="00A42B3A">
        <w:t xml:space="preserve"> к настоящему техническому заданию).</w:t>
      </w:r>
      <w:r w:rsidRPr="00A42B3A">
        <w:rPr>
          <w:rFonts w:eastAsia="Times New Roman"/>
        </w:rPr>
        <w:t xml:space="preserve"> </w:t>
      </w:r>
      <w:r w:rsidRPr="00A42B3A">
        <w:t>Согласовать проект с отделом ГИБДД УМВД России по городу Перми и Заказчиком.</w:t>
      </w:r>
    </w:p>
    <w:p w:rsidR="00A25751" w:rsidRPr="00A42B3A" w:rsidRDefault="00C63B5F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Реконструировать светофорны</w:t>
      </w:r>
      <w:r w:rsidR="00895D11">
        <w:t>е</w:t>
      </w:r>
      <w:r w:rsidRPr="00A42B3A">
        <w:t xml:space="preserve"> объект</w:t>
      </w:r>
      <w:r w:rsidR="00895D11">
        <w:t>ы</w:t>
      </w:r>
      <w:r w:rsidRPr="00A42B3A">
        <w:t xml:space="preserve"> </w:t>
      </w:r>
      <w:r w:rsidR="00895D11" w:rsidRPr="00A42B3A">
        <w:t xml:space="preserve">на перекрестке </w:t>
      </w:r>
      <w:r w:rsidR="00565A67">
        <w:t>ул. Островского - ул.1-я Красноармейская</w:t>
      </w:r>
      <w:r w:rsidR="00895D11">
        <w:t xml:space="preserve"> и </w:t>
      </w:r>
      <w:r w:rsidR="00895D11" w:rsidRPr="00A42B3A">
        <w:t xml:space="preserve">на перекрестке </w:t>
      </w:r>
      <w:r w:rsidR="0019081D">
        <w:t>ул.</w:t>
      </w:r>
      <w:r w:rsidR="00F64998">
        <w:t xml:space="preserve"> </w:t>
      </w:r>
      <w:r w:rsidR="0019081D">
        <w:t>Соликамская – ул.</w:t>
      </w:r>
      <w:r w:rsidR="00F64998">
        <w:t xml:space="preserve"> </w:t>
      </w:r>
      <w:r w:rsidR="0019081D">
        <w:t>Переездная</w:t>
      </w:r>
      <w:r w:rsidR="0019081D" w:rsidRPr="00A42B3A">
        <w:t xml:space="preserve"> </w:t>
      </w:r>
      <w:r w:rsidRPr="00A42B3A">
        <w:t xml:space="preserve">в соответствии с </w:t>
      </w:r>
      <w:r w:rsidR="00057FF2" w:rsidRPr="00A42B3A">
        <w:t>разработанным</w:t>
      </w:r>
      <w:r w:rsidR="00895D11">
        <w:t>и</w:t>
      </w:r>
      <w:r w:rsidR="00057FF2" w:rsidRPr="00A42B3A">
        <w:t xml:space="preserve"> </w:t>
      </w:r>
      <w:r w:rsidR="00DA3E4A" w:rsidRPr="00A42B3A">
        <w:t>проект</w:t>
      </w:r>
      <w:r w:rsidR="00895D11">
        <w:t>а</w:t>
      </w:r>
      <w:r w:rsidR="00FA6391" w:rsidRPr="00A42B3A">
        <w:t>м</w:t>
      </w:r>
      <w:r w:rsidR="00895D11">
        <w:t>и</w:t>
      </w:r>
      <w:r w:rsidR="00DA3E4A" w:rsidRPr="00A42B3A">
        <w:t xml:space="preserve"> по реконструкции светофорн</w:t>
      </w:r>
      <w:r w:rsidR="00895D11">
        <w:t>ых</w:t>
      </w:r>
      <w:r w:rsidR="00DA3E4A" w:rsidRPr="00A42B3A">
        <w:t xml:space="preserve"> объект</w:t>
      </w:r>
      <w:r w:rsidR="00895D11">
        <w:t>ов</w:t>
      </w:r>
      <w:r w:rsidR="00DA3E4A" w:rsidRPr="00A42B3A">
        <w:t xml:space="preserve">, </w:t>
      </w:r>
      <w:r w:rsidRPr="00A42B3A">
        <w:t xml:space="preserve">ГОСТ </w:t>
      </w:r>
      <w:proofErr w:type="gramStart"/>
      <w:r w:rsidRPr="00A42B3A">
        <w:t>Р</w:t>
      </w:r>
      <w:proofErr w:type="gramEnd"/>
      <w:r w:rsidRPr="00A42B3A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№1), ГОСТ </w:t>
      </w:r>
      <w:proofErr w:type="gramStart"/>
      <w:r w:rsidRPr="00A42B3A">
        <w:t>Р</w:t>
      </w:r>
      <w:proofErr w:type="gramEnd"/>
      <w:r w:rsidRPr="00A42B3A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и ГОСТ</w:t>
      </w:r>
      <w:r w:rsidR="00A25751" w:rsidRPr="00A42B3A">
        <w:t>ом</w:t>
      </w:r>
      <w:r w:rsidRPr="00A42B3A">
        <w:t xml:space="preserve"> </w:t>
      </w:r>
      <w:proofErr w:type="gramStart"/>
      <w:r w:rsidRPr="00A42B3A">
        <w:t>Р</w:t>
      </w:r>
      <w:proofErr w:type="gramEnd"/>
      <w:r w:rsidRPr="00A42B3A">
        <w:t xml:space="preserve"> 52290-2004 «Технические средства организации движения. знаки дорожные. Общие технические требования». </w:t>
      </w:r>
    </w:p>
    <w:p w:rsidR="009C2418" w:rsidRPr="00A42B3A" w:rsidRDefault="009C2418" w:rsidP="005F55CF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Получить технические условия на проведение работ от всех собственников объектов, попадающих в зону проведения работ.</w:t>
      </w:r>
    </w:p>
    <w:p w:rsidR="00CE368B" w:rsidRPr="00A42B3A" w:rsidRDefault="00CE368B" w:rsidP="007E0E8B">
      <w:pPr>
        <w:pStyle w:val="40"/>
        <w:spacing w:line="320" w:lineRule="exact"/>
        <w:ind w:left="0"/>
        <w:contextualSpacing/>
        <w:jc w:val="both"/>
      </w:pPr>
    </w:p>
    <w:p w:rsidR="009C2418" w:rsidRPr="00A42B3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</w:pPr>
      <w:r w:rsidRPr="00A42B3A">
        <w:rPr>
          <w:b/>
        </w:rPr>
        <w:t>Мест</w:t>
      </w:r>
      <w:r w:rsidR="002E108E" w:rsidRPr="00A42B3A">
        <w:rPr>
          <w:b/>
        </w:rPr>
        <w:t>а</w:t>
      </w:r>
      <w:r w:rsidRPr="00A42B3A">
        <w:rPr>
          <w:b/>
        </w:rPr>
        <w:t xml:space="preserve"> выполнения работ</w:t>
      </w:r>
    </w:p>
    <w:p w:rsidR="00895D11" w:rsidRPr="00895D11" w:rsidRDefault="00895D11" w:rsidP="00895D11">
      <w:pPr>
        <w:pStyle w:val="ac"/>
        <w:tabs>
          <w:tab w:val="left" w:pos="993"/>
          <w:tab w:val="left" w:pos="2268"/>
        </w:tabs>
        <w:spacing w:line="276" w:lineRule="auto"/>
        <w:ind w:left="0"/>
        <w:jc w:val="both"/>
        <w:rPr>
          <w:rFonts w:eastAsia="Calibri"/>
          <w:sz w:val="24"/>
          <w:szCs w:val="24"/>
        </w:rPr>
      </w:pPr>
      <w:r w:rsidRPr="00895D11">
        <w:rPr>
          <w:rFonts w:eastAsia="Calibri"/>
          <w:sz w:val="24"/>
          <w:szCs w:val="24"/>
        </w:rPr>
        <w:t xml:space="preserve">2.1. </w:t>
      </w:r>
      <w:r w:rsidRPr="00565A67">
        <w:rPr>
          <w:rFonts w:eastAsia="Calibri"/>
          <w:sz w:val="22"/>
          <w:szCs w:val="22"/>
        </w:rPr>
        <w:t xml:space="preserve">Перекресток </w:t>
      </w:r>
      <w:r w:rsidR="00565A67" w:rsidRPr="00565A67">
        <w:rPr>
          <w:sz w:val="22"/>
          <w:szCs w:val="22"/>
        </w:rPr>
        <w:t xml:space="preserve">ул. Островского - ул.1-я </w:t>
      </w:r>
      <w:proofErr w:type="gramStart"/>
      <w:r w:rsidR="00565A67" w:rsidRPr="00565A67">
        <w:rPr>
          <w:sz w:val="22"/>
          <w:szCs w:val="22"/>
        </w:rPr>
        <w:t>Красноармейская</w:t>
      </w:r>
      <w:proofErr w:type="gramEnd"/>
      <w:r w:rsidR="00565A67" w:rsidRPr="00565A67">
        <w:rPr>
          <w:sz w:val="22"/>
          <w:szCs w:val="22"/>
        </w:rPr>
        <w:t xml:space="preserve"> </w:t>
      </w:r>
      <w:r w:rsidRPr="00565A67">
        <w:rPr>
          <w:rFonts w:eastAsia="Calibri"/>
          <w:sz w:val="22"/>
          <w:szCs w:val="22"/>
        </w:rPr>
        <w:t>в</w:t>
      </w:r>
      <w:r w:rsidRPr="00895D11">
        <w:rPr>
          <w:rFonts w:eastAsia="Calibri"/>
          <w:sz w:val="24"/>
          <w:szCs w:val="24"/>
        </w:rPr>
        <w:t xml:space="preserve"> Свердловском районе г. Перми;</w:t>
      </w:r>
    </w:p>
    <w:p w:rsidR="00895D11" w:rsidRPr="00895D11" w:rsidRDefault="00895D11" w:rsidP="00895D11">
      <w:pPr>
        <w:pStyle w:val="ac"/>
        <w:tabs>
          <w:tab w:val="left" w:pos="993"/>
          <w:tab w:val="left" w:pos="2268"/>
        </w:tabs>
        <w:spacing w:line="276" w:lineRule="auto"/>
        <w:ind w:left="0"/>
        <w:jc w:val="both"/>
        <w:rPr>
          <w:rFonts w:eastAsia="Calibri"/>
          <w:sz w:val="24"/>
          <w:szCs w:val="24"/>
        </w:rPr>
      </w:pPr>
      <w:r w:rsidRPr="00895D11">
        <w:rPr>
          <w:rFonts w:eastAsia="Calibri"/>
          <w:sz w:val="24"/>
          <w:szCs w:val="24"/>
        </w:rPr>
        <w:t xml:space="preserve">2.2. Перекресток </w:t>
      </w:r>
      <w:proofErr w:type="spellStart"/>
      <w:r w:rsidR="0019081D" w:rsidRPr="0019081D">
        <w:rPr>
          <w:sz w:val="24"/>
          <w:szCs w:val="24"/>
        </w:rPr>
        <w:t>ул</w:t>
      </w:r>
      <w:proofErr w:type="gramStart"/>
      <w:r w:rsidR="0019081D" w:rsidRPr="0019081D">
        <w:rPr>
          <w:sz w:val="24"/>
          <w:szCs w:val="24"/>
        </w:rPr>
        <w:t>.С</w:t>
      </w:r>
      <w:proofErr w:type="gramEnd"/>
      <w:r w:rsidR="0019081D" w:rsidRPr="0019081D">
        <w:rPr>
          <w:sz w:val="24"/>
          <w:szCs w:val="24"/>
        </w:rPr>
        <w:t>оликамская</w:t>
      </w:r>
      <w:proofErr w:type="spellEnd"/>
      <w:r w:rsidR="0019081D" w:rsidRPr="0019081D">
        <w:rPr>
          <w:sz w:val="24"/>
          <w:szCs w:val="24"/>
        </w:rPr>
        <w:t xml:space="preserve"> – </w:t>
      </w:r>
      <w:proofErr w:type="spellStart"/>
      <w:r w:rsidR="0019081D" w:rsidRPr="0019081D">
        <w:rPr>
          <w:sz w:val="24"/>
          <w:szCs w:val="24"/>
        </w:rPr>
        <w:t>ул.Переездная</w:t>
      </w:r>
      <w:proofErr w:type="spellEnd"/>
      <w:r w:rsidR="0019081D" w:rsidRPr="0019081D">
        <w:rPr>
          <w:rFonts w:eastAsia="Calibri"/>
          <w:sz w:val="24"/>
          <w:szCs w:val="24"/>
        </w:rPr>
        <w:t xml:space="preserve"> </w:t>
      </w:r>
      <w:r w:rsidRPr="0019081D">
        <w:rPr>
          <w:rFonts w:eastAsia="Calibri"/>
          <w:sz w:val="24"/>
          <w:szCs w:val="24"/>
        </w:rPr>
        <w:t>в</w:t>
      </w:r>
      <w:r w:rsidRPr="00895D11">
        <w:rPr>
          <w:rFonts w:eastAsia="Calibri"/>
          <w:sz w:val="24"/>
          <w:szCs w:val="24"/>
        </w:rPr>
        <w:t xml:space="preserve"> Мотовилихинском районе г. Перми.</w:t>
      </w:r>
    </w:p>
    <w:p w:rsidR="00E7526C" w:rsidRPr="00A42B3A" w:rsidRDefault="00E7526C" w:rsidP="007E0E8B">
      <w:pPr>
        <w:pStyle w:val="40"/>
        <w:spacing w:line="320" w:lineRule="exact"/>
        <w:ind w:left="0"/>
        <w:contextualSpacing/>
        <w:jc w:val="both"/>
      </w:pPr>
    </w:p>
    <w:p w:rsidR="009C2418" w:rsidRPr="00A42B3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rPr>
          <w:b/>
        </w:rPr>
        <w:t>Подготовка к выполнению работ</w:t>
      </w:r>
    </w:p>
    <w:p w:rsidR="009C2418" w:rsidRPr="00A42B3A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Разработать план производства работ.</w:t>
      </w:r>
    </w:p>
    <w:p w:rsidR="009C2418" w:rsidRPr="00A42B3A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895D11" w:rsidRPr="00A42B3A" w:rsidRDefault="00895D11" w:rsidP="007E0E8B">
      <w:pPr>
        <w:pStyle w:val="40"/>
        <w:spacing w:line="320" w:lineRule="exact"/>
        <w:ind w:left="0"/>
        <w:contextualSpacing/>
        <w:jc w:val="both"/>
      </w:pPr>
    </w:p>
    <w:p w:rsidR="00895D11" w:rsidRPr="00895D11" w:rsidRDefault="009C2418" w:rsidP="00895D11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rPr>
          <w:b/>
        </w:rPr>
        <w:t>Объем и технические требования к выполняемым работам</w:t>
      </w:r>
    </w:p>
    <w:p w:rsidR="005755AD" w:rsidRPr="00A42B3A" w:rsidRDefault="009C2418" w:rsidP="007E0E8B">
      <w:pPr>
        <w:pStyle w:val="40"/>
        <w:numPr>
          <w:ilvl w:val="1"/>
          <w:numId w:val="8"/>
        </w:numPr>
        <w:spacing w:line="320" w:lineRule="exact"/>
        <w:ind w:left="0" w:firstLine="0"/>
        <w:contextualSpacing/>
        <w:jc w:val="both"/>
      </w:pPr>
      <w:r w:rsidRPr="00A42B3A">
        <w:t>Оборудовать светофорны</w:t>
      </w:r>
      <w:r w:rsidR="001C41CF" w:rsidRPr="00A42B3A">
        <w:t>й</w:t>
      </w:r>
      <w:r w:rsidRPr="00A42B3A">
        <w:t xml:space="preserve"> объект </w:t>
      </w:r>
      <w:r w:rsidR="00895D11" w:rsidRPr="00A42B3A">
        <w:t xml:space="preserve">на перекрестке </w:t>
      </w:r>
      <w:r w:rsidR="0019081D">
        <w:t>ул. Островского - ул.1-я Красноармейская</w:t>
      </w:r>
      <w:r w:rsidR="00FA6391" w:rsidRPr="00A42B3A">
        <w:t xml:space="preserve"> </w:t>
      </w:r>
      <w:r w:rsidR="0019081D">
        <w:t xml:space="preserve">2 (двумя) </w:t>
      </w:r>
      <w:r w:rsidR="002056F3" w:rsidRPr="00A42B3A">
        <w:t>дополнительным</w:t>
      </w:r>
      <w:r w:rsidR="00FA6391" w:rsidRPr="00A42B3A">
        <w:t>и</w:t>
      </w:r>
      <w:r w:rsidR="002056F3" w:rsidRPr="00A42B3A">
        <w:t xml:space="preserve"> </w:t>
      </w:r>
      <w:r w:rsidR="00FA6391" w:rsidRPr="00A42B3A">
        <w:t>пешеходными светофора</w:t>
      </w:r>
      <w:r w:rsidR="00FE0689" w:rsidRPr="00A42B3A">
        <w:t>м</w:t>
      </w:r>
      <w:r w:rsidR="00FA6391" w:rsidRPr="00A42B3A">
        <w:t>и</w:t>
      </w:r>
      <w:r w:rsidRPr="00A42B3A">
        <w:t xml:space="preserve"> (</w:t>
      </w:r>
      <w:r w:rsidR="00FA6391" w:rsidRPr="00A42B3A">
        <w:t>исполнение П.1</w:t>
      </w:r>
      <w:r w:rsidR="00580D0D">
        <w:t>.1</w:t>
      </w:r>
      <w:r w:rsidR="00FA6391" w:rsidRPr="00A42B3A">
        <w:t xml:space="preserve"> по ГОСТ </w:t>
      </w:r>
      <w:proofErr w:type="gramStart"/>
      <w:r w:rsidR="00FA6391" w:rsidRPr="00A42B3A">
        <w:t>Р</w:t>
      </w:r>
      <w:proofErr w:type="gramEnd"/>
      <w:r w:rsidR="00FA6391" w:rsidRPr="00A42B3A">
        <w:t xml:space="preserve"> 52282-2004</w:t>
      </w:r>
      <w:r w:rsidRPr="00A42B3A">
        <w:t xml:space="preserve"> </w:t>
      </w:r>
      <w:r w:rsidR="00580D0D">
        <w:t>с диаметром 200*2</w:t>
      </w:r>
      <w:r w:rsidR="00710AB6" w:rsidRPr="00A42B3A">
        <w:t>00</w:t>
      </w:r>
      <w:r w:rsidRPr="00A42B3A">
        <w:t xml:space="preserve">) </w:t>
      </w:r>
      <w:r w:rsidR="00FE0689" w:rsidRPr="00A42B3A">
        <w:t>со</w:t>
      </w:r>
      <w:r w:rsidRPr="00A42B3A">
        <w:t>гласно разраб</w:t>
      </w:r>
      <w:r w:rsidR="00F73912" w:rsidRPr="00A42B3A">
        <w:t>отанной проектной документации.</w:t>
      </w:r>
    </w:p>
    <w:p w:rsidR="009C2418" w:rsidRPr="00A42B3A" w:rsidRDefault="009C2418" w:rsidP="00FA6391">
      <w:pPr>
        <w:pStyle w:val="1"/>
        <w:spacing w:line="320" w:lineRule="exact"/>
        <w:ind w:left="0"/>
        <w:contextualSpacing/>
        <w:jc w:val="both"/>
      </w:pPr>
      <w:r w:rsidRPr="00A42B3A">
        <w:lastRenderedPageBreak/>
        <w:t xml:space="preserve">Светофоры должны соответствовать ГОСТ </w:t>
      </w:r>
      <w:proofErr w:type="gramStart"/>
      <w:r w:rsidRPr="00A42B3A">
        <w:t>Р</w:t>
      </w:r>
      <w:proofErr w:type="gramEnd"/>
      <w:r w:rsidRPr="00A42B3A">
        <w:t xml:space="preserve"> 52282-2004</w:t>
      </w:r>
      <w:r w:rsidR="00895D11">
        <w:t xml:space="preserve"> </w:t>
      </w:r>
      <w:r w:rsidR="00895D11" w:rsidRPr="00A42B3A">
        <w:t>«Технические средства организации дорожного движения. Светофоры дорожные. Типы, основные параметры, общие технические требования, методы испытаний»</w:t>
      </w:r>
      <w:r w:rsidRPr="00A42B3A">
        <w:t xml:space="preserve">, СНиП 2.05.02-85 и «Правил устройства электроустановок» </w:t>
      </w:r>
      <w:r w:rsidR="00F73912" w:rsidRPr="00A42B3A">
        <w:t xml:space="preserve">и </w:t>
      </w:r>
      <w:r w:rsidR="0019081D">
        <w:t>техническим характеристикам</w:t>
      </w:r>
      <w:r w:rsidR="00A42B3A" w:rsidRPr="00A42B3A">
        <w:t xml:space="preserve"> в соответствии с приложением № </w:t>
      </w:r>
      <w:r w:rsidR="00565A67">
        <w:t>3</w:t>
      </w:r>
      <w:r w:rsidR="00A42B3A" w:rsidRPr="00A42B3A">
        <w:t xml:space="preserve"> к настоящему техническому заданию.</w:t>
      </w:r>
    </w:p>
    <w:p w:rsidR="000B6111" w:rsidRDefault="000B6111" w:rsidP="000B6111">
      <w:pPr>
        <w:pStyle w:val="1"/>
        <w:spacing w:line="320" w:lineRule="exact"/>
        <w:ind w:left="0"/>
        <w:contextualSpacing/>
        <w:jc w:val="both"/>
      </w:pPr>
      <w:r w:rsidRPr="00A42B3A">
        <w:t>4.2.</w:t>
      </w:r>
      <w:r w:rsidRPr="00A42B3A">
        <w:tab/>
        <w:t xml:space="preserve">Произвести демонтаж </w:t>
      </w:r>
      <w:r w:rsidR="001E540C">
        <w:t>3</w:t>
      </w:r>
      <w:r w:rsidR="00895D11">
        <w:t xml:space="preserve"> (</w:t>
      </w:r>
      <w:r w:rsidR="001E540C">
        <w:t>т</w:t>
      </w:r>
      <w:r w:rsidR="00895D11">
        <w:t xml:space="preserve">рех) пешеходных светофоров на </w:t>
      </w:r>
      <w:r w:rsidR="00895D11" w:rsidRPr="00A42B3A">
        <w:t xml:space="preserve">перекрестке </w:t>
      </w:r>
      <w:proofErr w:type="spellStart"/>
      <w:r w:rsidR="0019081D">
        <w:t>ул</w:t>
      </w:r>
      <w:proofErr w:type="gramStart"/>
      <w:r w:rsidR="0019081D">
        <w:t>.С</w:t>
      </w:r>
      <w:proofErr w:type="gramEnd"/>
      <w:r w:rsidR="0019081D">
        <w:t>оликамская</w:t>
      </w:r>
      <w:proofErr w:type="spellEnd"/>
      <w:r w:rsidR="0019081D">
        <w:t xml:space="preserve"> – </w:t>
      </w:r>
      <w:proofErr w:type="spellStart"/>
      <w:r w:rsidR="0019081D">
        <w:t>ул.Переездная</w:t>
      </w:r>
      <w:proofErr w:type="spellEnd"/>
      <w:r w:rsidRPr="00A42B3A">
        <w:t xml:space="preserve">. Демонтированное оборудование передать Заказчику. Передачу </w:t>
      </w:r>
      <w:r w:rsidR="00895D11">
        <w:t>пешеходных светофоров</w:t>
      </w:r>
      <w:r w:rsidRPr="00A42B3A">
        <w:t xml:space="preserve"> оформить актом сдачи/приемки оборудования.</w:t>
      </w:r>
    </w:p>
    <w:p w:rsidR="00895D11" w:rsidRPr="00A42B3A" w:rsidRDefault="00895D11" w:rsidP="00895D11">
      <w:pPr>
        <w:pStyle w:val="1"/>
        <w:spacing w:line="320" w:lineRule="exact"/>
        <w:ind w:left="0"/>
        <w:contextualSpacing/>
        <w:jc w:val="both"/>
      </w:pPr>
      <w:r>
        <w:t>4.3.</w:t>
      </w:r>
      <w:r>
        <w:tab/>
      </w:r>
      <w:r w:rsidR="001E540C">
        <w:t>Произвести монтаж 3</w:t>
      </w:r>
      <w:r>
        <w:t xml:space="preserve"> (</w:t>
      </w:r>
      <w:r w:rsidR="001E540C">
        <w:t>т</w:t>
      </w:r>
      <w:r>
        <w:t xml:space="preserve">рех) пешеходных светофоров </w:t>
      </w:r>
      <w:r w:rsidR="00580D0D">
        <w:t>(исполнение П.1.1</w:t>
      </w:r>
      <w:r w:rsidRPr="00A42B3A">
        <w:t xml:space="preserve"> по</w:t>
      </w:r>
      <w:r w:rsidR="00580D0D">
        <w:t xml:space="preserve"> ГОСТ Р 52282-2004 с диаметром 200*2</w:t>
      </w:r>
      <w:r w:rsidRPr="00A42B3A">
        <w:t xml:space="preserve">00) </w:t>
      </w:r>
      <w:r>
        <w:t xml:space="preserve">на </w:t>
      </w:r>
      <w:r w:rsidRPr="00A42B3A">
        <w:t xml:space="preserve">перекрестке </w:t>
      </w:r>
      <w:proofErr w:type="spellStart"/>
      <w:r w:rsidR="0019081D">
        <w:t>ул</w:t>
      </w:r>
      <w:proofErr w:type="gramStart"/>
      <w:r w:rsidR="0019081D">
        <w:t>.С</w:t>
      </w:r>
      <w:proofErr w:type="gramEnd"/>
      <w:r w:rsidR="0019081D">
        <w:t>оликамская</w:t>
      </w:r>
      <w:proofErr w:type="spellEnd"/>
      <w:r w:rsidR="0019081D">
        <w:t xml:space="preserve"> – </w:t>
      </w:r>
      <w:proofErr w:type="spellStart"/>
      <w:r w:rsidR="0019081D">
        <w:t>ул.Переездная</w:t>
      </w:r>
      <w:proofErr w:type="spellEnd"/>
      <w:r w:rsidR="0019081D" w:rsidRPr="00A42B3A">
        <w:t xml:space="preserve"> </w:t>
      </w:r>
      <w:r w:rsidRPr="00A42B3A">
        <w:t>согласно разработанной проектной документации</w:t>
      </w:r>
      <w:r>
        <w:t xml:space="preserve">. </w:t>
      </w:r>
      <w:r w:rsidRPr="00A42B3A">
        <w:t xml:space="preserve">Светофоры должны соответствовать ГОСТ </w:t>
      </w:r>
      <w:proofErr w:type="gramStart"/>
      <w:r w:rsidRPr="00A42B3A">
        <w:t>Р</w:t>
      </w:r>
      <w:proofErr w:type="gramEnd"/>
      <w:r w:rsidRPr="00A42B3A">
        <w:t xml:space="preserve"> 52282-2004</w:t>
      </w:r>
      <w:r>
        <w:t xml:space="preserve"> </w:t>
      </w:r>
      <w:r w:rsidRPr="00A42B3A">
        <w:t xml:space="preserve">«Технические средства организации дорожного движения. Светофоры дорожные. Типы, основные параметры, общие технические требования, методы испытаний», СНиП 2.05.02-85 и «Правил устройства электроустановок» и </w:t>
      </w:r>
      <w:r w:rsidR="0019081D">
        <w:t>техническим характеристикам</w:t>
      </w:r>
      <w:r w:rsidRPr="00A42B3A">
        <w:t xml:space="preserve"> в соответствии с приложением № </w:t>
      </w:r>
      <w:r w:rsidR="00565A67">
        <w:t>3</w:t>
      </w:r>
      <w:r w:rsidRPr="00A42B3A">
        <w:t xml:space="preserve"> к настоящему техническому заданию.</w:t>
      </w:r>
    </w:p>
    <w:p w:rsidR="005755AD" w:rsidRPr="00A42B3A" w:rsidRDefault="00895D11" w:rsidP="009057DA">
      <w:pPr>
        <w:pStyle w:val="1"/>
        <w:spacing w:line="320" w:lineRule="exact"/>
        <w:ind w:left="0"/>
        <w:contextualSpacing/>
        <w:jc w:val="both"/>
      </w:pPr>
      <w:r>
        <w:t>4.4</w:t>
      </w:r>
      <w:r w:rsidR="009057DA" w:rsidRPr="00A42B3A">
        <w:t>.</w:t>
      </w:r>
      <w:r w:rsidR="009057DA" w:rsidRPr="00A42B3A">
        <w:tab/>
      </w:r>
      <w:r w:rsidR="005755AD" w:rsidRPr="00A42B3A">
        <w:t>Создать и оформить в виде документа и библиотеки программы координации (в графической и табличной формах с</w:t>
      </w:r>
      <w:bookmarkStart w:id="0" w:name="_GoBack"/>
      <w:bookmarkEnd w:id="0"/>
      <w:r w:rsidR="005755AD" w:rsidRPr="00A42B3A">
        <w:t xml:space="preserve"> подробными комментариями) светофорного объекта на перекрестке </w:t>
      </w:r>
      <w:r w:rsidR="0019081D">
        <w:t xml:space="preserve">ул. Островского - ул.1-я </w:t>
      </w:r>
      <w:proofErr w:type="gramStart"/>
      <w:r w:rsidR="0019081D">
        <w:t>Красноармейская</w:t>
      </w:r>
      <w:proofErr w:type="gramEnd"/>
      <w:r w:rsidR="005755AD" w:rsidRPr="00A42B3A">
        <w:t>. Согласовать программы координации с отделом ГИБДД УВД, утвердить у Заказчика, оформить приложением к паспорту светофорного объекта.</w:t>
      </w:r>
    </w:p>
    <w:p w:rsidR="005755AD" w:rsidRPr="00A42B3A" w:rsidRDefault="001A14A6" w:rsidP="009057DA">
      <w:pPr>
        <w:pStyle w:val="40"/>
        <w:spacing w:line="320" w:lineRule="exact"/>
        <w:ind w:left="0"/>
        <w:contextualSpacing/>
        <w:jc w:val="both"/>
      </w:pPr>
      <w:r w:rsidRPr="00A42B3A">
        <w:t>4.</w:t>
      </w:r>
      <w:r w:rsidR="00895D11">
        <w:t>5</w:t>
      </w:r>
      <w:r w:rsidR="009057DA" w:rsidRPr="00A42B3A">
        <w:t>.</w:t>
      </w:r>
      <w:r w:rsidR="009057DA" w:rsidRPr="00A42B3A">
        <w:tab/>
      </w:r>
      <w:r w:rsidR="005755AD" w:rsidRPr="00A42B3A">
        <w:t>Обустроить место выполнения работ по реконструкции светофорн</w:t>
      </w:r>
      <w:r w:rsidR="006524B9">
        <w:t>ых</w:t>
      </w:r>
      <w:r w:rsidR="005755AD" w:rsidRPr="00A42B3A">
        <w:t xml:space="preserve"> объект</w:t>
      </w:r>
      <w:r w:rsidR="006524B9">
        <w:t>ов</w:t>
      </w:r>
      <w:r w:rsidR="005755AD" w:rsidRPr="00A42B3A">
        <w:t xml:space="preserve"> техническими средствами организации дорожного движения (дорожными знаками) в соответствии с ГОСТом </w:t>
      </w:r>
      <w:proofErr w:type="gramStart"/>
      <w:r w:rsidR="005755AD" w:rsidRPr="00A42B3A">
        <w:t>Р</w:t>
      </w:r>
      <w:proofErr w:type="gramEnd"/>
      <w:r w:rsidR="005755AD" w:rsidRPr="00A42B3A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№1)</w:t>
      </w:r>
      <w:r w:rsidR="0019081D">
        <w:t>.</w:t>
      </w:r>
    </w:p>
    <w:p w:rsidR="00FE0B5D" w:rsidRPr="00A42B3A" w:rsidRDefault="006524B9" w:rsidP="009057DA">
      <w:pPr>
        <w:pStyle w:val="40"/>
        <w:spacing w:line="320" w:lineRule="exact"/>
        <w:ind w:left="0"/>
        <w:contextualSpacing/>
        <w:jc w:val="both"/>
      </w:pPr>
      <w:r>
        <w:t>4.6</w:t>
      </w:r>
      <w:r w:rsidR="009057DA" w:rsidRPr="00A42B3A">
        <w:t>.</w:t>
      </w:r>
      <w:r w:rsidR="009057DA" w:rsidRPr="00A42B3A">
        <w:tab/>
      </w:r>
      <w:r w:rsidR="00FE0B5D" w:rsidRPr="00A42B3A">
        <w:t xml:space="preserve">Выполнить работы по подключению </w:t>
      </w:r>
      <w:r>
        <w:t xml:space="preserve">установленных </w:t>
      </w:r>
      <w:r w:rsidR="00FE0B5D" w:rsidRPr="00A42B3A">
        <w:t>светофорных секций</w:t>
      </w:r>
      <w:r>
        <w:t xml:space="preserve"> </w:t>
      </w:r>
      <w:r w:rsidR="00FE0B5D" w:rsidRPr="00A42B3A">
        <w:t>к дорожн</w:t>
      </w:r>
      <w:r>
        <w:t>ым</w:t>
      </w:r>
      <w:r w:rsidR="00FE0B5D" w:rsidRPr="00A42B3A">
        <w:t xml:space="preserve"> контроллер</w:t>
      </w:r>
      <w:r>
        <w:t>ам светофорных объектов</w:t>
      </w:r>
      <w:r w:rsidR="00FE0B5D" w:rsidRPr="00A42B3A">
        <w:t>.</w:t>
      </w:r>
    </w:p>
    <w:p w:rsidR="00E653B7" w:rsidRPr="00A42B3A" w:rsidRDefault="00E653B7" w:rsidP="00E653B7">
      <w:pPr>
        <w:pStyle w:val="40"/>
        <w:spacing w:line="320" w:lineRule="exact"/>
        <w:ind w:left="0"/>
        <w:contextualSpacing/>
        <w:jc w:val="both"/>
      </w:pPr>
    </w:p>
    <w:p w:rsidR="009C2418" w:rsidRPr="00A42B3A" w:rsidRDefault="009C2418" w:rsidP="007E0E8B">
      <w:pPr>
        <w:pStyle w:val="40"/>
        <w:numPr>
          <w:ilvl w:val="0"/>
          <w:numId w:val="8"/>
        </w:numPr>
        <w:spacing w:line="320" w:lineRule="exact"/>
        <w:ind w:left="0" w:firstLine="0"/>
        <w:contextualSpacing/>
        <w:jc w:val="both"/>
        <w:rPr>
          <w:b/>
        </w:rPr>
      </w:pPr>
      <w:r w:rsidRPr="00A42B3A">
        <w:rPr>
          <w:b/>
        </w:rPr>
        <w:t>Ввод в эксплуатацию</w:t>
      </w:r>
    </w:p>
    <w:p w:rsidR="009C2418" w:rsidRPr="00A42B3A" w:rsidRDefault="009C2418" w:rsidP="007E0E8B">
      <w:pPr>
        <w:pStyle w:val="40"/>
        <w:spacing w:line="320" w:lineRule="exact"/>
        <w:ind w:left="0"/>
        <w:contextualSpacing/>
        <w:jc w:val="both"/>
      </w:pPr>
      <w:r w:rsidRPr="00A42B3A">
        <w:t xml:space="preserve">5.1. </w:t>
      </w:r>
      <w:r w:rsidR="00DB7671" w:rsidRPr="00A42B3A">
        <w:t xml:space="preserve">     </w:t>
      </w:r>
      <w:r w:rsidRPr="00A42B3A">
        <w:t>Провести пуско-наладочные работы.</w:t>
      </w:r>
    </w:p>
    <w:p w:rsidR="009C2418" w:rsidRPr="00A42B3A" w:rsidRDefault="009C2418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A42B3A">
        <w:t>Произвести запуск светофорн</w:t>
      </w:r>
      <w:r w:rsidR="006524B9">
        <w:t>ых</w:t>
      </w:r>
      <w:r w:rsidRPr="00A42B3A">
        <w:t xml:space="preserve"> объект</w:t>
      </w:r>
      <w:r w:rsidR="006524B9">
        <w:t>ов</w:t>
      </w:r>
      <w:r w:rsidRPr="00A42B3A">
        <w:t xml:space="preserve"> в эксплуатацию.</w:t>
      </w:r>
    </w:p>
    <w:p w:rsidR="00A36749" w:rsidRPr="00A42B3A" w:rsidRDefault="00A36749" w:rsidP="007E0E8B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A42B3A">
        <w:t>Внести изменения в паспорт</w:t>
      </w:r>
      <w:r w:rsidR="006524B9">
        <w:t>а</w:t>
      </w:r>
      <w:r w:rsidRPr="00A42B3A">
        <w:t xml:space="preserve"> светофорн</w:t>
      </w:r>
      <w:r w:rsidR="006524B9">
        <w:t>ых</w:t>
      </w:r>
      <w:r w:rsidRPr="00A42B3A">
        <w:t xml:space="preserve"> объект</w:t>
      </w:r>
      <w:r w:rsidR="006524B9">
        <w:t>ов</w:t>
      </w:r>
      <w:r w:rsidR="00661B79" w:rsidRPr="00A42B3A">
        <w:t xml:space="preserve"> </w:t>
      </w:r>
      <w:r w:rsidR="0019081D">
        <w:t>ул. Островского - ул.1-я Красноармейская</w:t>
      </w:r>
      <w:r w:rsidR="006524B9">
        <w:t xml:space="preserve">, </w:t>
      </w:r>
      <w:proofErr w:type="spellStart"/>
      <w:r w:rsidR="0019081D">
        <w:t>ул</w:t>
      </w:r>
      <w:proofErr w:type="gramStart"/>
      <w:r w:rsidR="0019081D">
        <w:t>.С</w:t>
      </w:r>
      <w:proofErr w:type="gramEnd"/>
      <w:r w:rsidR="0019081D">
        <w:t>оликамская</w:t>
      </w:r>
      <w:proofErr w:type="spellEnd"/>
      <w:r w:rsidR="0019081D">
        <w:t xml:space="preserve"> – </w:t>
      </w:r>
      <w:proofErr w:type="spellStart"/>
      <w:r w:rsidR="0019081D">
        <w:t>ул.Переездная</w:t>
      </w:r>
      <w:proofErr w:type="spellEnd"/>
      <w:r w:rsidR="006524B9">
        <w:t>,</w:t>
      </w:r>
      <w:r w:rsidR="005755AD" w:rsidRPr="00A42B3A">
        <w:t xml:space="preserve"> </w:t>
      </w:r>
      <w:r w:rsidRPr="00A42B3A">
        <w:t>по окончании работ передать Заказчику в двух экземплярах</w:t>
      </w:r>
      <w:r w:rsidR="00B71EDC" w:rsidRPr="00A42B3A">
        <w:t xml:space="preserve"> на каждый объект</w:t>
      </w:r>
      <w:r w:rsidRPr="00A42B3A">
        <w:t xml:space="preserve"> комплект документации.</w:t>
      </w:r>
      <w:r w:rsidR="00BD1969" w:rsidRPr="00A42B3A">
        <w:t xml:space="preserve"> Паспорт</w:t>
      </w:r>
      <w:r w:rsidR="006524B9">
        <w:t>а</w:t>
      </w:r>
      <w:r w:rsidR="00BD1969" w:rsidRPr="00A42B3A">
        <w:t xml:space="preserve"> светофорн</w:t>
      </w:r>
      <w:r w:rsidR="006524B9">
        <w:t>ых</w:t>
      </w:r>
      <w:r w:rsidR="00BD1969" w:rsidRPr="00A42B3A">
        <w:t xml:space="preserve"> объект</w:t>
      </w:r>
      <w:r w:rsidR="006524B9">
        <w:t>ов</w:t>
      </w:r>
      <w:r w:rsidR="00BD1969" w:rsidRPr="00A42B3A">
        <w:t xml:space="preserve"> долж</w:t>
      </w:r>
      <w:r w:rsidR="00B71EDC" w:rsidRPr="00A42B3A">
        <w:t>н</w:t>
      </w:r>
      <w:r w:rsidR="006524B9">
        <w:t>ы</w:t>
      </w:r>
      <w:r w:rsidR="00BD1969" w:rsidRPr="00A42B3A">
        <w:t xml:space="preserve"> содержать перечень установленного оборудования с мест</w:t>
      </w:r>
      <w:r w:rsidR="00381018" w:rsidRPr="00A42B3A">
        <w:t>орасположением оборудования и номерами</w:t>
      </w:r>
      <w:r w:rsidR="00BD1969" w:rsidRPr="00A42B3A">
        <w:t xml:space="preserve"> производителя оборудования.</w:t>
      </w:r>
    </w:p>
    <w:p w:rsidR="00FA6391" w:rsidRPr="00A42B3A" w:rsidRDefault="009C2418" w:rsidP="00BF31EA">
      <w:pPr>
        <w:pStyle w:val="40"/>
        <w:numPr>
          <w:ilvl w:val="1"/>
          <w:numId w:val="5"/>
        </w:numPr>
        <w:spacing w:line="320" w:lineRule="exact"/>
        <w:ind w:left="0" w:firstLine="0"/>
        <w:contextualSpacing/>
        <w:jc w:val="both"/>
      </w:pPr>
      <w:r w:rsidRPr="00A42B3A">
        <w:t>Установить</w:t>
      </w:r>
      <w:r w:rsidR="00BF31EA" w:rsidRPr="00A42B3A">
        <w:t xml:space="preserve"> </w:t>
      </w:r>
      <w:r w:rsidRPr="00A42B3A">
        <w:t xml:space="preserve">гарантийный срок 12 месяцев с момента подписания Заказчиком акта приемки выполненных работ по </w:t>
      </w:r>
      <w:r w:rsidR="002056F3" w:rsidRPr="00A42B3A">
        <w:t>реконструкции</w:t>
      </w:r>
      <w:r w:rsidRPr="00A42B3A">
        <w:t xml:space="preserve"> </w:t>
      </w:r>
      <w:r w:rsidR="00731A7B" w:rsidRPr="00A42B3A">
        <w:t>светофорн</w:t>
      </w:r>
      <w:r w:rsidR="006524B9">
        <w:t>ых</w:t>
      </w:r>
      <w:r w:rsidR="00731A7B" w:rsidRPr="00A42B3A">
        <w:t xml:space="preserve"> объект</w:t>
      </w:r>
      <w:r w:rsidR="006524B9">
        <w:t>ов</w:t>
      </w:r>
      <w:r w:rsidR="00BF31EA" w:rsidRPr="00A42B3A">
        <w:t>.</w:t>
      </w:r>
    </w:p>
    <w:p w:rsidR="0019081D" w:rsidRDefault="0019081D" w:rsidP="00A42B3A">
      <w:pPr>
        <w:pStyle w:val="1"/>
        <w:spacing w:line="320" w:lineRule="exact"/>
        <w:ind w:left="0"/>
        <w:jc w:val="center"/>
      </w:pPr>
    </w:p>
    <w:p w:rsidR="0019081D" w:rsidRDefault="0019081D">
      <w:pPr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br w:type="page"/>
      </w:r>
    </w:p>
    <w:p w:rsidR="00A42B3A" w:rsidRPr="002C29F2" w:rsidRDefault="00A42B3A" w:rsidP="00A42B3A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Приложение</w:t>
      </w:r>
      <w:r>
        <w:rPr>
          <w:rFonts w:eastAsia="Calibri"/>
          <w:sz w:val="24"/>
          <w:szCs w:val="24"/>
        </w:rPr>
        <w:t xml:space="preserve"> № 1</w:t>
      </w:r>
      <w:r w:rsidRPr="002C29F2">
        <w:rPr>
          <w:rFonts w:eastAsia="Calibri"/>
          <w:sz w:val="24"/>
          <w:szCs w:val="24"/>
        </w:rPr>
        <w:t xml:space="preserve"> </w:t>
      </w:r>
    </w:p>
    <w:p w:rsidR="00A42B3A" w:rsidRPr="002C29F2" w:rsidRDefault="00A42B3A" w:rsidP="00A42B3A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A42B3A" w:rsidRDefault="00A42B3A" w:rsidP="00A42B3A">
      <w:pPr>
        <w:pStyle w:val="1"/>
        <w:spacing w:line="320" w:lineRule="exact"/>
        <w:ind w:left="0"/>
        <w:jc w:val="center"/>
      </w:pPr>
    </w:p>
    <w:p w:rsidR="00A42B3A" w:rsidRPr="00FE0B5D" w:rsidRDefault="00A42B3A" w:rsidP="00A42B3A">
      <w:pPr>
        <w:pStyle w:val="1"/>
        <w:spacing w:line="320" w:lineRule="exact"/>
        <w:ind w:left="0"/>
        <w:jc w:val="center"/>
        <w:rPr>
          <w:b/>
        </w:rPr>
      </w:pPr>
      <w:r w:rsidRPr="00887D82">
        <w:rPr>
          <w:b/>
        </w:rPr>
        <w:t xml:space="preserve">Схема </w:t>
      </w:r>
      <w:r w:rsidR="00565A67">
        <w:rPr>
          <w:b/>
        </w:rPr>
        <w:t>установки пешеходных светофоров</w:t>
      </w:r>
      <w:r w:rsidRPr="00887D82">
        <w:rPr>
          <w:b/>
        </w:rPr>
        <w:t xml:space="preserve"> </w:t>
      </w:r>
      <w:r w:rsidRPr="00887D82">
        <w:rPr>
          <w:b/>
        </w:rPr>
        <w:br/>
        <w:t xml:space="preserve">на перекрестке </w:t>
      </w:r>
      <w:r w:rsidR="0019081D" w:rsidRPr="0019081D">
        <w:rPr>
          <w:b/>
        </w:rPr>
        <w:t>ул. Островского - ул.1-я Красноармейская</w:t>
      </w:r>
    </w:p>
    <w:p w:rsidR="006524B9" w:rsidRDefault="007B1493" w:rsidP="007B1493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381500" cy="3962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A67" w:rsidRDefault="00565A67">
      <w:pPr>
        <w:spacing w:after="200" w:line="276" w:lineRule="auto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br w:type="page"/>
      </w:r>
    </w:p>
    <w:p w:rsidR="00565A67" w:rsidRPr="002C29F2" w:rsidRDefault="00565A67" w:rsidP="00565A67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>Приложение</w:t>
      </w:r>
      <w:r>
        <w:rPr>
          <w:rFonts w:eastAsia="Calibri"/>
          <w:sz w:val="24"/>
          <w:szCs w:val="24"/>
        </w:rPr>
        <w:t xml:space="preserve"> № 2</w:t>
      </w:r>
    </w:p>
    <w:p w:rsidR="00565A67" w:rsidRPr="002C29F2" w:rsidRDefault="00565A67" w:rsidP="00565A67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565A67" w:rsidRDefault="00565A67" w:rsidP="00565A67">
      <w:pPr>
        <w:pStyle w:val="1"/>
        <w:spacing w:line="320" w:lineRule="exact"/>
        <w:ind w:left="0"/>
        <w:jc w:val="center"/>
      </w:pPr>
    </w:p>
    <w:p w:rsidR="00565A67" w:rsidRPr="00FE0B5D" w:rsidRDefault="00565A67" w:rsidP="00565A67">
      <w:pPr>
        <w:pStyle w:val="1"/>
        <w:spacing w:line="320" w:lineRule="exact"/>
        <w:ind w:left="0"/>
        <w:jc w:val="center"/>
        <w:rPr>
          <w:b/>
        </w:rPr>
      </w:pPr>
      <w:r w:rsidRPr="00887D82">
        <w:rPr>
          <w:b/>
        </w:rPr>
        <w:t xml:space="preserve">Схема </w:t>
      </w:r>
      <w:r>
        <w:rPr>
          <w:b/>
        </w:rPr>
        <w:t>замены пешеходных светофоров</w:t>
      </w:r>
      <w:r w:rsidRPr="00887D82">
        <w:rPr>
          <w:b/>
        </w:rPr>
        <w:t xml:space="preserve"> </w:t>
      </w:r>
      <w:r w:rsidRPr="00887D82">
        <w:rPr>
          <w:b/>
        </w:rPr>
        <w:br/>
        <w:t xml:space="preserve">на перекрестке </w:t>
      </w:r>
      <w:r>
        <w:rPr>
          <w:b/>
          <w:sz w:val="22"/>
          <w:szCs w:val="22"/>
        </w:rPr>
        <w:t>ул. Соликамская - ул. Переездная</w:t>
      </w:r>
    </w:p>
    <w:p w:rsidR="007B1493" w:rsidRDefault="007B1493" w:rsidP="007B1493">
      <w:pPr>
        <w:jc w:val="center"/>
        <w:rPr>
          <w:sz w:val="22"/>
          <w:szCs w:val="22"/>
        </w:rPr>
      </w:pPr>
    </w:p>
    <w:p w:rsidR="00565A67" w:rsidRPr="00C8130D" w:rsidRDefault="001E540C" w:rsidP="007B1493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4619625" cy="4371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625" cy="437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4B9" w:rsidRDefault="006524B9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B10651" w:rsidRPr="002C29F2" w:rsidRDefault="00B10651" w:rsidP="00B10651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lastRenderedPageBreak/>
        <w:t xml:space="preserve">Приложение </w:t>
      </w:r>
      <w:r w:rsidR="00A42B3A">
        <w:rPr>
          <w:rFonts w:eastAsia="Calibri"/>
          <w:sz w:val="24"/>
          <w:szCs w:val="24"/>
        </w:rPr>
        <w:t xml:space="preserve">№ </w:t>
      </w:r>
      <w:r w:rsidR="00565A67">
        <w:rPr>
          <w:rFonts w:eastAsia="Calibri"/>
          <w:sz w:val="24"/>
          <w:szCs w:val="24"/>
        </w:rPr>
        <w:t>3</w:t>
      </w:r>
    </w:p>
    <w:p w:rsidR="00B10651" w:rsidRPr="002C29F2" w:rsidRDefault="00B10651" w:rsidP="00B10651">
      <w:pPr>
        <w:spacing w:line="320" w:lineRule="exact"/>
        <w:ind w:right="-1"/>
        <w:contextualSpacing/>
        <w:jc w:val="right"/>
        <w:rPr>
          <w:rFonts w:eastAsia="Calibri"/>
          <w:sz w:val="24"/>
          <w:szCs w:val="24"/>
        </w:rPr>
      </w:pPr>
      <w:r w:rsidRPr="002C29F2">
        <w:rPr>
          <w:rFonts w:eastAsia="Calibri"/>
          <w:sz w:val="24"/>
          <w:szCs w:val="24"/>
        </w:rPr>
        <w:t>к техническому заданию</w:t>
      </w:r>
    </w:p>
    <w:p w:rsidR="00B10651" w:rsidRPr="002C29F2" w:rsidRDefault="00B10651" w:rsidP="00B10651">
      <w:pPr>
        <w:ind w:right="-1"/>
        <w:jc w:val="both"/>
        <w:rPr>
          <w:sz w:val="24"/>
          <w:szCs w:val="24"/>
        </w:rPr>
      </w:pPr>
    </w:p>
    <w:p w:rsidR="00B10651" w:rsidRPr="002C29F2" w:rsidRDefault="00B10651" w:rsidP="00B10651">
      <w:pPr>
        <w:ind w:right="-1"/>
        <w:jc w:val="center"/>
        <w:rPr>
          <w:b/>
          <w:bCs/>
          <w:iCs/>
          <w:sz w:val="24"/>
          <w:szCs w:val="24"/>
        </w:rPr>
      </w:pPr>
      <w:r w:rsidRPr="002C29F2">
        <w:rPr>
          <w:b/>
          <w:bCs/>
          <w:iCs/>
          <w:sz w:val="24"/>
          <w:szCs w:val="24"/>
        </w:rPr>
        <w:t>ТЕХНИЧЕСКИЕ ХАРАКТЕРИСТИКИ ОБОРУДОВАНИЯ</w:t>
      </w:r>
    </w:p>
    <w:p w:rsidR="00B10651" w:rsidRPr="002C29F2" w:rsidRDefault="00B10651" w:rsidP="00B10651">
      <w:pPr>
        <w:ind w:right="-1"/>
        <w:jc w:val="both"/>
        <w:rPr>
          <w:bCs/>
          <w:i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14"/>
        <w:gridCol w:w="6841"/>
      </w:tblGrid>
      <w:tr w:rsidR="00B10651" w:rsidRPr="002C29F2" w:rsidTr="00565A67">
        <w:trPr>
          <w:trHeight w:val="498"/>
        </w:trPr>
        <w:tc>
          <w:tcPr>
            <w:tcW w:w="710" w:type="dxa"/>
            <w:shd w:val="clear" w:color="auto" w:fill="auto"/>
            <w:vAlign w:val="center"/>
          </w:tcPr>
          <w:p w:rsidR="00B10651" w:rsidRPr="002C29F2" w:rsidRDefault="00B10651" w:rsidP="00565A67">
            <w:pPr>
              <w:ind w:right="-1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№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B10651" w:rsidRPr="002C29F2" w:rsidRDefault="00B10651" w:rsidP="00565A67">
            <w:pPr>
              <w:ind w:right="-1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6841" w:type="dxa"/>
            <w:shd w:val="clear" w:color="auto" w:fill="auto"/>
            <w:vAlign w:val="center"/>
          </w:tcPr>
          <w:p w:rsidR="00B10651" w:rsidRPr="002C29F2" w:rsidRDefault="00B10651" w:rsidP="00565A67">
            <w:pPr>
              <w:ind w:right="-1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C29F2">
              <w:rPr>
                <w:b/>
                <w:bCs/>
                <w:iCs/>
                <w:sz w:val="24"/>
                <w:szCs w:val="24"/>
              </w:rPr>
              <w:t>Технические характеристики</w:t>
            </w:r>
          </w:p>
        </w:tc>
      </w:tr>
      <w:tr w:rsidR="00B10651" w:rsidRPr="002C29F2" w:rsidTr="002E46AD">
        <w:trPr>
          <w:trHeight w:val="3981"/>
        </w:trPr>
        <w:tc>
          <w:tcPr>
            <w:tcW w:w="710" w:type="dxa"/>
            <w:shd w:val="clear" w:color="auto" w:fill="auto"/>
          </w:tcPr>
          <w:p w:rsidR="00B10651" w:rsidRPr="002C29F2" w:rsidRDefault="00A42B3A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</w:t>
            </w:r>
            <w:r w:rsidR="00B10651" w:rsidRPr="002C29F2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2514" w:type="dxa"/>
            <w:shd w:val="clear" w:color="auto" w:fill="auto"/>
          </w:tcPr>
          <w:p w:rsidR="00B10651" w:rsidRPr="002C29F2" w:rsidRDefault="00B10651" w:rsidP="002E46AD">
            <w:pPr>
              <w:ind w:right="-1"/>
              <w:jc w:val="both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Светофор светодиодный «СКДС» или эквивалент</w:t>
            </w:r>
          </w:p>
        </w:tc>
        <w:tc>
          <w:tcPr>
            <w:tcW w:w="6841" w:type="dxa"/>
            <w:shd w:val="clear" w:color="auto" w:fill="auto"/>
          </w:tcPr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 xml:space="preserve">Источник света - светоизлучающие диоды; 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Корпус - ударопрочный поликарбонат;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Потребляемая мощность излучающего элемента не более 40 Ватт;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Диаметр выходной апертуры сигналов светофоров  –</w:t>
            </w:r>
          </w:p>
          <w:p w:rsidR="00B10651" w:rsidRPr="002C29F2" w:rsidRDefault="00580D0D" w:rsidP="002E46AD">
            <w:pPr>
              <w:ind w:right="-1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не менее 2</w:t>
            </w:r>
            <w:r w:rsidR="00B10651" w:rsidRPr="002C29F2">
              <w:rPr>
                <w:bCs/>
                <w:iCs/>
                <w:sz w:val="24"/>
                <w:szCs w:val="24"/>
              </w:rPr>
              <w:t>00 мм;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Климатическое исполнение светофоров УХЛ по ГОСТ 15150-69;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Степень защиты от воздействия внешних факторов IP 54;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Наработка на отказ не менее 50 000 часов;</w:t>
            </w:r>
          </w:p>
          <w:p w:rsidR="00B10651" w:rsidRPr="002C29F2" w:rsidRDefault="00B10651" w:rsidP="00B10651">
            <w:pPr>
              <w:numPr>
                <w:ilvl w:val="0"/>
                <w:numId w:val="12"/>
              </w:numPr>
              <w:ind w:left="0" w:right="-1" w:firstLine="0"/>
              <w:rPr>
                <w:bCs/>
                <w:iCs/>
                <w:sz w:val="24"/>
                <w:szCs w:val="24"/>
              </w:rPr>
            </w:pPr>
            <w:r w:rsidRPr="002C29F2">
              <w:rPr>
                <w:bCs/>
                <w:iCs/>
                <w:sz w:val="24"/>
                <w:szCs w:val="24"/>
              </w:rPr>
              <w:t>На светофоры  изготовителем должен быть установлен гарантийный срок не менее 12 месяцев с момента ввода в эксплуатацию;</w:t>
            </w:r>
          </w:p>
          <w:p w:rsidR="00B10651" w:rsidRPr="002C29F2" w:rsidRDefault="00A42B3A" w:rsidP="006524B9">
            <w:pPr>
              <w:numPr>
                <w:ilvl w:val="0"/>
                <w:numId w:val="12"/>
              </w:numPr>
              <w:ind w:left="0" w:right="-1" w:firstLine="0"/>
              <w:rPr>
                <w:rFonts w:eastAsia="Calibri"/>
                <w:b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Режим работы – непрерывный.</w:t>
            </w:r>
          </w:p>
        </w:tc>
      </w:tr>
    </w:tbl>
    <w:p w:rsidR="00B10651" w:rsidRPr="002C29F2" w:rsidRDefault="00B10651" w:rsidP="00B10651">
      <w:pPr>
        <w:ind w:right="-1"/>
        <w:jc w:val="both"/>
        <w:rPr>
          <w:bCs/>
          <w:iCs/>
          <w:sz w:val="24"/>
          <w:szCs w:val="24"/>
        </w:rPr>
      </w:pPr>
    </w:p>
    <w:p w:rsidR="00B10651" w:rsidRDefault="00B10651" w:rsidP="00B10651">
      <w:pPr>
        <w:ind w:right="-1"/>
        <w:jc w:val="both"/>
        <w:rPr>
          <w:bCs/>
          <w:iCs/>
          <w:sz w:val="24"/>
          <w:szCs w:val="24"/>
        </w:rPr>
      </w:pPr>
      <w:r w:rsidRPr="002C29F2">
        <w:rPr>
          <w:bCs/>
          <w:iCs/>
          <w:sz w:val="24"/>
          <w:szCs w:val="24"/>
        </w:rPr>
        <w:t>Все используемое при выполнении работ оборудование должно быть новым.</w:t>
      </w:r>
    </w:p>
    <w:p w:rsidR="00A42B3A" w:rsidRPr="002C29F2" w:rsidRDefault="00A42B3A" w:rsidP="00B10651">
      <w:pPr>
        <w:ind w:right="-1"/>
        <w:jc w:val="both"/>
        <w:rPr>
          <w:bCs/>
          <w:iCs/>
          <w:sz w:val="24"/>
          <w:szCs w:val="24"/>
        </w:rPr>
      </w:pPr>
    </w:p>
    <w:sectPr w:rsidR="00A42B3A" w:rsidRPr="002C29F2" w:rsidSect="00A42B3A">
      <w:footerReference w:type="even" r:id="rId11"/>
      <w:footerReference w:type="default" r:id="rId12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40A" w:rsidRDefault="0061040A">
      <w:r>
        <w:separator/>
      </w:r>
    </w:p>
  </w:endnote>
  <w:endnote w:type="continuationSeparator" w:id="0">
    <w:p w:rsidR="0061040A" w:rsidRDefault="00610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777B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241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7665" w:rsidRDefault="0061040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665" w:rsidRDefault="00777B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24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7711B">
      <w:rPr>
        <w:rStyle w:val="a7"/>
        <w:noProof/>
      </w:rPr>
      <w:t>5</w:t>
    </w:r>
    <w:r>
      <w:rPr>
        <w:rStyle w:val="a7"/>
      </w:rPr>
      <w:fldChar w:fldCharType="end"/>
    </w:r>
  </w:p>
  <w:p w:rsidR="005D7665" w:rsidRDefault="006104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40A" w:rsidRDefault="0061040A">
      <w:r>
        <w:separator/>
      </w:r>
    </w:p>
  </w:footnote>
  <w:footnote w:type="continuationSeparator" w:id="0">
    <w:p w:rsidR="0061040A" w:rsidRDefault="00610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B35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9252E"/>
    <w:multiLevelType w:val="hybridMultilevel"/>
    <w:tmpl w:val="909E96B4"/>
    <w:lvl w:ilvl="0" w:tplc="FC468E52">
      <w:start w:val="1"/>
      <w:numFmt w:val="decimal"/>
      <w:lvlText w:val="%1."/>
      <w:lvlJc w:val="left"/>
      <w:pPr>
        <w:ind w:left="93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2">
    <w:nsid w:val="20E079F0"/>
    <w:multiLevelType w:val="multilevel"/>
    <w:tmpl w:val="F1E0AF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79B160D"/>
    <w:multiLevelType w:val="hybridMultilevel"/>
    <w:tmpl w:val="4A1A5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011ED"/>
    <w:multiLevelType w:val="multilevel"/>
    <w:tmpl w:val="22463F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6156615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1D17F79"/>
    <w:multiLevelType w:val="hybridMultilevel"/>
    <w:tmpl w:val="74AC7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E2B35"/>
    <w:multiLevelType w:val="multilevel"/>
    <w:tmpl w:val="838ADA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1EC6E10"/>
    <w:multiLevelType w:val="multilevel"/>
    <w:tmpl w:val="2B0E26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EAB6D25"/>
    <w:multiLevelType w:val="hybridMultilevel"/>
    <w:tmpl w:val="7EDC473C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63188E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0"/>
  </w:num>
  <w:num w:numId="7">
    <w:abstractNumId w:val="11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DA"/>
    <w:rsid w:val="000217CC"/>
    <w:rsid w:val="00057FF2"/>
    <w:rsid w:val="00097CA2"/>
    <w:rsid w:val="000B34C5"/>
    <w:rsid w:val="000B6111"/>
    <w:rsid w:val="000B715D"/>
    <w:rsid w:val="000C3E83"/>
    <w:rsid w:val="00101E8A"/>
    <w:rsid w:val="00132DBA"/>
    <w:rsid w:val="00141A70"/>
    <w:rsid w:val="00161401"/>
    <w:rsid w:val="00162B27"/>
    <w:rsid w:val="0017319F"/>
    <w:rsid w:val="0017711B"/>
    <w:rsid w:val="0019081D"/>
    <w:rsid w:val="001A14A6"/>
    <w:rsid w:val="001C41CF"/>
    <w:rsid w:val="001E540C"/>
    <w:rsid w:val="002056F3"/>
    <w:rsid w:val="00216D23"/>
    <w:rsid w:val="00263A17"/>
    <w:rsid w:val="002E108E"/>
    <w:rsid w:val="002E302A"/>
    <w:rsid w:val="002F02A9"/>
    <w:rsid w:val="003018C5"/>
    <w:rsid w:val="00354322"/>
    <w:rsid w:val="00355AA6"/>
    <w:rsid w:val="003639F0"/>
    <w:rsid w:val="003655FF"/>
    <w:rsid w:val="00381018"/>
    <w:rsid w:val="003A73B0"/>
    <w:rsid w:val="003B0EFE"/>
    <w:rsid w:val="004211C1"/>
    <w:rsid w:val="00437091"/>
    <w:rsid w:val="00440A86"/>
    <w:rsid w:val="004527EE"/>
    <w:rsid w:val="00465F24"/>
    <w:rsid w:val="004A6E6F"/>
    <w:rsid w:val="004C6BE3"/>
    <w:rsid w:val="004E1E2A"/>
    <w:rsid w:val="00515C2E"/>
    <w:rsid w:val="00565A67"/>
    <w:rsid w:val="00574AD1"/>
    <w:rsid w:val="005755AD"/>
    <w:rsid w:val="00580D0D"/>
    <w:rsid w:val="00597038"/>
    <w:rsid w:val="005B7994"/>
    <w:rsid w:val="005C6D93"/>
    <w:rsid w:val="005D72D9"/>
    <w:rsid w:val="005F3D07"/>
    <w:rsid w:val="005F55CF"/>
    <w:rsid w:val="0061040A"/>
    <w:rsid w:val="0064067D"/>
    <w:rsid w:val="0064161B"/>
    <w:rsid w:val="006524B9"/>
    <w:rsid w:val="00661B79"/>
    <w:rsid w:val="006814ED"/>
    <w:rsid w:val="006D2F64"/>
    <w:rsid w:val="006D7E57"/>
    <w:rsid w:val="00710AB6"/>
    <w:rsid w:val="00731A7B"/>
    <w:rsid w:val="00744850"/>
    <w:rsid w:val="00777BA3"/>
    <w:rsid w:val="007810CA"/>
    <w:rsid w:val="007917D5"/>
    <w:rsid w:val="007B0D79"/>
    <w:rsid w:val="007B1493"/>
    <w:rsid w:val="007D1619"/>
    <w:rsid w:val="007E0E8B"/>
    <w:rsid w:val="007E1429"/>
    <w:rsid w:val="007F55F9"/>
    <w:rsid w:val="00826D0B"/>
    <w:rsid w:val="00867AC6"/>
    <w:rsid w:val="00887D82"/>
    <w:rsid w:val="00895D11"/>
    <w:rsid w:val="009057DA"/>
    <w:rsid w:val="00950808"/>
    <w:rsid w:val="00964548"/>
    <w:rsid w:val="00986AD5"/>
    <w:rsid w:val="00994B92"/>
    <w:rsid w:val="009A32AE"/>
    <w:rsid w:val="009C2418"/>
    <w:rsid w:val="009D0144"/>
    <w:rsid w:val="009E6791"/>
    <w:rsid w:val="00A14374"/>
    <w:rsid w:val="00A25751"/>
    <w:rsid w:val="00A36749"/>
    <w:rsid w:val="00A4112B"/>
    <w:rsid w:val="00A42B3A"/>
    <w:rsid w:val="00A505A1"/>
    <w:rsid w:val="00A63926"/>
    <w:rsid w:val="00A73201"/>
    <w:rsid w:val="00A946DA"/>
    <w:rsid w:val="00A97063"/>
    <w:rsid w:val="00AA1106"/>
    <w:rsid w:val="00AD312D"/>
    <w:rsid w:val="00AE0982"/>
    <w:rsid w:val="00B02F84"/>
    <w:rsid w:val="00B10651"/>
    <w:rsid w:val="00B151B2"/>
    <w:rsid w:val="00B4655A"/>
    <w:rsid w:val="00B46C88"/>
    <w:rsid w:val="00B71EDC"/>
    <w:rsid w:val="00B905C3"/>
    <w:rsid w:val="00B91267"/>
    <w:rsid w:val="00BA2F96"/>
    <w:rsid w:val="00BB7D3B"/>
    <w:rsid w:val="00BD1969"/>
    <w:rsid w:val="00BF31EA"/>
    <w:rsid w:val="00C63B5F"/>
    <w:rsid w:val="00C8130D"/>
    <w:rsid w:val="00CE368B"/>
    <w:rsid w:val="00CF0679"/>
    <w:rsid w:val="00D06DAA"/>
    <w:rsid w:val="00D45592"/>
    <w:rsid w:val="00DA3E4A"/>
    <w:rsid w:val="00DB7671"/>
    <w:rsid w:val="00DE1E25"/>
    <w:rsid w:val="00DF7423"/>
    <w:rsid w:val="00E1143B"/>
    <w:rsid w:val="00E22FD0"/>
    <w:rsid w:val="00E25129"/>
    <w:rsid w:val="00E264CF"/>
    <w:rsid w:val="00E34CD6"/>
    <w:rsid w:val="00E62FEC"/>
    <w:rsid w:val="00E653B7"/>
    <w:rsid w:val="00E7526C"/>
    <w:rsid w:val="00E906DC"/>
    <w:rsid w:val="00EB4912"/>
    <w:rsid w:val="00EC2976"/>
    <w:rsid w:val="00F20275"/>
    <w:rsid w:val="00F34E14"/>
    <w:rsid w:val="00F64998"/>
    <w:rsid w:val="00F73912"/>
    <w:rsid w:val="00F91729"/>
    <w:rsid w:val="00F932BD"/>
    <w:rsid w:val="00FA6391"/>
    <w:rsid w:val="00FB0821"/>
    <w:rsid w:val="00FE0689"/>
    <w:rsid w:val="00FE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A6391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qFormat/>
    <w:rsid w:val="0064161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87D8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87D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FA6391"/>
    <w:pPr>
      <w:ind w:left="708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6735C-8047-4B15-8228-447F1558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5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11</cp:revision>
  <cp:lastPrinted>2013-07-25T09:17:00Z</cp:lastPrinted>
  <dcterms:created xsi:type="dcterms:W3CDTF">2013-07-25T09:17:00Z</dcterms:created>
  <dcterms:modified xsi:type="dcterms:W3CDTF">2013-11-18T13:40:00Z</dcterms:modified>
</cp:coreProperties>
</file>