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D84" w:rsidRDefault="00280D84" w:rsidP="00280D84">
      <w:pPr>
        <w:pStyle w:val="ConsPlusNormal"/>
        <w:widowControl/>
        <w:ind w:firstLine="540"/>
        <w:jc w:val="right"/>
        <w:rPr>
          <w:rFonts w:ascii="Times New Roman" w:hAnsi="Times New Roman" w:cs="Times New Roman"/>
        </w:rPr>
      </w:pPr>
      <w:r>
        <w:rPr>
          <w:rFonts w:ascii="Times New Roman" w:hAnsi="Times New Roman" w:cs="Times New Roman"/>
        </w:rPr>
        <w:t>Приложение № 1</w:t>
      </w:r>
    </w:p>
    <w:p w:rsidR="00280D84" w:rsidRDefault="00280D84" w:rsidP="00280D84">
      <w:pPr>
        <w:pStyle w:val="ConsPlusNormal"/>
        <w:widowControl/>
        <w:ind w:firstLine="540"/>
        <w:jc w:val="right"/>
        <w:rPr>
          <w:rFonts w:ascii="Times New Roman" w:hAnsi="Times New Roman" w:cs="Times New Roman"/>
        </w:rPr>
      </w:pPr>
      <w:r>
        <w:rPr>
          <w:rFonts w:ascii="Times New Roman" w:hAnsi="Times New Roman" w:cs="Times New Roman"/>
        </w:rPr>
        <w:t>к Извещению №37 от «06» декабря 2013 года</w:t>
      </w:r>
    </w:p>
    <w:p w:rsidR="00280D84" w:rsidRDefault="00280D84" w:rsidP="00280D84">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630C2A" w:rsidRPr="000A3D19" w:rsidRDefault="00630C2A">
      <w:pPr>
        <w:shd w:val="clear" w:color="auto" w:fill="FFFFFF"/>
        <w:spacing w:line="317" w:lineRule="exact"/>
        <w:ind w:left="7670"/>
      </w:pPr>
    </w:p>
    <w:p w:rsidR="005F16FB" w:rsidRPr="00280D84"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47264F">
        <w:rPr>
          <w:rFonts w:eastAsia="Times New Roman"/>
          <w:b/>
          <w:bCs/>
          <w:spacing w:val="-14"/>
        </w:rPr>
        <w:t xml:space="preserve"> СРЕДСТВ</w:t>
      </w:r>
      <w:r w:rsidR="00147E6C">
        <w:rPr>
          <w:rFonts w:eastAsia="Times New Roman"/>
          <w:b/>
          <w:bCs/>
          <w:spacing w:val="-14"/>
        </w:rPr>
        <w:t xml:space="preserve"> МЕДИЦИНСКИХ</w:t>
      </w:r>
      <w:r w:rsidR="00322110">
        <w:rPr>
          <w:rFonts w:eastAsia="Times New Roman"/>
          <w:b/>
          <w:bCs/>
          <w:spacing w:val="-14"/>
        </w:rPr>
        <w:t xml:space="preserve"> ПРОЧИХ</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6A7A45">
        <w:rPr>
          <w:rFonts w:eastAsia="Times New Roman"/>
          <w:spacing w:val="10"/>
        </w:rPr>
        <w:t>4</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средств </w:t>
      </w:r>
      <w:r w:rsidR="00147E6C">
        <w:rPr>
          <w:rFonts w:eastAsia="Times New Roman"/>
          <w:spacing w:val="-6"/>
        </w:rPr>
        <w:t>медицинских</w:t>
      </w:r>
      <w:r w:rsidR="00322110">
        <w:rPr>
          <w:rFonts w:eastAsia="Times New Roman"/>
          <w:spacing w:val="-6"/>
        </w:rPr>
        <w:t xml:space="preserve"> прочих</w:t>
      </w:r>
      <w:r w:rsidR="00EF5F4D">
        <w:rPr>
          <w:rFonts w:eastAsia="Times New Roman"/>
          <w:spacing w:val="-6"/>
        </w:rPr>
        <w:t xml:space="preserve"> в </w:t>
      </w:r>
      <w:r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w:t>
      </w:r>
      <w:proofErr w:type="gramStart"/>
      <w:r w:rsidRPr="000A3D19">
        <w:rPr>
          <w:rFonts w:eastAsia="Times New Roman"/>
          <w:spacing w:val="-12"/>
        </w:rPr>
        <w:t>в</w:t>
      </w:r>
      <w:proofErr w:type="gramEnd"/>
      <w:r w:rsidRPr="000A3D19">
        <w:rPr>
          <w:rFonts w:eastAsia="Times New Roman"/>
          <w:spacing w:val="-12"/>
        </w:rPr>
        <w:t xml:space="preserve"> </w:t>
      </w:r>
      <w:proofErr w:type="gramStart"/>
      <w:r w:rsidRPr="000A3D19">
        <w:rPr>
          <w:rFonts w:eastAsia="Times New Roman"/>
          <w:spacing w:val="-12"/>
        </w:rPr>
        <w:t>их</w:t>
      </w:r>
      <w:proofErr w:type="gramEnd"/>
      <w:r w:rsidRPr="000A3D19">
        <w:rPr>
          <w:rFonts w:eastAsia="Times New Roman"/>
          <w:spacing w:val="-12"/>
        </w:rPr>
        <w:t xml:space="preserve"> </w:t>
      </w:r>
      <w:r w:rsidRPr="000A3D19">
        <w:rPr>
          <w:rFonts w:eastAsia="Times New Roman"/>
        </w:rPr>
        <w:t xml:space="preserve">конечном </w:t>
      </w:r>
      <w:proofErr w:type="gramStart"/>
      <w:r w:rsidRPr="000A3D19">
        <w:rPr>
          <w:rFonts w:eastAsia="Times New Roman"/>
        </w:rPr>
        <w:t>пункте</w:t>
      </w:r>
      <w:proofErr w:type="gramEnd"/>
      <w:r w:rsidRPr="000A3D19">
        <w:rPr>
          <w:rFonts w:eastAsia="Times New Roman"/>
        </w:rPr>
        <w:t xml:space="preserve"> назначения.</w:t>
      </w:r>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7B4DD0">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681DD6">
        <w:rPr>
          <w:rFonts w:eastAsia="Times New Roman"/>
          <w:spacing w:val="-7"/>
        </w:rPr>
        <w:t xml:space="preserve">десяти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322110">
        <w:rPr>
          <w:rFonts w:eastAsia="Times New Roman"/>
          <w:spacing w:val="-7"/>
        </w:rPr>
        <w:t>3</w:t>
      </w:r>
      <w:r w:rsidR="006A7A45">
        <w:rPr>
          <w:rFonts w:eastAsia="Times New Roman"/>
          <w:spacing w:val="-7"/>
        </w:rPr>
        <w:t>1</w:t>
      </w:r>
      <w:r w:rsidR="00D857E8">
        <w:rPr>
          <w:rFonts w:eastAsia="Times New Roman"/>
          <w:spacing w:val="-7"/>
        </w:rPr>
        <w:t xml:space="preserve"> </w:t>
      </w:r>
      <w:r w:rsidR="006A7A45">
        <w:rPr>
          <w:rFonts w:eastAsia="Times New Roman"/>
          <w:spacing w:val="-7"/>
        </w:rPr>
        <w:t>декабря</w:t>
      </w:r>
      <w:r w:rsidR="00322110">
        <w:rPr>
          <w:rFonts w:eastAsia="Times New Roman"/>
          <w:spacing w:val="-7"/>
        </w:rPr>
        <w:t xml:space="preserve"> </w:t>
      </w:r>
      <w:r w:rsidR="00D857E8">
        <w:rPr>
          <w:rFonts w:eastAsia="Times New Roman"/>
          <w:spacing w:val="-7"/>
        </w:rPr>
        <w:t xml:space="preserve"> 201</w:t>
      </w:r>
      <w:r w:rsidR="00322110">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lastRenderedPageBreak/>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630C2A">
      <w:pPr>
        <w:shd w:val="clear" w:color="auto" w:fill="FFFFFF"/>
        <w:spacing w:before="216" w:line="230" w:lineRule="exact"/>
        <w:ind w:left="10" w:right="730"/>
        <w:sectPr w:rsidR="00630C2A" w:rsidRPr="000A3D19">
          <w:pgSz w:w="11909" w:h="16834"/>
          <w:pgMar w:top="1385" w:right="1029" w:bottom="360" w:left="1477" w:header="720" w:footer="720" w:gutter="0"/>
          <w:cols w:space="60"/>
          <w:noEndnote/>
        </w:sectPr>
      </w:pPr>
    </w:p>
    <w:p w:rsidR="00630C2A" w:rsidRPr="000A3D19" w:rsidRDefault="005F16FB">
      <w:pPr>
        <w:shd w:val="clear" w:color="auto" w:fill="FFFFFF"/>
        <w:spacing w:line="226" w:lineRule="exact"/>
        <w:ind w:left="34"/>
        <w:jc w:val="both"/>
      </w:pPr>
      <w:r w:rsidRPr="000A3D19">
        <w:lastRenderedPageBreak/>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322110">
        <w:rPr>
          <w:rFonts w:eastAsia="Times New Roman"/>
        </w:rPr>
        <w:t>3</w:t>
      </w:r>
      <w:r w:rsidR="006A7A45">
        <w:rPr>
          <w:rFonts w:eastAsia="Times New Roman"/>
        </w:rPr>
        <w:t>1</w:t>
      </w:r>
      <w:r w:rsidR="000A3D19">
        <w:rPr>
          <w:rFonts w:eastAsia="Times New Roman"/>
        </w:rPr>
        <w:t>»</w:t>
      </w:r>
      <w:r w:rsidR="006A7A45">
        <w:rPr>
          <w:rFonts w:eastAsia="Times New Roman"/>
        </w:rPr>
        <w:t>декабря</w:t>
      </w:r>
      <w:bookmarkStart w:id="0" w:name="_GoBack"/>
      <w:bookmarkEnd w:id="0"/>
      <w:r w:rsidR="000A3D19">
        <w:rPr>
          <w:rFonts w:eastAsia="Times New Roman"/>
        </w:rPr>
        <w:t xml:space="preserve"> 201</w:t>
      </w:r>
      <w:r w:rsidR="00322110">
        <w:rPr>
          <w:rFonts w:eastAsia="Times New Roman"/>
        </w:rPr>
        <w:t>4</w:t>
      </w:r>
      <w:r w:rsidR="000A3D19">
        <w:rPr>
          <w:rFonts w:eastAsia="Times New Roman"/>
        </w:rPr>
        <w:t xml:space="preserve">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lastRenderedPageBreak/>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147E6C"/>
    <w:rsid w:val="00223F2F"/>
    <w:rsid w:val="00280D84"/>
    <w:rsid w:val="002A47BF"/>
    <w:rsid w:val="00322110"/>
    <w:rsid w:val="0036005C"/>
    <w:rsid w:val="0041598E"/>
    <w:rsid w:val="0047264F"/>
    <w:rsid w:val="004C7DCD"/>
    <w:rsid w:val="005F16FB"/>
    <w:rsid w:val="00630C2A"/>
    <w:rsid w:val="00681DD6"/>
    <w:rsid w:val="0068234B"/>
    <w:rsid w:val="006A7A45"/>
    <w:rsid w:val="006B0156"/>
    <w:rsid w:val="00763B99"/>
    <w:rsid w:val="007B4DD0"/>
    <w:rsid w:val="00B95590"/>
    <w:rsid w:val="00BD572B"/>
    <w:rsid w:val="00D857E8"/>
    <w:rsid w:val="00EF5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0D84"/>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250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1515</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22</cp:revision>
  <dcterms:created xsi:type="dcterms:W3CDTF">2013-09-20T04:40:00Z</dcterms:created>
  <dcterms:modified xsi:type="dcterms:W3CDTF">2013-12-06T04:04:00Z</dcterms:modified>
</cp:coreProperties>
</file>