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6F3" w:rsidRPr="00D543BF" w:rsidRDefault="00D543BF" w:rsidP="00D543BF">
      <w:pPr>
        <w:jc w:val="right"/>
        <w:rPr>
          <w:rFonts w:ascii="Times New Roman" w:hAnsi="Times New Roman" w:cs="Times New Roman"/>
          <w:sz w:val="24"/>
          <w:szCs w:val="24"/>
        </w:rPr>
      </w:pPr>
      <w:r w:rsidRPr="00D543BF">
        <w:rPr>
          <w:rFonts w:ascii="Times New Roman" w:hAnsi="Times New Roman" w:cs="Times New Roman"/>
          <w:i/>
          <w:sz w:val="24"/>
          <w:szCs w:val="24"/>
        </w:rPr>
        <w:t>Приложение №4</w:t>
      </w:r>
    </w:p>
    <w:p w:rsidR="00D543BF" w:rsidRPr="00D543BF" w:rsidRDefault="00D543BF" w:rsidP="00D543BF">
      <w:pPr>
        <w:jc w:val="both"/>
        <w:rPr>
          <w:rFonts w:ascii="Times New Roman" w:hAnsi="Times New Roman" w:cs="Times New Roman"/>
          <w:b/>
          <w:sz w:val="24"/>
          <w:szCs w:val="24"/>
        </w:rPr>
      </w:pPr>
      <w:r w:rsidRPr="00D543BF">
        <w:rPr>
          <w:rFonts w:ascii="Times New Roman" w:hAnsi="Times New Roman" w:cs="Times New Roman"/>
          <w:b/>
          <w:sz w:val="24"/>
          <w:szCs w:val="24"/>
        </w:rPr>
        <w:t>Обоснование начальной (максимальной) цены контракта</w:t>
      </w:r>
    </w:p>
    <w:p w:rsidR="00D543BF" w:rsidRPr="00D543BF" w:rsidRDefault="00D543BF" w:rsidP="00D543BF">
      <w:pPr>
        <w:jc w:val="both"/>
        <w:rPr>
          <w:rFonts w:ascii="Times New Roman" w:hAnsi="Times New Roman" w:cs="Times New Roman"/>
          <w:b/>
          <w:sz w:val="24"/>
          <w:szCs w:val="24"/>
        </w:rPr>
      </w:pPr>
      <w:r>
        <w:rPr>
          <w:rFonts w:ascii="Times New Roman" w:hAnsi="Times New Roman" w:cs="Times New Roman"/>
          <w:sz w:val="24"/>
          <w:szCs w:val="24"/>
        </w:rPr>
        <w:t>Р</w:t>
      </w:r>
      <w:r w:rsidRPr="00D543BF">
        <w:rPr>
          <w:rFonts w:ascii="Times New Roman" w:hAnsi="Times New Roman" w:cs="Times New Roman"/>
          <w:sz w:val="24"/>
          <w:szCs w:val="24"/>
        </w:rPr>
        <w:t>асчет начальной (максимальной) цены контракта произведен Заказчиком в соответствии с положениями действующего законодательства, регулирующего деятельность в области почтовой связи в Российской Федерации.</w:t>
      </w:r>
    </w:p>
    <w:p w:rsidR="00D543BF" w:rsidRPr="00D543BF" w:rsidRDefault="00D543BF" w:rsidP="00D543BF">
      <w:pPr>
        <w:shd w:val="clear" w:color="auto" w:fill="FFFFFF"/>
        <w:jc w:val="both"/>
        <w:rPr>
          <w:rFonts w:ascii="Times New Roman" w:hAnsi="Times New Roman" w:cs="Times New Roman"/>
          <w:sz w:val="24"/>
          <w:szCs w:val="24"/>
        </w:rPr>
      </w:pPr>
      <w:r w:rsidRPr="00D543BF">
        <w:rPr>
          <w:rFonts w:ascii="Times New Roman" w:hAnsi="Times New Roman" w:cs="Times New Roman"/>
          <w:sz w:val="24"/>
          <w:szCs w:val="24"/>
        </w:rPr>
        <w:t xml:space="preserve">В силу ст. 2 Федерального закона от 17.07.1999 № 176-ФЗ «О почтовой связи», государственными знаками почтовой оплаты признаются почтовые марки и иные знаки, наносимые на почтовые отправления и подтверждающие оплату услуг почтовой связи. Номиналы знаков почтовой оплаты соответствуют тарифам на услуги почтовой связи, действующим на территории Российской Федерации - п. 3.2. раздела </w:t>
      </w:r>
      <w:r w:rsidRPr="00D543BF">
        <w:rPr>
          <w:rFonts w:ascii="Times New Roman" w:hAnsi="Times New Roman" w:cs="Times New Roman"/>
          <w:sz w:val="24"/>
          <w:szCs w:val="24"/>
          <w:lang w:val="en-US"/>
        </w:rPr>
        <w:t>I</w:t>
      </w:r>
      <w:r w:rsidRPr="00D543BF">
        <w:rPr>
          <w:rFonts w:ascii="Times New Roman" w:hAnsi="Times New Roman" w:cs="Times New Roman"/>
          <w:sz w:val="24"/>
          <w:szCs w:val="24"/>
        </w:rPr>
        <w:t xml:space="preserve"> «Положения о знаках почтовой оплаты и специальных почтовых штемпелях Российской Федерации» (утв. приказом Минсвязи РФ от 26.05.1994 № 115; далее также - Положение). В силу п. 5.3. раздела </w:t>
      </w:r>
      <w:r w:rsidRPr="00D543BF">
        <w:rPr>
          <w:rFonts w:ascii="Times New Roman" w:hAnsi="Times New Roman" w:cs="Times New Roman"/>
          <w:sz w:val="24"/>
          <w:szCs w:val="24"/>
          <w:lang w:val="en-US"/>
        </w:rPr>
        <w:t>I</w:t>
      </w:r>
      <w:r w:rsidRPr="00D543BF">
        <w:rPr>
          <w:rFonts w:ascii="Times New Roman" w:hAnsi="Times New Roman" w:cs="Times New Roman"/>
          <w:sz w:val="24"/>
          <w:szCs w:val="24"/>
        </w:rPr>
        <w:t xml:space="preserve"> Положения, продажа знаков почтовой оплаты Российской Федерации производится учреждениями Федеральной почтовой связи строго по номинальной стоимости. Из этого следует, что на рынке услуг почтовой связи присутствует не менее одного поставщика, способного поставлять почтовые марки по цене, не превышающей их номинальную стоимость. </w:t>
      </w:r>
    </w:p>
    <w:p w:rsidR="00D543BF" w:rsidRPr="00D543BF" w:rsidRDefault="00D543BF" w:rsidP="00D543BF">
      <w:pPr>
        <w:jc w:val="both"/>
        <w:rPr>
          <w:rFonts w:ascii="Times New Roman" w:hAnsi="Times New Roman" w:cs="Times New Roman"/>
          <w:sz w:val="24"/>
          <w:szCs w:val="24"/>
        </w:rPr>
      </w:pPr>
      <w:r w:rsidRPr="00D543BF">
        <w:rPr>
          <w:rFonts w:ascii="Times New Roman" w:hAnsi="Times New Roman" w:cs="Times New Roman"/>
          <w:sz w:val="24"/>
          <w:szCs w:val="24"/>
        </w:rPr>
        <w:t>Обоснование начальной (максимальной) цены контракта - ценовая информация, полученная от ФГУП «Почта России».</w:t>
      </w:r>
    </w:p>
    <w:p w:rsidR="00D543BF" w:rsidRPr="00D543BF" w:rsidRDefault="00D543BF" w:rsidP="00D543BF">
      <w:pPr>
        <w:jc w:val="both"/>
        <w:rPr>
          <w:rFonts w:ascii="Times New Roman" w:hAnsi="Times New Roman" w:cs="Times New Roman"/>
          <w:sz w:val="24"/>
          <w:szCs w:val="24"/>
        </w:rPr>
      </w:pPr>
      <w:r w:rsidRPr="00D543BF">
        <w:rPr>
          <w:rFonts w:ascii="Times New Roman" w:hAnsi="Times New Roman" w:cs="Times New Roman"/>
          <w:sz w:val="24"/>
          <w:szCs w:val="24"/>
        </w:rPr>
        <w:t>Таким образом, исходя из количества и номинала маркированных конвертов и марок, указанных в таблице подраздела «Наименование, характеристики</w:t>
      </w:r>
      <w:r w:rsidRPr="00D543BF">
        <w:rPr>
          <w:rFonts w:ascii="Times New Roman" w:hAnsi="Times New Roman" w:cs="Times New Roman"/>
          <w:i/>
          <w:sz w:val="24"/>
          <w:szCs w:val="24"/>
        </w:rPr>
        <w:t xml:space="preserve"> </w:t>
      </w:r>
      <w:r w:rsidRPr="00D543BF">
        <w:rPr>
          <w:rFonts w:ascii="Times New Roman" w:hAnsi="Times New Roman" w:cs="Times New Roman"/>
          <w:sz w:val="24"/>
          <w:szCs w:val="24"/>
        </w:rPr>
        <w:t>и</w:t>
      </w:r>
      <w:r w:rsidRPr="00D543BF">
        <w:rPr>
          <w:rFonts w:ascii="Times New Roman" w:hAnsi="Times New Roman" w:cs="Times New Roman"/>
          <w:i/>
          <w:sz w:val="24"/>
          <w:szCs w:val="24"/>
        </w:rPr>
        <w:t xml:space="preserve"> </w:t>
      </w:r>
      <w:r w:rsidRPr="00D543BF">
        <w:rPr>
          <w:rFonts w:ascii="Times New Roman" w:hAnsi="Times New Roman" w:cs="Times New Roman"/>
          <w:sz w:val="24"/>
          <w:szCs w:val="24"/>
        </w:rPr>
        <w:t>количество поставляемых товаров» настоящего извещения начальная (максимальная) цена контракта составляет номинальную стоимость почтовой оплаты марочной продукции:</w:t>
      </w:r>
    </w:p>
    <w:p w:rsidR="00D543BF" w:rsidRPr="00D543BF" w:rsidRDefault="00D543BF" w:rsidP="00D543BF">
      <w:pPr>
        <w:ind w:firstLine="709"/>
        <w:jc w:val="both"/>
        <w:rPr>
          <w:rFonts w:ascii="Times New Roman" w:hAnsi="Times New Roman" w:cs="Times New Roman"/>
          <w:sz w:val="24"/>
          <w:szCs w:val="24"/>
        </w:rPr>
      </w:pPr>
    </w:p>
    <w:tbl>
      <w:tblPr>
        <w:tblW w:w="9938" w:type="dxa"/>
        <w:tblInd w:w="93" w:type="dxa"/>
        <w:tblLook w:val="04A0"/>
      </w:tblPr>
      <w:tblGrid>
        <w:gridCol w:w="1416"/>
        <w:gridCol w:w="3871"/>
        <w:gridCol w:w="1108"/>
        <w:gridCol w:w="1222"/>
        <w:gridCol w:w="2321"/>
      </w:tblGrid>
      <w:tr w:rsidR="00D543BF" w:rsidRPr="00D543BF" w:rsidTr="00D543BF">
        <w:trPr>
          <w:trHeight w:val="645"/>
        </w:trPr>
        <w:tc>
          <w:tcPr>
            <w:tcW w:w="1416" w:type="dxa"/>
            <w:tcBorders>
              <w:top w:val="single" w:sz="8" w:space="0" w:color="auto"/>
              <w:left w:val="single" w:sz="8" w:space="0" w:color="auto"/>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sidRPr="00D543BF">
              <w:rPr>
                <w:rFonts w:ascii="Times New Roman" w:hAnsi="Times New Roman" w:cs="Times New Roman"/>
                <w:color w:val="000000"/>
                <w:sz w:val="24"/>
                <w:szCs w:val="24"/>
              </w:rPr>
              <w:t>№</w:t>
            </w:r>
          </w:p>
        </w:tc>
        <w:tc>
          <w:tcPr>
            <w:tcW w:w="3871" w:type="dxa"/>
            <w:tcBorders>
              <w:top w:val="single" w:sz="8" w:space="0" w:color="auto"/>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sidRPr="00D543BF">
              <w:rPr>
                <w:rFonts w:ascii="Times New Roman" w:hAnsi="Times New Roman" w:cs="Times New Roman"/>
                <w:color w:val="000000"/>
                <w:sz w:val="24"/>
                <w:szCs w:val="24"/>
              </w:rPr>
              <w:t>Наименование товара</w:t>
            </w:r>
          </w:p>
        </w:tc>
        <w:tc>
          <w:tcPr>
            <w:tcW w:w="1108" w:type="dxa"/>
            <w:tcBorders>
              <w:top w:val="single" w:sz="8" w:space="0" w:color="auto"/>
              <w:left w:val="nil"/>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sidRPr="00D543BF">
              <w:rPr>
                <w:rFonts w:ascii="Times New Roman" w:hAnsi="Times New Roman" w:cs="Times New Roman"/>
                <w:color w:val="000000"/>
                <w:sz w:val="24"/>
                <w:szCs w:val="24"/>
              </w:rPr>
              <w:t>Кол-во (штук)</w:t>
            </w:r>
          </w:p>
        </w:tc>
        <w:tc>
          <w:tcPr>
            <w:tcW w:w="1222" w:type="dxa"/>
            <w:tcBorders>
              <w:top w:val="single" w:sz="8" w:space="0" w:color="auto"/>
              <w:left w:val="nil"/>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sidRPr="00D543BF">
              <w:rPr>
                <w:rFonts w:ascii="Times New Roman" w:hAnsi="Times New Roman" w:cs="Times New Roman"/>
                <w:color w:val="000000"/>
                <w:sz w:val="24"/>
                <w:szCs w:val="24"/>
              </w:rPr>
              <w:t>Цена (руб.)</w:t>
            </w:r>
          </w:p>
        </w:tc>
        <w:tc>
          <w:tcPr>
            <w:tcW w:w="2321" w:type="dxa"/>
            <w:tcBorders>
              <w:top w:val="single" w:sz="8" w:space="0" w:color="auto"/>
              <w:left w:val="nil"/>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sidRPr="00D543BF">
              <w:rPr>
                <w:rFonts w:ascii="Times New Roman" w:hAnsi="Times New Roman" w:cs="Times New Roman"/>
                <w:color w:val="000000"/>
                <w:sz w:val="24"/>
                <w:szCs w:val="24"/>
              </w:rPr>
              <w:t>Сумма (руб.)</w:t>
            </w:r>
          </w:p>
        </w:tc>
      </w:tr>
      <w:tr w:rsidR="00D543BF" w:rsidRPr="00D543BF" w:rsidTr="00D543BF">
        <w:trPr>
          <w:trHeight w:val="650"/>
        </w:trPr>
        <w:tc>
          <w:tcPr>
            <w:tcW w:w="1416" w:type="dxa"/>
            <w:tcBorders>
              <w:top w:val="nil"/>
              <w:left w:val="single" w:sz="8" w:space="0" w:color="auto"/>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sidRPr="00D543BF">
              <w:rPr>
                <w:rFonts w:ascii="Times New Roman" w:hAnsi="Times New Roman" w:cs="Times New Roman"/>
                <w:color w:val="000000"/>
                <w:sz w:val="24"/>
                <w:szCs w:val="24"/>
              </w:rPr>
              <w:t>1.                   </w:t>
            </w:r>
          </w:p>
        </w:tc>
        <w:tc>
          <w:tcPr>
            <w:tcW w:w="3871" w:type="dxa"/>
            <w:tcBorders>
              <w:top w:val="nil"/>
              <w:left w:val="nil"/>
              <w:bottom w:val="single" w:sz="8" w:space="0" w:color="auto"/>
              <w:right w:val="single" w:sz="8" w:space="0" w:color="auto"/>
            </w:tcBorders>
            <w:shd w:val="clear" w:color="auto" w:fill="auto"/>
          </w:tcPr>
          <w:p w:rsidR="00D543BF" w:rsidRPr="00D543BF" w:rsidRDefault="00D543BF" w:rsidP="00524B0D">
            <w:pPr>
              <w:snapToGrid w:val="0"/>
              <w:rPr>
                <w:rFonts w:ascii="Times New Roman" w:hAnsi="Times New Roman" w:cs="Times New Roman"/>
                <w:sz w:val="24"/>
                <w:szCs w:val="24"/>
              </w:rPr>
            </w:pPr>
            <w:r w:rsidRPr="00D543BF">
              <w:rPr>
                <w:rFonts w:ascii="Times New Roman" w:hAnsi="Times New Roman" w:cs="Times New Roman"/>
                <w:sz w:val="24"/>
                <w:szCs w:val="24"/>
              </w:rPr>
              <w:t xml:space="preserve">Конверт почтовый маркированный, 220 </w:t>
            </w:r>
            <w:proofErr w:type="spellStart"/>
            <w:r w:rsidRPr="00D543BF">
              <w:rPr>
                <w:rFonts w:ascii="Times New Roman" w:hAnsi="Times New Roman" w:cs="Times New Roman"/>
                <w:sz w:val="24"/>
                <w:szCs w:val="24"/>
              </w:rPr>
              <w:t>х</w:t>
            </w:r>
            <w:proofErr w:type="spellEnd"/>
            <w:r w:rsidRPr="00D543BF">
              <w:rPr>
                <w:rFonts w:ascii="Times New Roman" w:hAnsi="Times New Roman" w:cs="Times New Roman"/>
                <w:sz w:val="24"/>
                <w:szCs w:val="24"/>
              </w:rPr>
              <w:t xml:space="preserve"> </w:t>
            </w:r>
            <w:smartTag w:uri="urn:schemas-microsoft-com:office:smarttags" w:element="metricconverter">
              <w:smartTagPr>
                <w:attr w:name="ProductID" w:val="110 мм"/>
              </w:smartTagPr>
              <w:r w:rsidRPr="00D543BF">
                <w:rPr>
                  <w:rFonts w:ascii="Times New Roman" w:hAnsi="Times New Roman" w:cs="Times New Roman"/>
                  <w:sz w:val="24"/>
                  <w:szCs w:val="24"/>
                </w:rPr>
                <w:t>110 мм,</w:t>
              </w:r>
            </w:smartTag>
            <w:r w:rsidRPr="00D543BF">
              <w:rPr>
                <w:rFonts w:ascii="Times New Roman" w:hAnsi="Times New Roman" w:cs="Times New Roman"/>
                <w:sz w:val="24"/>
                <w:szCs w:val="24"/>
              </w:rPr>
              <w:t xml:space="preserve"> с литерой «А»</w:t>
            </w:r>
          </w:p>
        </w:tc>
        <w:tc>
          <w:tcPr>
            <w:tcW w:w="1108"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1852</w:t>
            </w:r>
          </w:p>
        </w:tc>
        <w:tc>
          <w:tcPr>
            <w:tcW w:w="1222"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sidRPr="00D543BF">
              <w:rPr>
                <w:rFonts w:ascii="Times New Roman" w:hAnsi="Times New Roman" w:cs="Times New Roman"/>
                <w:color w:val="000000"/>
                <w:sz w:val="24"/>
                <w:szCs w:val="24"/>
              </w:rPr>
              <w:t>18,00</w:t>
            </w:r>
          </w:p>
        </w:tc>
        <w:tc>
          <w:tcPr>
            <w:tcW w:w="2321"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33336,00</w:t>
            </w:r>
          </w:p>
        </w:tc>
      </w:tr>
      <w:tr w:rsidR="00D543BF"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sidRPr="00D543BF">
              <w:rPr>
                <w:rFonts w:ascii="Times New Roman" w:hAnsi="Times New Roman" w:cs="Times New Roman"/>
                <w:color w:val="000000"/>
                <w:sz w:val="24"/>
                <w:szCs w:val="24"/>
              </w:rPr>
              <w:t>2.</w:t>
            </w:r>
          </w:p>
        </w:tc>
        <w:tc>
          <w:tcPr>
            <w:tcW w:w="3871" w:type="dxa"/>
            <w:tcBorders>
              <w:top w:val="nil"/>
              <w:left w:val="nil"/>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sidRPr="00D543BF">
              <w:rPr>
                <w:rFonts w:ascii="Times New Roman" w:hAnsi="Times New Roman" w:cs="Times New Roman"/>
                <w:color w:val="000000"/>
                <w:sz w:val="24"/>
                <w:szCs w:val="24"/>
              </w:rPr>
              <w:t>Почтовая марка номиналом 10 руб.</w:t>
            </w:r>
          </w:p>
        </w:tc>
        <w:tc>
          <w:tcPr>
            <w:tcW w:w="1108"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320</w:t>
            </w:r>
          </w:p>
        </w:tc>
        <w:tc>
          <w:tcPr>
            <w:tcW w:w="1222"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sidRPr="00D543BF">
              <w:rPr>
                <w:rFonts w:ascii="Times New Roman" w:hAnsi="Times New Roman" w:cs="Times New Roman"/>
                <w:color w:val="000000"/>
                <w:sz w:val="24"/>
                <w:szCs w:val="24"/>
              </w:rPr>
              <w:t>10,00</w:t>
            </w:r>
          </w:p>
        </w:tc>
        <w:tc>
          <w:tcPr>
            <w:tcW w:w="2321"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3200,00</w:t>
            </w:r>
          </w:p>
        </w:tc>
      </w:tr>
      <w:tr w:rsidR="00D543BF"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3871" w:type="dxa"/>
            <w:tcBorders>
              <w:top w:val="nil"/>
              <w:left w:val="nil"/>
              <w:bottom w:val="single" w:sz="8" w:space="0" w:color="auto"/>
              <w:right w:val="single" w:sz="8" w:space="0" w:color="auto"/>
            </w:tcBorders>
            <w:shd w:val="clear" w:color="auto" w:fill="auto"/>
          </w:tcPr>
          <w:p w:rsidR="00D543BF" w:rsidRPr="00D543BF" w:rsidRDefault="00D543BF" w:rsidP="00D543BF">
            <w:pPr>
              <w:rPr>
                <w:rFonts w:ascii="Times New Roman" w:hAnsi="Times New Roman" w:cs="Times New Roman"/>
                <w:color w:val="000000"/>
                <w:sz w:val="24"/>
                <w:szCs w:val="24"/>
              </w:rPr>
            </w:pPr>
            <w:r>
              <w:rPr>
                <w:rFonts w:ascii="Times New Roman" w:hAnsi="Times New Roman" w:cs="Times New Roman"/>
                <w:color w:val="000000"/>
                <w:sz w:val="24"/>
                <w:szCs w:val="24"/>
              </w:rPr>
              <w:t>Почтовая марка номиналом 5</w:t>
            </w:r>
            <w:r w:rsidRPr="00D543BF">
              <w:rPr>
                <w:rFonts w:ascii="Times New Roman" w:hAnsi="Times New Roman" w:cs="Times New Roman"/>
                <w:color w:val="000000"/>
                <w:sz w:val="24"/>
                <w:szCs w:val="24"/>
              </w:rPr>
              <w:t xml:space="preserve"> руб.</w:t>
            </w:r>
          </w:p>
        </w:tc>
        <w:tc>
          <w:tcPr>
            <w:tcW w:w="1108"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22"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5,00</w:t>
            </w:r>
          </w:p>
        </w:tc>
        <w:tc>
          <w:tcPr>
            <w:tcW w:w="2321"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1200,00</w:t>
            </w:r>
          </w:p>
        </w:tc>
      </w:tr>
      <w:tr w:rsidR="00D543BF"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3871" w:type="dxa"/>
            <w:tcBorders>
              <w:top w:val="nil"/>
              <w:left w:val="nil"/>
              <w:bottom w:val="single" w:sz="8" w:space="0" w:color="auto"/>
              <w:right w:val="single" w:sz="8" w:space="0" w:color="auto"/>
            </w:tcBorders>
            <w:shd w:val="clear" w:color="auto" w:fill="auto"/>
          </w:tcPr>
          <w:p w:rsidR="00D543BF" w:rsidRPr="00D543BF" w:rsidRDefault="00D543BF" w:rsidP="00D543BF">
            <w:pPr>
              <w:rPr>
                <w:rFonts w:ascii="Times New Roman" w:hAnsi="Times New Roman" w:cs="Times New Roman"/>
                <w:color w:val="000000"/>
                <w:sz w:val="24"/>
                <w:szCs w:val="24"/>
              </w:rPr>
            </w:pPr>
            <w:r w:rsidRPr="00D543BF">
              <w:rPr>
                <w:rFonts w:ascii="Times New Roman" w:hAnsi="Times New Roman" w:cs="Times New Roman"/>
                <w:color w:val="000000"/>
                <w:sz w:val="24"/>
                <w:szCs w:val="24"/>
              </w:rPr>
              <w:t xml:space="preserve">Почтовая марка номиналом </w:t>
            </w:r>
            <w:r>
              <w:rPr>
                <w:rFonts w:ascii="Times New Roman" w:hAnsi="Times New Roman" w:cs="Times New Roman"/>
                <w:color w:val="000000"/>
                <w:sz w:val="24"/>
                <w:szCs w:val="24"/>
              </w:rPr>
              <w:t>4</w:t>
            </w:r>
            <w:r w:rsidRPr="00D543BF">
              <w:rPr>
                <w:rFonts w:ascii="Times New Roman" w:hAnsi="Times New Roman" w:cs="Times New Roman"/>
                <w:color w:val="000000"/>
                <w:sz w:val="24"/>
                <w:szCs w:val="24"/>
              </w:rPr>
              <w:t xml:space="preserve"> руб.</w:t>
            </w:r>
          </w:p>
        </w:tc>
        <w:tc>
          <w:tcPr>
            <w:tcW w:w="1108"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160</w:t>
            </w:r>
          </w:p>
        </w:tc>
        <w:tc>
          <w:tcPr>
            <w:tcW w:w="1222"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4,00</w:t>
            </w:r>
          </w:p>
        </w:tc>
        <w:tc>
          <w:tcPr>
            <w:tcW w:w="2321"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640,00</w:t>
            </w:r>
          </w:p>
        </w:tc>
      </w:tr>
      <w:tr w:rsidR="00D543BF"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3871" w:type="dxa"/>
            <w:tcBorders>
              <w:top w:val="nil"/>
              <w:left w:val="nil"/>
              <w:bottom w:val="single" w:sz="8" w:space="0" w:color="auto"/>
              <w:right w:val="single" w:sz="8" w:space="0" w:color="auto"/>
            </w:tcBorders>
            <w:shd w:val="clear" w:color="auto" w:fill="auto"/>
          </w:tcPr>
          <w:p w:rsidR="00D543BF" w:rsidRPr="00D543BF" w:rsidRDefault="00D543BF" w:rsidP="00D543BF">
            <w:pPr>
              <w:rPr>
                <w:rFonts w:ascii="Times New Roman" w:hAnsi="Times New Roman" w:cs="Times New Roman"/>
                <w:color w:val="000000"/>
                <w:sz w:val="24"/>
                <w:szCs w:val="24"/>
              </w:rPr>
            </w:pPr>
            <w:r w:rsidRPr="00D543BF">
              <w:rPr>
                <w:rFonts w:ascii="Times New Roman" w:hAnsi="Times New Roman" w:cs="Times New Roman"/>
                <w:color w:val="000000"/>
                <w:sz w:val="24"/>
                <w:szCs w:val="24"/>
              </w:rPr>
              <w:t xml:space="preserve">Почтовая марка номиналом </w:t>
            </w:r>
            <w:r>
              <w:rPr>
                <w:rFonts w:ascii="Times New Roman" w:hAnsi="Times New Roman" w:cs="Times New Roman"/>
                <w:color w:val="000000"/>
                <w:sz w:val="24"/>
                <w:szCs w:val="24"/>
              </w:rPr>
              <w:t>3</w:t>
            </w:r>
            <w:r w:rsidRPr="00D543BF">
              <w:rPr>
                <w:rFonts w:ascii="Times New Roman" w:hAnsi="Times New Roman" w:cs="Times New Roman"/>
                <w:color w:val="000000"/>
                <w:sz w:val="24"/>
                <w:szCs w:val="24"/>
              </w:rPr>
              <w:t xml:space="preserve"> руб.</w:t>
            </w:r>
          </w:p>
        </w:tc>
        <w:tc>
          <w:tcPr>
            <w:tcW w:w="1108"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22"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3,00</w:t>
            </w:r>
          </w:p>
        </w:tc>
        <w:tc>
          <w:tcPr>
            <w:tcW w:w="2321"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720,00</w:t>
            </w:r>
          </w:p>
        </w:tc>
      </w:tr>
      <w:tr w:rsidR="00D543BF"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D543BF" w:rsidRPr="00D543BF" w:rsidRDefault="00D543BF" w:rsidP="00524B0D">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6.</w:t>
            </w:r>
          </w:p>
        </w:tc>
        <w:tc>
          <w:tcPr>
            <w:tcW w:w="3871" w:type="dxa"/>
            <w:tcBorders>
              <w:top w:val="nil"/>
              <w:left w:val="nil"/>
              <w:bottom w:val="single" w:sz="8" w:space="0" w:color="auto"/>
              <w:right w:val="single" w:sz="8" w:space="0" w:color="auto"/>
            </w:tcBorders>
            <w:shd w:val="clear" w:color="auto" w:fill="auto"/>
          </w:tcPr>
          <w:p w:rsidR="00D543BF" w:rsidRPr="00D543BF" w:rsidRDefault="00D543BF" w:rsidP="00D543BF">
            <w:pPr>
              <w:rPr>
                <w:rFonts w:ascii="Times New Roman" w:hAnsi="Times New Roman" w:cs="Times New Roman"/>
                <w:color w:val="000000"/>
                <w:sz w:val="24"/>
                <w:szCs w:val="24"/>
              </w:rPr>
            </w:pPr>
            <w:r>
              <w:rPr>
                <w:rFonts w:ascii="Times New Roman" w:hAnsi="Times New Roman" w:cs="Times New Roman"/>
                <w:color w:val="000000"/>
                <w:sz w:val="24"/>
                <w:szCs w:val="24"/>
              </w:rPr>
              <w:t>Почтовая марка номиналом 2</w:t>
            </w:r>
            <w:r w:rsidRPr="00D543BF">
              <w:rPr>
                <w:rFonts w:ascii="Times New Roman" w:hAnsi="Times New Roman" w:cs="Times New Roman"/>
                <w:color w:val="000000"/>
                <w:sz w:val="24"/>
                <w:szCs w:val="24"/>
              </w:rPr>
              <w:t xml:space="preserve"> руб.</w:t>
            </w:r>
          </w:p>
        </w:tc>
        <w:tc>
          <w:tcPr>
            <w:tcW w:w="1108"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240</w:t>
            </w:r>
          </w:p>
        </w:tc>
        <w:tc>
          <w:tcPr>
            <w:tcW w:w="1222"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2321" w:type="dxa"/>
            <w:tcBorders>
              <w:top w:val="nil"/>
              <w:left w:val="nil"/>
              <w:bottom w:val="single" w:sz="8" w:space="0" w:color="auto"/>
              <w:right w:val="single" w:sz="8" w:space="0" w:color="auto"/>
            </w:tcBorders>
            <w:shd w:val="clear" w:color="auto" w:fill="auto"/>
          </w:tcPr>
          <w:p w:rsidR="00D543BF" w:rsidRPr="00D543BF" w:rsidRDefault="00D543BF"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480,00</w:t>
            </w:r>
          </w:p>
        </w:tc>
      </w:tr>
      <w:tr w:rsidR="004A52FE"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4A52FE" w:rsidRPr="00D543BF" w:rsidRDefault="004A52FE" w:rsidP="00524B0D">
            <w:pPr>
              <w:rPr>
                <w:rFonts w:ascii="Times New Roman" w:hAnsi="Times New Roman" w:cs="Times New Roman"/>
                <w:color w:val="000000"/>
                <w:sz w:val="24"/>
                <w:szCs w:val="24"/>
              </w:rPr>
            </w:pPr>
            <w:r>
              <w:rPr>
                <w:rFonts w:ascii="Times New Roman" w:hAnsi="Times New Roman" w:cs="Times New Roman"/>
                <w:color w:val="000000"/>
                <w:sz w:val="24"/>
                <w:szCs w:val="24"/>
              </w:rPr>
              <w:t>7.</w:t>
            </w:r>
          </w:p>
        </w:tc>
        <w:tc>
          <w:tcPr>
            <w:tcW w:w="3871" w:type="dxa"/>
            <w:tcBorders>
              <w:top w:val="nil"/>
              <w:left w:val="nil"/>
              <w:bottom w:val="single" w:sz="8" w:space="0" w:color="auto"/>
              <w:right w:val="single" w:sz="8" w:space="0" w:color="auto"/>
            </w:tcBorders>
            <w:shd w:val="clear" w:color="auto" w:fill="auto"/>
          </w:tcPr>
          <w:p w:rsidR="004A52FE" w:rsidRPr="00D543BF" w:rsidRDefault="004A52FE" w:rsidP="00524B0D">
            <w:pPr>
              <w:rPr>
                <w:rFonts w:ascii="Times New Roman" w:hAnsi="Times New Roman" w:cs="Times New Roman"/>
                <w:color w:val="000000"/>
                <w:sz w:val="24"/>
                <w:szCs w:val="24"/>
              </w:rPr>
            </w:pPr>
            <w:r>
              <w:rPr>
                <w:rFonts w:ascii="Times New Roman" w:hAnsi="Times New Roman" w:cs="Times New Roman"/>
                <w:color w:val="000000"/>
                <w:sz w:val="24"/>
                <w:szCs w:val="24"/>
              </w:rPr>
              <w:t>Почтовая марка номиналом 1</w:t>
            </w:r>
            <w:r w:rsidRPr="00D543BF">
              <w:rPr>
                <w:rFonts w:ascii="Times New Roman" w:hAnsi="Times New Roman" w:cs="Times New Roman"/>
                <w:color w:val="000000"/>
                <w:sz w:val="24"/>
                <w:szCs w:val="24"/>
              </w:rPr>
              <w:t xml:space="preserve"> руб.</w:t>
            </w:r>
          </w:p>
        </w:tc>
        <w:tc>
          <w:tcPr>
            <w:tcW w:w="1108"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254</w:t>
            </w:r>
          </w:p>
        </w:tc>
        <w:tc>
          <w:tcPr>
            <w:tcW w:w="1222"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2321"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254,00</w:t>
            </w:r>
          </w:p>
        </w:tc>
      </w:tr>
      <w:tr w:rsidR="004A52FE"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4A52FE" w:rsidRPr="00D543BF" w:rsidRDefault="004A52FE" w:rsidP="00524B0D">
            <w:pP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3871" w:type="dxa"/>
            <w:tcBorders>
              <w:top w:val="nil"/>
              <w:left w:val="nil"/>
              <w:bottom w:val="single" w:sz="8" w:space="0" w:color="auto"/>
              <w:right w:val="single" w:sz="8" w:space="0" w:color="auto"/>
            </w:tcBorders>
            <w:shd w:val="clear" w:color="auto" w:fill="auto"/>
          </w:tcPr>
          <w:p w:rsidR="004A52FE" w:rsidRPr="00D543BF" w:rsidRDefault="004A52FE" w:rsidP="004A52FE">
            <w:pPr>
              <w:rPr>
                <w:rFonts w:ascii="Times New Roman" w:hAnsi="Times New Roman" w:cs="Times New Roman"/>
                <w:color w:val="000000"/>
                <w:sz w:val="24"/>
                <w:szCs w:val="24"/>
              </w:rPr>
            </w:pPr>
            <w:r w:rsidRPr="00D543BF">
              <w:rPr>
                <w:rFonts w:ascii="Times New Roman" w:hAnsi="Times New Roman" w:cs="Times New Roman"/>
                <w:color w:val="000000"/>
                <w:sz w:val="24"/>
                <w:szCs w:val="24"/>
              </w:rPr>
              <w:t xml:space="preserve">Почтовая марка номиналом </w:t>
            </w:r>
            <w:r>
              <w:rPr>
                <w:rFonts w:ascii="Times New Roman" w:hAnsi="Times New Roman" w:cs="Times New Roman"/>
                <w:color w:val="000000"/>
                <w:sz w:val="24"/>
                <w:szCs w:val="24"/>
              </w:rPr>
              <w:t>50 коп</w:t>
            </w:r>
            <w:r w:rsidRPr="00D543BF">
              <w:rPr>
                <w:rFonts w:ascii="Times New Roman" w:hAnsi="Times New Roman" w:cs="Times New Roman"/>
                <w:color w:val="000000"/>
                <w:sz w:val="24"/>
                <w:szCs w:val="24"/>
              </w:rPr>
              <w:t>.</w:t>
            </w:r>
          </w:p>
        </w:tc>
        <w:tc>
          <w:tcPr>
            <w:tcW w:w="1108"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22"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0,50</w:t>
            </w:r>
          </w:p>
        </w:tc>
        <w:tc>
          <w:tcPr>
            <w:tcW w:w="2321"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100,00</w:t>
            </w:r>
          </w:p>
        </w:tc>
      </w:tr>
      <w:tr w:rsidR="004A52FE"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4A52FE" w:rsidRPr="00D543BF" w:rsidRDefault="004A52FE" w:rsidP="00524B0D">
            <w:pP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3871" w:type="dxa"/>
            <w:tcBorders>
              <w:top w:val="nil"/>
              <w:left w:val="nil"/>
              <w:bottom w:val="single" w:sz="8" w:space="0" w:color="auto"/>
              <w:right w:val="single" w:sz="8" w:space="0" w:color="auto"/>
            </w:tcBorders>
            <w:shd w:val="clear" w:color="auto" w:fill="auto"/>
          </w:tcPr>
          <w:p w:rsidR="004A52FE" w:rsidRPr="00D543BF" w:rsidRDefault="004A52FE" w:rsidP="004A52FE">
            <w:pPr>
              <w:rPr>
                <w:rFonts w:ascii="Times New Roman" w:hAnsi="Times New Roman" w:cs="Times New Roman"/>
                <w:color w:val="000000"/>
                <w:sz w:val="24"/>
                <w:szCs w:val="24"/>
              </w:rPr>
            </w:pPr>
            <w:r w:rsidRPr="00D543BF">
              <w:rPr>
                <w:rFonts w:ascii="Times New Roman" w:hAnsi="Times New Roman" w:cs="Times New Roman"/>
                <w:color w:val="000000"/>
                <w:sz w:val="24"/>
                <w:szCs w:val="24"/>
              </w:rPr>
              <w:t xml:space="preserve">Почтовая марка номиналом </w:t>
            </w:r>
            <w:r>
              <w:rPr>
                <w:rFonts w:ascii="Times New Roman" w:hAnsi="Times New Roman" w:cs="Times New Roman"/>
                <w:color w:val="000000"/>
                <w:sz w:val="24"/>
                <w:szCs w:val="24"/>
              </w:rPr>
              <w:t>25 коп</w:t>
            </w:r>
            <w:r w:rsidRPr="00D543BF">
              <w:rPr>
                <w:rFonts w:ascii="Times New Roman" w:hAnsi="Times New Roman" w:cs="Times New Roman"/>
                <w:color w:val="000000"/>
                <w:sz w:val="24"/>
                <w:szCs w:val="24"/>
              </w:rPr>
              <w:t>.</w:t>
            </w:r>
          </w:p>
        </w:tc>
        <w:tc>
          <w:tcPr>
            <w:tcW w:w="1108"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22"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0,25</w:t>
            </w:r>
          </w:p>
        </w:tc>
        <w:tc>
          <w:tcPr>
            <w:tcW w:w="2321"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50,00</w:t>
            </w:r>
          </w:p>
        </w:tc>
      </w:tr>
      <w:tr w:rsidR="004A52FE" w:rsidRPr="00D543BF" w:rsidTr="00D543BF">
        <w:trPr>
          <w:trHeight w:val="810"/>
        </w:trPr>
        <w:tc>
          <w:tcPr>
            <w:tcW w:w="1416" w:type="dxa"/>
            <w:tcBorders>
              <w:top w:val="nil"/>
              <w:left w:val="single" w:sz="8" w:space="0" w:color="auto"/>
              <w:bottom w:val="single" w:sz="8" w:space="0" w:color="auto"/>
              <w:right w:val="single" w:sz="8" w:space="0" w:color="auto"/>
            </w:tcBorders>
            <w:shd w:val="clear" w:color="auto" w:fill="auto"/>
          </w:tcPr>
          <w:p w:rsidR="004A52FE" w:rsidRPr="00D543BF" w:rsidRDefault="004A52FE" w:rsidP="00524B0D">
            <w:pPr>
              <w:rPr>
                <w:rFonts w:ascii="Times New Roman" w:hAnsi="Times New Roman" w:cs="Times New Roman"/>
                <w:color w:val="000000"/>
                <w:sz w:val="24"/>
                <w:szCs w:val="24"/>
              </w:rPr>
            </w:pPr>
            <w:r>
              <w:rPr>
                <w:rFonts w:ascii="Times New Roman" w:hAnsi="Times New Roman" w:cs="Times New Roman"/>
                <w:color w:val="000000"/>
                <w:sz w:val="24"/>
                <w:szCs w:val="24"/>
              </w:rPr>
              <w:t>10.</w:t>
            </w:r>
          </w:p>
        </w:tc>
        <w:tc>
          <w:tcPr>
            <w:tcW w:w="3871" w:type="dxa"/>
            <w:tcBorders>
              <w:top w:val="nil"/>
              <w:left w:val="nil"/>
              <w:bottom w:val="single" w:sz="8" w:space="0" w:color="auto"/>
              <w:right w:val="single" w:sz="8" w:space="0" w:color="auto"/>
            </w:tcBorders>
            <w:shd w:val="clear" w:color="auto" w:fill="auto"/>
          </w:tcPr>
          <w:p w:rsidR="004A52FE" w:rsidRPr="00D543BF" w:rsidRDefault="004A52FE" w:rsidP="00524B0D">
            <w:pPr>
              <w:rPr>
                <w:rFonts w:ascii="Times New Roman" w:hAnsi="Times New Roman" w:cs="Times New Roman"/>
                <w:color w:val="000000"/>
                <w:sz w:val="24"/>
                <w:szCs w:val="24"/>
              </w:rPr>
            </w:pPr>
            <w:r w:rsidRPr="00D543BF">
              <w:rPr>
                <w:rFonts w:ascii="Times New Roman" w:hAnsi="Times New Roman" w:cs="Times New Roman"/>
                <w:color w:val="000000"/>
                <w:sz w:val="24"/>
                <w:szCs w:val="24"/>
              </w:rPr>
              <w:t xml:space="preserve">Почтовая марка номиналом </w:t>
            </w:r>
            <w:r>
              <w:rPr>
                <w:rFonts w:ascii="Times New Roman" w:hAnsi="Times New Roman" w:cs="Times New Roman"/>
                <w:color w:val="000000"/>
                <w:sz w:val="24"/>
                <w:szCs w:val="24"/>
              </w:rPr>
              <w:t>10 коп</w:t>
            </w:r>
            <w:r w:rsidRPr="00D543BF">
              <w:rPr>
                <w:rFonts w:ascii="Times New Roman" w:hAnsi="Times New Roman" w:cs="Times New Roman"/>
                <w:color w:val="000000"/>
                <w:sz w:val="24"/>
                <w:szCs w:val="24"/>
              </w:rPr>
              <w:t>.</w:t>
            </w:r>
          </w:p>
        </w:tc>
        <w:tc>
          <w:tcPr>
            <w:tcW w:w="1108"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w:t>
            </w:r>
          </w:p>
        </w:tc>
        <w:tc>
          <w:tcPr>
            <w:tcW w:w="1222" w:type="dxa"/>
            <w:tcBorders>
              <w:top w:val="nil"/>
              <w:left w:val="nil"/>
              <w:bottom w:val="single" w:sz="8" w:space="0" w:color="auto"/>
              <w:right w:val="single" w:sz="8" w:space="0" w:color="auto"/>
            </w:tcBorders>
            <w:shd w:val="clear" w:color="auto" w:fill="auto"/>
          </w:tcPr>
          <w:p w:rsidR="004A52FE" w:rsidRPr="00D543BF" w:rsidRDefault="004A52FE" w:rsidP="004A52FE">
            <w:pPr>
              <w:jc w:val="center"/>
              <w:rPr>
                <w:rFonts w:ascii="Times New Roman" w:hAnsi="Times New Roman" w:cs="Times New Roman"/>
                <w:color w:val="000000"/>
                <w:sz w:val="24"/>
                <w:szCs w:val="24"/>
              </w:rPr>
            </w:pPr>
            <w:r>
              <w:rPr>
                <w:rFonts w:ascii="Times New Roman" w:hAnsi="Times New Roman" w:cs="Times New Roman"/>
                <w:color w:val="000000"/>
                <w:sz w:val="24"/>
                <w:szCs w:val="24"/>
              </w:rPr>
              <w:t>0,10</w:t>
            </w:r>
          </w:p>
        </w:tc>
        <w:tc>
          <w:tcPr>
            <w:tcW w:w="2321" w:type="dxa"/>
            <w:tcBorders>
              <w:top w:val="nil"/>
              <w:left w:val="nil"/>
              <w:bottom w:val="single" w:sz="8" w:space="0" w:color="auto"/>
              <w:right w:val="single" w:sz="8" w:space="0" w:color="auto"/>
            </w:tcBorders>
            <w:shd w:val="clear" w:color="auto" w:fill="auto"/>
          </w:tcPr>
          <w:p w:rsidR="004A52FE" w:rsidRPr="00D543BF" w:rsidRDefault="004A52FE" w:rsidP="00524B0D">
            <w:pPr>
              <w:jc w:val="center"/>
              <w:rPr>
                <w:rFonts w:ascii="Times New Roman" w:hAnsi="Times New Roman" w:cs="Times New Roman"/>
                <w:color w:val="000000"/>
                <w:sz w:val="24"/>
                <w:szCs w:val="24"/>
              </w:rPr>
            </w:pPr>
            <w:r>
              <w:rPr>
                <w:rFonts w:ascii="Times New Roman" w:hAnsi="Times New Roman" w:cs="Times New Roman"/>
                <w:color w:val="000000"/>
                <w:sz w:val="24"/>
                <w:szCs w:val="24"/>
              </w:rPr>
              <w:t>20,00</w:t>
            </w:r>
          </w:p>
        </w:tc>
      </w:tr>
      <w:tr w:rsidR="004A52FE" w:rsidRPr="00D543BF" w:rsidTr="00000EBC">
        <w:trPr>
          <w:trHeight w:val="527"/>
        </w:trPr>
        <w:tc>
          <w:tcPr>
            <w:tcW w:w="7617" w:type="dxa"/>
            <w:gridSpan w:val="4"/>
            <w:tcBorders>
              <w:top w:val="nil"/>
              <w:left w:val="single" w:sz="8" w:space="0" w:color="auto"/>
              <w:bottom w:val="single" w:sz="8" w:space="0" w:color="auto"/>
              <w:right w:val="single" w:sz="8" w:space="0" w:color="000000"/>
            </w:tcBorders>
            <w:shd w:val="clear" w:color="auto" w:fill="auto"/>
          </w:tcPr>
          <w:p w:rsidR="004A52FE" w:rsidRPr="00D543BF" w:rsidRDefault="004A52FE" w:rsidP="00524B0D">
            <w:pPr>
              <w:jc w:val="right"/>
              <w:rPr>
                <w:rFonts w:ascii="Times New Roman" w:hAnsi="Times New Roman" w:cs="Times New Roman"/>
                <w:color w:val="000000"/>
                <w:sz w:val="24"/>
                <w:szCs w:val="24"/>
              </w:rPr>
            </w:pPr>
            <w:r w:rsidRPr="00D543BF">
              <w:rPr>
                <w:rFonts w:ascii="Times New Roman" w:hAnsi="Times New Roman" w:cs="Times New Roman"/>
                <w:color w:val="000000"/>
                <w:sz w:val="24"/>
                <w:szCs w:val="24"/>
              </w:rPr>
              <w:t> ИТОГО:</w:t>
            </w:r>
          </w:p>
          <w:p w:rsidR="004A52FE" w:rsidRPr="00D543BF" w:rsidRDefault="004A52FE" w:rsidP="00524B0D">
            <w:pPr>
              <w:jc w:val="right"/>
              <w:rPr>
                <w:rFonts w:ascii="Times New Roman" w:hAnsi="Times New Roman" w:cs="Times New Roman"/>
                <w:color w:val="000000"/>
                <w:sz w:val="24"/>
                <w:szCs w:val="24"/>
              </w:rPr>
            </w:pPr>
          </w:p>
        </w:tc>
        <w:tc>
          <w:tcPr>
            <w:tcW w:w="2321" w:type="dxa"/>
            <w:tcBorders>
              <w:top w:val="nil"/>
              <w:left w:val="nil"/>
              <w:bottom w:val="single" w:sz="8" w:space="0" w:color="auto"/>
              <w:right w:val="single" w:sz="8" w:space="0" w:color="auto"/>
            </w:tcBorders>
            <w:shd w:val="clear" w:color="auto" w:fill="auto"/>
          </w:tcPr>
          <w:p w:rsidR="004A52FE" w:rsidRPr="00D543BF" w:rsidRDefault="004A52FE" w:rsidP="004A52FE">
            <w:pPr>
              <w:jc w:val="center"/>
              <w:rPr>
                <w:rFonts w:ascii="Times New Roman" w:hAnsi="Times New Roman" w:cs="Times New Roman"/>
                <w:color w:val="000000"/>
                <w:sz w:val="24"/>
                <w:szCs w:val="24"/>
              </w:rPr>
            </w:pPr>
            <w:r>
              <w:rPr>
                <w:rFonts w:ascii="Times New Roman" w:hAnsi="Times New Roman" w:cs="Times New Roman"/>
                <w:color w:val="000000"/>
                <w:sz w:val="24"/>
                <w:szCs w:val="24"/>
              </w:rPr>
              <w:t>40 00</w:t>
            </w:r>
            <w:r w:rsidR="00000EBC">
              <w:rPr>
                <w:rFonts w:ascii="Times New Roman" w:hAnsi="Times New Roman" w:cs="Times New Roman"/>
                <w:color w:val="000000"/>
                <w:sz w:val="24"/>
                <w:szCs w:val="24"/>
              </w:rPr>
              <w:t>0</w:t>
            </w:r>
            <w:r w:rsidRPr="00D543BF">
              <w:rPr>
                <w:rFonts w:ascii="Times New Roman" w:hAnsi="Times New Roman" w:cs="Times New Roman"/>
                <w:color w:val="000000"/>
                <w:sz w:val="24"/>
                <w:szCs w:val="24"/>
              </w:rPr>
              <w:t>,00</w:t>
            </w:r>
          </w:p>
        </w:tc>
      </w:tr>
    </w:tbl>
    <w:p w:rsidR="00D543BF" w:rsidRPr="00D543BF" w:rsidRDefault="00D543BF" w:rsidP="00000EBC">
      <w:pPr>
        <w:jc w:val="both"/>
        <w:rPr>
          <w:rFonts w:ascii="Times New Roman" w:hAnsi="Times New Roman" w:cs="Times New Roman"/>
          <w:sz w:val="24"/>
          <w:szCs w:val="24"/>
        </w:rPr>
      </w:pPr>
    </w:p>
    <w:sectPr w:rsidR="00D543BF" w:rsidRPr="00D543BF" w:rsidSect="00D543BF">
      <w:pgSz w:w="11906" w:h="16838"/>
      <w:pgMar w:top="567"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defaultTabStop w:val="708"/>
  <w:characterSpacingControl w:val="doNotCompress"/>
  <w:compat/>
  <w:rsids>
    <w:rsidRoot w:val="00D543BF"/>
    <w:rsid w:val="00000EBC"/>
    <w:rsid w:val="004346F3"/>
    <w:rsid w:val="004A52FE"/>
    <w:rsid w:val="00B06D3F"/>
    <w:rsid w:val="00D543BF"/>
    <w:rsid w:val="00E13D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46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543BF"/>
    <w:pPr>
      <w:spacing w:after="0" w:line="240" w:lineRule="auto"/>
    </w:pPr>
    <w:rPr>
      <w:rFonts w:ascii="Times New Roman" w:eastAsia="Times New Roman" w:hAnsi="Times New Roman" w:cs="Times New Roman"/>
      <w:sz w:val="14"/>
      <w:szCs w:val="24"/>
      <w:lang w:eastAsia="ru-RU"/>
    </w:rPr>
  </w:style>
  <w:style w:type="character" w:customStyle="1" w:styleId="a4">
    <w:name w:val="Основной текст Знак"/>
    <w:basedOn w:val="a0"/>
    <w:link w:val="a3"/>
    <w:rsid w:val="00D543BF"/>
    <w:rPr>
      <w:rFonts w:ascii="Times New Roman" w:eastAsia="Times New Roman" w:hAnsi="Times New Roman" w:cs="Times New Roman"/>
      <w:sz w:val="14"/>
      <w:szCs w:val="24"/>
      <w:lang w:eastAsia="ru-RU"/>
    </w:rPr>
  </w:style>
  <w:style w:type="character" w:styleId="a5">
    <w:name w:val="Hyperlink"/>
    <w:uiPriority w:val="99"/>
    <w:rsid w:val="00D543BF"/>
    <w:rPr>
      <w:color w:val="0000FF"/>
      <w:u w:val="single"/>
    </w:rPr>
  </w:style>
  <w:style w:type="paragraph" w:customStyle="1" w:styleId="ConsNormal">
    <w:name w:val="ConsNormal"/>
    <w:rsid w:val="00D543B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FR2">
    <w:name w:val="FR2"/>
    <w:rsid w:val="00D543BF"/>
    <w:pPr>
      <w:widowControl w:val="0"/>
      <w:spacing w:after="80" w:line="280" w:lineRule="auto"/>
      <w:ind w:firstLine="400"/>
      <w:jc w:val="both"/>
    </w:pPr>
    <w:rPr>
      <w:rFonts w:ascii="Arial" w:eastAsia="Times New Roman" w:hAnsi="Arial" w:cs="Times New Roman"/>
      <w:snapToGrid w:val="0"/>
      <w:sz w:val="20"/>
      <w:szCs w:val="20"/>
      <w:lang w:eastAsia="ru-RU"/>
    </w:rPr>
  </w:style>
  <w:style w:type="paragraph" w:customStyle="1" w:styleId="ConsPlusNormal">
    <w:name w:val="ConsPlusNormal"/>
    <w:link w:val="ConsPlusNormal0"/>
    <w:rsid w:val="00D543B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rsid w:val="00D543BF"/>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rsid w:val="00D543BF"/>
    <w:rPr>
      <w:rFonts w:ascii="Times New Roman" w:eastAsia="Times New Roman" w:hAnsi="Times New Roman" w:cs="Times New Roman"/>
      <w:sz w:val="24"/>
      <w:szCs w:val="24"/>
    </w:rPr>
  </w:style>
  <w:style w:type="character" w:customStyle="1" w:styleId="ConsPlusNormal0">
    <w:name w:val="ConsPlusNormal Знак"/>
    <w:link w:val="ConsPlusNormal"/>
    <w:locked/>
    <w:rsid w:val="00D543BF"/>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335</Words>
  <Characters>1916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Администрацияг.Перми</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Berdichevskaya-an</dc:creator>
  <cp:keywords/>
  <dc:description/>
  <cp:lastModifiedBy>andreeva-ek</cp:lastModifiedBy>
  <cp:revision>2</cp:revision>
  <dcterms:created xsi:type="dcterms:W3CDTF">2013-12-02T09:24:00Z</dcterms:created>
  <dcterms:modified xsi:type="dcterms:W3CDTF">2013-12-03T06:31:00Z</dcterms:modified>
</cp:coreProperties>
</file>