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8A" w:rsidRPr="00AE3B8A" w:rsidRDefault="00AE3B8A" w:rsidP="00A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B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Субъекты малого и среднего предпринимательства и социально ориентированные некоммерческие организации могут получить субсидии на проведение мероприятий по профилактике новой </w:t>
      </w:r>
      <w:proofErr w:type="spellStart"/>
      <w:r w:rsidRPr="00AE3B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коронавирусной</w:t>
      </w:r>
      <w:proofErr w:type="spellEnd"/>
      <w:r w:rsidRPr="00AE3B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инфекции</w:t>
      </w:r>
      <w:r w:rsidRPr="00AE3B8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E3B8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E3B8A" w:rsidRPr="00AE3B8A" w:rsidRDefault="00AE3B8A" w:rsidP="00AE3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Информируем вас, что постановлением Правительства Российской Федерации от 02 июля 2020 г. № 976 «Об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инфекции» утверждены Правила предоставления субсидий на проведение мероприятий по профилактике новой </w:t>
      </w:r>
      <w:proofErr w:type="spell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корононавирусной</w:t>
      </w:r>
      <w:proofErr w:type="spell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  для субъектов малого и среднего предпринимательства</w:t>
      </w:r>
      <w:proofErr w:type="gram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МСП) из пострадавших отраслей, деятельность которых связана с тесным и длительным контактом с клиентами.</w:t>
      </w:r>
    </w:p>
    <w:p w:rsidR="00AE3B8A" w:rsidRPr="00AE3B8A" w:rsidRDefault="00AE3B8A" w:rsidP="00AE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условий для включения субъектов МСП в реестр получателей субсидий, является отнесение основного вида экономической деятельности, в которой ведет деятельность субъекта МСП, информация о данной деятельности содержится в Едином государственном реестре юридических лиц либо в Едином государственном реестре индивидуальных предпринимателей по состоянию на 10 июня 2020 г., к отраслям российской экономики, требующим поддержки для проведения мероприятий по профилактике новой</w:t>
      </w:r>
      <w:proofErr w:type="gram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 или включение объектов туристской индустрии, включающих гостиницы, номерной фонд которых не превышает 100 номеров, горнолыжные трассы, пляжи, принадлежащие получателю субсидии на праве собственности или на ином законном основании, в единый перечень классифицированных гостиниц, горнолыжных трасс, пляжей по состоянию на 10 июня 2020 г. в соответствии с Федеральным </w:t>
      </w:r>
      <w:hyperlink r:id="rId4" w:history="1">
        <w:r w:rsidRPr="00AE3B8A">
          <w:rPr>
            <w:rFonts w:ascii="Times New Roman" w:eastAsia="Times New Roman" w:hAnsi="Times New Roman" w:cs="Times New Roman"/>
            <w:color w:val="A00000"/>
            <w:sz w:val="24"/>
            <w:szCs w:val="24"/>
          </w:rPr>
          <w:t>законом</w:t>
        </w:r>
      </w:hyperlink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основах туристской деятельности в Российской Федерации».</w:t>
      </w:r>
      <w:proofErr w:type="gramEnd"/>
    </w:p>
    <w:p w:rsidR="00AE3B8A" w:rsidRPr="00AE3B8A" w:rsidRDefault="00AE3B8A" w:rsidP="00AE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3B8A" w:rsidRPr="00AE3B8A" w:rsidRDefault="00AE3B8A" w:rsidP="00AE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Перечень отраслей российской экономики, требующих поддержки для проведения мероприятий по профилактике новой </w:t>
      </w:r>
      <w:proofErr w:type="spellStart"/>
      <w:r w:rsidRPr="00AE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коронавирусной</w:t>
      </w:r>
      <w:proofErr w:type="spellEnd"/>
      <w:r w:rsidRPr="00AE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инфекции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7"/>
        <w:gridCol w:w="2258"/>
      </w:tblGrid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ОКВЭД 2</w:t>
            </w:r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93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96.04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86.90.4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55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56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95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96.01</w:t>
            </w:r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96.02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85.41</w:t>
              </w:r>
            </w:hyperlink>
          </w:p>
        </w:tc>
      </w:tr>
      <w:tr w:rsidR="00AE3B8A" w:rsidRPr="00AE3B8A" w:rsidTr="00AE3B8A">
        <w:tc>
          <w:tcPr>
            <w:tcW w:w="73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265" w:type="dxa"/>
            <w:tcBorders>
              <w:top w:val="single" w:sz="6" w:space="0" w:color="7B7B7B"/>
              <w:left w:val="single" w:sz="6" w:space="0" w:color="7B7B7B"/>
              <w:bottom w:val="single" w:sz="6" w:space="0" w:color="7B7B7B"/>
              <w:right w:val="single" w:sz="6" w:space="0" w:color="7B7B7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3B8A" w:rsidRPr="00AE3B8A" w:rsidRDefault="00AE3B8A" w:rsidP="00AE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AE3B8A">
                <w:rPr>
                  <w:rFonts w:ascii="Times New Roman" w:eastAsia="Times New Roman" w:hAnsi="Times New Roman" w:cs="Times New Roman"/>
                  <w:color w:val="A00000"/>
                  <w:sz w:val="24"/>
                  <w:szCs w:val="24"/>
                </w:rPr>
                <w:t>88.91</w:t>
              </w:r>
            </w:hyperlink>
          </w:p>
        </w:tc>
      </w:tr>
    </w:tbl>
    <w:p w:rsidR="00AE3B8A" w:rsidRPr="00AE3B8A" w:rsidRDefault="00AE3B8A" w:rsidP="00AE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Субъектам МСП субсидия предоставляется </w:t>
      </w:r>
      <w:proofErr w:type="spell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единоразово</w:t>
      </w:r>
      <w:proofErr w:type="spell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безвозмездной основе в целях частичной компенсации затрат, связанных с проведением в 2020 году мероприятий по профилактике новой </w:t>
      </w:r>
      <w:proofErr w:type="spell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в размере</w:t>
      </w:r>
      <w:r w:rsidRPr="00AE3B8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15 тысяч рублей для компаний и индивидуальных предпринимателей, по 6,5 тыс. руб. на каждого работника.</w:t>
      </w:r>
    </w:p>
    <w:p w:rsidR="00AE3B8A" w:rsidRPr="00AE3B8A" w:rsidRDefault="00AE3B8A" w:rsidP="00AE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Подать заявку на получение субсидии можно на официальном сайте Федеральной налоговой службы России по Пермскому краю или через почтовое отправление с 15 июля</w:t>
      </w:r>
      <w:r w:rsidRPr="00AE3B8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по 15 августа 2020 года. Более подробную информацию можно получить по номеру горячей линии ФНС: +7 (800) 222-22-22 и на сайте ФНС: </w:t>
      </w:r>
      <w:proofErr w:type="spellStart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"http://nalog.ru/" </w:instrText>
      </w: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AE3B8A">
        <w:rPr>
          <w:rFonts w:ascii="Times New Roman" w:eastAsia="Times New Roman" w:hAnsi="Times New Roman" w:cs="Times New Roman"/>
          <w:color w:val="A00000"/>
          <w:sz w:val="24"/>
          <w:szCs w:val="24"/>
        </w:rPr>
        <w:t>nalog.ru</w:t>
      </w:r>
      <w:proofErr w:type="spellEnd"/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B8A" w:rsidRPr="00AE3B8A" w:rsidRDefault="00AE3B8A" w:rsidP="00AE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 об условиях и порядке получения субсидии доступна по ссылке: </w:t>
      </w:r>
      <w:hyperlink r:id="rId14" w:history="1">
        <w:r w:rsidRPr="00AE3B8A">
          <w:rPr>
            <w:rFonts w:ascii="Times New Roman" w:eastAsia="Times New Roman" w:hAnsi="Times New Roman" w:cs="Times New Roman"/>
            <w:color w:val="A00000"/>
            <w:sz w:val="24"/>
            <w:szCs w:val="24"/>
          </w:rPr>
          <w:t>https://www.nalog.ru/rn77/business-support-2020/subsidy/</w:t>
        </w:r>
      </w:hyperlink>
      <w:r w:rsidRPr="00AE3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B8E" w:rsidRPr="00AE3B8A" w:rsidRDefault="00DE4B8E">
      <w:pPr>
        <w:rPr>
          <w:rFonts w:ascii="Times New Roman" w:hAnsi="Times New Roman" w:cs="Times New Roman"/>
          <w:sz w:val="24"/>
          <w:szCs w:val="24"/>
        </w:rPr>
      </w:pPr>
    </w:p>
    <w:sectPr w:rsidR="00DE4B8E" w:rsidRPr="00AE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8A"/>
    <w:rsid w:val="00AE3B8A"/>
    <w:rsid w:val="00D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B8A"/>
    <w:rPr>
      <w:i/>
      <w:iCs/>
    </w:rPr>
  </w:style>
  <w:style w:type="paragraph" w:customStyle="1" w:styleId="alignjustify">
    <w:name w:val="alignjustify"/>
    <w:basedOn w:val="a"/>
    <w:rsid w:val="00A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3B8A"/>
    <w:rPr>
      <w:color w:val="0000FF"/>
      <w:u w:val="single"/>
    </w:rPr>
  </w:style>
  <w:style w:type="paragraph" w:customStyle="1" w:styleId="aligncenter">
    <w:name w:val="aligncenter"/>
    <w:basedOn w:val="a"/>
    <w:rsid w:val="00A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3B8A"/>
    <w:rPr>
      <w:b/>
      <w:bCs/>
    </w:rPr>
  </w:style>
  <w:style w:type="paragraph" w:styleId="a6">
    <w:name w:val="Normal (Web)"/>
    <w:basedOn w:val="a"/>
    <w:uiPriority w:val="99"/>
    <w:unhideWhenUsed/>
    <w:rsid w:val="00A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6BA5561BA139A3E70A618DA92958A6BE13B52DD3BCD1341318F58EA3FFFF6319A1A92BCB9291733CCB1D87A32C735C4BAF2ACA1E8B284CMAJ" TargetMode="External"/><Relationship Id="rId13" Type="http://schemas.openxmlformats.org/officeDocument/2006/relationships/hyperlink" Target="consultantplus://offline/ref=6A256BA5561BA139A3E70A618DA92958A6BE13B52DD3BCD1341318F58EA3FFFF6319A1A92BCA9592733CCB1D87A32C735C4BAF2ACA1E8B284CM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256BA5561BA139A3E70A618DA92958A6BE13B52DD3BCD1341318F58EA3FFFF6319A1A92BCA9591713CCB1D87A32C735C4BAF2ACA1E8B284CMAJ" TargetMode="External"/><Relationship Id="rId12" Type="http://schemas.openxmlformats.org/officeDocument/2006/relationships/hyperlink" Target="consultantplus://offline/ref=6A256BA5561BA139A3E70A618DA92958A6BE13B52DD3BCD1341318F58EA3FFFF6319A1A92BCA9297753CCB1D87A32C735C4BAF2ACA1E8B284CMA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56BA5561BA139A3E70A618DA92958A6BE13B52DD3BCD1341318F58EA3FFFF6319A1A92BCA9996753CCB1D87A32C735C4BAF2ACA1E8B284CMAJ" TargetMode="External"/><Relationship Id="rId11" Type="http://schemas.openxmlformats.org/officeDocument/2006/relationships/hyperlink" Target="consultantplus://offline/ref=6A256BA5561BA139A3E70A618DA92958A6BE13B52DD3BCD1341318F58EA3FFFF6319A1A92BCA94987D3CCB1D87A32C735C4BAF2ACA1E8B284CMAJ" TargetMode="External"/><Relationship Id="rId5" Type="http://schemas.openxmlformats.org/officeDocument/2006/relationships/hyperlink" Target="consultantplus://offline/ref=6A256BA5561BA139A3E70A618DA92958A6BE13B52DD3BCD1341318F58EA3FFFF6319A1A92BCA9491733CCB1D87A32C735C4BAF2ACA1E8B284CMA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256BA5561BA139A3E70A618DA92958A6BE13B52DD3BCD1341318F58EA3FFFF6319A1A92BCA9494713CCB1D87A32C735C4BAF2ACA1E8B284CMAJ" TargetMode="External"/><Relationship Id="rId4" Type="http://schemas.openxmlformats.org/officeDocument/2006/relationships/hyperlink" Target="consultantplus://offline/ref=17542194D9E6FE91DE2F6358818D99B0A3859FF26A3166B8092C2DDB816FDCCD2C041EE108C0B567163830D436E095BC3375668E4AS5H4J" TargetMode="External"/><Relationship Id="rId9" Type="http://schemas.openxmlformats.org/officeDocument/2006/relationships/hyperlink" Target="consultantplus://offline/ref=6A256BA5561BA139A3E70A618DA92958A6BE13B52DD3BCD1341318F58EA3FFFF6319A1A92BCB9293723CCB1D87A32C735C4BAF2ACA1E8B284CMAJ" TargetMode="External"/><Relationship Id="rId14" Type="http://schemas.openxmlformats.org/officeDocument/2006/relationships/hyperlink" Target="https://www.nalog.ru/rn77/business-support-2020/subs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Нестерова</cp:lastModifiedBy>
  <cp:revision>2</cp:revision>
  <dcterms:created xsi:type="dcterms:W3CDTF">2020-08-06T09:33:00Z</dcterms:created>
  <dcterms:modified xsi:type="dcterms:W3CDTF">2020-08-06T09:35:00Z</dcterms:modified>
</cp:coreProperties>
</file>