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258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5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1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1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ДЕПАРТАМЕНТА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1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ЖИЛИЩНО-КОММУНАЛЬНОГО ХОЗЯЙСТВА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 А С П О Р Я Ж Е Н И 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4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4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1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1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ДЕПАРТАМЕНТА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1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ЖИЛИЩНО-КОММУНАЛЬНОГО ХОЗЯЙСТВА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 А С П О Р Я Ж Е Н И 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4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6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4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4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spacing w:line="240" w:lineRule="exact"/>
        <w:tabs>
          <w:tab w:val="left" w:pos="2268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  <w:t xml:space="preserve">06.11.2025               059-04-03-70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4"/>
        <w:jc w:val="both"/>
        <w:spacing w:line="240" w:lineRule="exact"/>
        <w:tabs>
          <w:tab w:val="left" w:pos="22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spacing w:line="240" w:lineRule="exact"/>
        <w:tabs>
          <w:tab w:val="left" w:pos="226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149860</wp:posOffset>
                </wp:positionV>
                <wp:extent cx="3215005" cy="1087120"/>
                <wp:effectExtent l="0" t="0" r="0" b="0"/>
                <wp:wrapNone/>
                <wp:docPr id="3" name="_x0000_s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15005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4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формировании фонда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капитального ремонта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многоквартирных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домов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а счете регионального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оператора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4"/>
                            </w:pPr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8.00pt;mso-position-horizontal:absolute;mso-position-vertical-relative:text;margin-top:11.80pt;mso-position-vertical:absolute;width:253.15pt;height:85.6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4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формировании фонда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капитального ремонта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многоквартирных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домов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а счете регионального 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оператора</w:t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  <w:r>
                        <w:rPr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4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4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4"/>
        <w:ind w:firstLine="720"/>
        <w:jc w:val="both"/>
        <w:spacing w:line="240" w:lineRule="exac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4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 частью 7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170</w:t>
      </w:r>
      <w:r>
        <w:rPr>
          <w:sz w:val="28"/>
          <w:szCs w:val="28"/>
        </w:rPr>
        <w:t xml:space="preserve">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Формировать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фонд</w:t>
      </w:r>
      <w:r>
        <w:rPr>
          <w:sz w:val="28"/>
          <w:szCs w:val="28"/>
        </w:rPr>
        <w:t xml:space="preserve"> капитального ремонта </w:t>
      </w:r>
      <w:r>
        <w:rPr>
          <w:sz w:val="28"/>
          <w:szCs w:val="28"/>
        </w:rPr>
        <w:t xml:space="preserve">на счете регионального оператора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екоммерческой организации «Фонд капитального ремонта общего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многоквартирных домах в Пермском крае»</w:t>
      </w:r>
      <w:r>
        <w:rPr>
          <w:sz w:val="28"/>
          <w:szCs w:val="28"/>
        </w:rPr>
        <w:t xml:space="preserve"> (далее – Региональный оператор):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 многоквартирных домов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прило</w:t>
      </w:r>
      <w:r>
        <w:rPr>
          <w:sz w:val="28"/>
          <w:szCs w:val="28"/>
        </w:rPr>
        <w:t xml:space="preserve">жению </w:t>
      </w:r>
      <w:r>
        <w:rPr>
          <w:sz w:val="28"/>
          <w:szCs w:val="28"/>
        </w:rPr>
        <w:t xml:space="preserve">к настоящему распоряжению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собственники помещений в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установленный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не выбрали способ формирования фонда капитального ремонта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реализовали его.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3.4 в адрес Инспекции государственного жилищного надзора Пермского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ов</w:t>
      </w:r>
      <w:r>
        <w:rPr>
          <w:sz w:val="28"/>
          <w:szCs w:val="28"/>
        </w:rPr>
        <w:t xml:space="preserve">, согласно </w:t>
      </w:r>
      <w:r>
        <w:rPr>
          <w:sz w:val="28"/>
          <w:szCs w:val="28"/>
        </w:rPr>
        <w:t xml:space="preserve">приложению,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и.о.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Семенова Д.Р.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  <w:t xml:space="preserve">И.о. начальника департамента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nil" w:color="auto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0"/>
        <w:pageBreakBefore/>
        <w:spacing w:line="240" w:lineRule="exact"/>
        <w:tabs>
          <w:tab w:val="left" w:pos="6486" w:leader="none"/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ind w:firstLine="5670"/>
        <w:spacing w:line="240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распоряжению начальника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0"/>
        <w:spacing w:line="240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департамента жилищно-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0"/>
        <w:spacing w:line="240" w:lineRule="exact"/>
        <w:tabs>
          <w:tab w:val="left" w:pos="6486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коммунального хозяйства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0"/>
        <w:spacing w:line="240" w:lineRule="exact"/>
        <w:tabs>
          <w:tab w:val="left" w:pos="6499" w:leader="none"/>
          <w:tab w:val="right" w:pos="991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администрации города Перми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tabs>
          <w:tab w:val="left" w:pos="6499" w:leader="none"/>
          <w:tab w:val="right" w:pos="9915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</w:rPr>
        <w:t xml:space="preserve"> 06.11.2025 № 059-04-03-70</w:t>
      </w:r>
      <w:r>
        <w:rPr>
          <w:sz w:val="28"/>
          <w:szCs w:val="28"/>
        </w:rPr>
      </w:r>
    </w:p>
    <w:p>
      <w:pPr>
        <w:pStyle w:val="864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spacing w:line="240" w:lineRule="exact"/>
        <w:tabs>
          <w:tab w:val="left" w:pos="1134" w:leader="none"/>
        </w:tabs>
      </w:pPr>
      <w:r>
        <w:rPr>
          <w:b/>
          <w:caps/>
          <w:sz w:val="28"/>
          <w:szCs w:val="28"/>
        </w:rPr>
        <w:t xml:space="preserve">Многоквартирные дома</w:t>
      </w:r>
      <w:r>
        <w:rPr>
          <w:b/>
          <w:caps/>
          <w:sz w:val="28"/>
          <w:szCs w:val="28"/>
        </w:rPr>
        <w:t xml:space="preserve"> города Перми</w:t>
      </w:r>
      <w:r>
        <w:rPr>
          <w:b/>
          <w:caps/>
          <w:sz w:val="28"/>
          <w:szCs w:val="28"/>
        </w:rPr>
        <w:t xml:space="preserve">,</w:t>
      </w:r>
      <w:r/>
    </w:p>
    <w:p>
      <w:pPr>
        <w:pStyle w:val="864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отношении которых принято решение </w:t>
      </w:r>
      <w:r>
        <w:rPr>
          <w:b/>
          <w:sz w:val="28"/>
          <w:szCs w:val="28"/>
        </w:rPr>
        <w:t xml:space="preserve">формировать фонд </w:t>
      </w:r>
      <w:r>
        <w:rPr>
          <w:b/>
          <w:sz w:val="28"/>
          <w:szCs w:val="28"/>
        </w:rPr>
        <w:t xml:space="preserve">капитального ремонта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 счете регионального </w:t>
      </w:r>
      <w:r>
        <w:rPr>
          <w:b/>
          <w:sz w:val="28"/>
          <w:szCs w:val="28"/>
        </w:rPr>
        <w:t xml:space="preserve">оператора</w:t>
      </w:r>
      <w:r>
        <w:rPr>
          <w:b/>
          <w:sz w:val="28"/>
          <w:szCs w:val="28"/>
        </w:rPr>
        <w:t xml:space="preserve"> некоммерческой организации «Фонд капитального ремонта общего имущества в многоквартирных домах в Пермском крае»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auto"/>
        <w:tabs>
          <w:tab w:val="left" w:pos="113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tabs>
          <w:tab w:val="left" w:pos="1134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720"/>
        <w:tblW w:w="0" w:type="auto"/>
        <w:tblLayout w:type="fixed"/>
        <w:tblLook w:val="04A0" w:firstRow="1" w:lastRow="0" w:firstColumn="1" w:lastColumn="0" w:noHBand="0" w:noVBand="1"/>
      </w:tblPr>
      <w:tblGrid>
        <w:gridCol w:w="795"/>
        <w:gridCol w:w="5306"/>
        <w:gridCol w:w="3827"/>
      </w:tblGrid>
      <w:tr>
        <w:tblPrEx/>
        <w:trPr>
          <w:trHeight w:val="6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Улица (переулок, проспект)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Дом/корпус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spacing w:line="36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1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spacing w:line="36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2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spacing w:line="360" w:lineRule="auto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3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б-р Гагарина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74/В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пер. Бершетский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пер. Лесопарковый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пр-кт Декабристов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Автозаводская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80/А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Баранчинская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Баранчинская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Василия Татищева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Василия Татищева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Гашкова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Гашкова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Генерала Черняховского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Калинина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Каляева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Карбышева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47/Б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Костычева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Красные Казармы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Красные Казармы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Красные Казармы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Красные Казармы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Кронштадтская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Кронштадтская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Лихвинская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Окулова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Окулова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Олега Кошевого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Писарева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27/А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Ракитная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Революции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52/Б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Революции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Судозаводская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Тургенева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33/Д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Уинская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Уинская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Целинная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Циолковского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Чернышевского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Шмидта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Энгельса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Энгельса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5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06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ул. Яблочкова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7" w:type="dxa"/>
            <w:vAlign w:val="center"/>
            <w:textDirection w:val="lrTb"/>
            <w:noWrap w:val="false"/>
          </w:tcPr>
          <w:p>
            <w:pPr>
              <w:jc w:val="center"/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7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  <w:rPr>
        <w:color w:val="00000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lang w:val="ru-RU" w:eastAsia="ru-RU" w:bidi="ar-SA"/>
    </w:rPr>
  </w:style>
  <w:style w:type="paragraph" w:styleId="865">
    <w:name w:val="Заголовок 1"/>
    <w:basedOn w:val="864"/>
    <w:next w:val="864"/>
    <w:link w:val="864"/>
    <w:qFormat/>
    <w:pPr>
      <w:ind w:right="-1" w:firstLine="709"/>
      <w:jc w:val="both"/>
      <w:keepNext/>
      <w:outlineLvl w:val="0"/>
    </w:pPr>
    <w:rPr>
      <w:sz w:val="24"/>
    </w:rPr>
  </w:style>
  <w:style w:type="paragraph" w:styleId="866">
    <w:name w:val="Заголовок 2"/>
    <w:basedOn w:val="864"/>
    <w:next w:val="864"/>
    <w:link w:val="870"/>
    <w:qFormat/>
    <w:pPr>
      <w:ind w:right="-1"/>
      <w:jc w:val="both"/>
      <w:keepNext/>
      <w:outlineLvl w:val="1"/>
    </w:pPr>
    <w:rPr>
      <w:sz w:val="24"/>
    </w:rPr>
  </w:style>
  <w:style w:type="character" w:styleId="867">
    <w:name w:val="Основной шрифт абзаца"/>
    <w:next w:val="867"/>
    <w:link w:val="864"/>
    <w:semiHidden/>
  </w:style>
  <w:style w:type="table" w:styleId="868">
    <w:name w:val="Обычная таблица"/>
    <w:next w:val="868"/>
    <w:link w:val="864"/>
    <w:semiHidden/>
    <w:tblPr/>
  </w:style>
  <w:style w:type="numbering" w:styleId="869">
    <w:name w:val="Нет списка"/>
    <w:next w:val="869"/>
    <w:link w:val="864"/>
    <w:uiPriority w:val="99"/>
    <w:semiHidden/>
  </w:style>
  <w:style w:type="character" w:styleId="870">
    <w:name w:val="Заголовок 2 Знак"/>
    <w:next w:val="870"/>
    <w:link w:val="866"/>
    <w:rPr>
      <w:sz w:val="24"/>
    </w:rPr>
  </w:style>
  <w:style w:type="paragraph" w:styleId="871">
    <w:name w:val="Название объекта"/>
    <w:basedOn w:val="864"/>
    <w:next w:val="864"/>
    <w:link w:val="86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2">
    <w:name w:val="Основной текст"/>
    <w:basedOn w:val="864"/>
    <w:next w:val="872"/>
    <w:link w:val="873"/>
    <w:pPr>
      <w:ind w:right="3117"/>
    </w:pPr>
    <w:rPr>
      <w:rFonts w:ascii="Courier New" w:hAnsi="Courier New"/>
      <w:sz w:val="26"/>
    </w:rPr>
  </w:style>
  <w:style w:type="character" w:styleId="873">
    <w:name w:val="Основной текст Знак"/>
    <w:next w:val="873"/>
    <w:link w:val="872"/>
    <w:rPr>
      <w:rFonts w:ascii="Courier New" w:hAnsi="Courier New"/>
      <w:sz w:val="26"/>
    </w:rPr>
  </w:style>
  <w:style w:type="paragraph" w:styleId="874">
    <w:name w:val="Основной текст с отступом"/>
    <w:basedOn w:val="864"/>
    <w:next w:val="874"/>
    <w:link w:val="864"/>
    <w:pPr>
      <w:ind w:right="-1"/>
      <w:jc w:val="both"/>
    </w:pPr>
    <w:rPr>
      <w:sz w:val="26"/>
    </w:rPr>
  </w:style>
  <w:style w:type="paragraph" w:styleId="875">
    <w:name w:val="Нижний колонтитул"/>
    <w:basedOn w:val="864"/>
    <w:next w:val="875"/>
    <w:link w:val="864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7"/>
    <w:next w:val="876"/>
    <w:link w:val="864"/>
  </w:style>
  <w:style w:type="paragraph" w:styleId="877">
    <w:name w:val="Верхний колонтитул"/>
    <w:basedOn w:val="864"/>
    <w:next w:val="877"/>
    <w:link w:val="905"/>
    <w:uiPriority w:val="99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4"/>
    <w:next w:val="878"/>
    <w:link w:val="879"/>
    <w:rPr>
      <w:rFonts w:ascii="Segoe UI" w:hAnsi="Segoe UI" w:cs="Segoe UI"/>
      <w:sz w:val="18"/>
      <w:szCs w:val="18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paragraph" w:styleId="880">
    <w:name w:val="Форма"/>
    <w:next w:val="880"/>
    <w:link w:val="864"/>
    <w:rPr>
      <w:sz w:val="28"/>
      <w:szCs w:val="28"/>
      <w:lang w:val="ru-RU" w:eastAsia="ru-RU" w:bidi="ar-SA"/>
    </w:rPr>
  </w:style>
  <w:style w:type="character" w:styleId="881">
    <w:name w:val="Гиперссылка"/>
    <w:next w:val="881"/>
    <w:link w:val="864"/>
    <w:uiPriority w:val="99"/>
    <w:unhideWhenUsed/>
    <w:rPr>
      <w:color w:val="0000ff"/>
      <w:u w:val="single"/>
    </w:rPr>
  </w:style>
  <w:style w:type="character" w:styleId="882">
    <w:name w:val="Просмотренная гиперссылка"/>
    <w:next w:val="882"/>
    <w:link w:val="864"/>
    <w:uiPriority w:val="99"/>
    <w:unhideWhenUsed/>
    <w:rPr>
      <w:color w:val="800080"/>
      <w:u w:val="single"/>
    </w:rPr>
  </w:style>
  <w:style w:type="paragraph" w:styleId="883">
    <w:name w:val="font5"/>
    <w:basedOn w:val="864"/>
    <w:next w:val="883"/>
    <w:link w:val="864"/>
    <w:pPr>
      <w:spacing w:before="100" w:beforeAutospacing="1" w:after="100" w:afterAutospacing="1"/>
    </w:pPr>
    <w:rPr>
      <w:i/>
      <w:iCs/>
      <w:color w:val="000000"/>
      <w:sz w:val="28"/>
      <w:szCs w:val="28"/>
    </w:rPr>
  </w:style>
  <w:style w:type="paragraph" w:styleId="884">
    <w:name w:val="xl65"/>
    <w:basedOn w:val="864"/>
    <w:next w:val="884"/>
    <w:link w:val="86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5">
    <w:name w:val="xl66"/>
    <w:basedOn w:val="864"/>
    <w:next w:val="885"/>
    <w:link w:val="86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6">
    <w:name w:val="xl67"/>
    <w:basedOn w:val="864"/>
    <w:next w:val="886"/>
    <w:link w:val="864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7">
    <w:name w:val="xl68"/>
    <w:basedOn w:val="864"/>
    <w:next w:val="887"/>
    <w:link w:val="86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8">
    <w:name w:val="xl69"/>
    <w:basedOn w:val="864"/>
    <w:next w:val="888"/>
    <w:link w:val="864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89">
    <w:name w:val="xl70"/>
    <w:basedOn w:val="864"/>
    <w:next w:val="889"/>
    <w:link w:val="864"/>
    <w:pPr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0">
    <w:name w:val="xl71"/>
    <w:basedOn w:val="864"/>
    <w:next w:val="890"/>
    <w:link w:val="864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1">
    <w:name w:val="xl72"/>
    <w:basedOn w:val="864"/>
    <w:next w:val="891"/>
    <w:link w:val="864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2">
    <w:name w:val="xl73"/>
    <w:basedOn w:val="864"/>
    <w:next w:val="892"/>
    <w:link w:val="864"/>
    <w:pPr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3">
    <w:name w:val="xl74"/>
    <w:basedOn w:val="864"/>
    <w:next w:val="893"/>
    <w:link w:val="864"/>
    <w:pPr>
      <w:spacing w:before="100" w:beforeAutospacing="1" w:after="100" w:afterAutospacing="1"/>
      <w:shd w:val="clear" w:color="000000" w:fill="ffffff"/>
      <w:pBdr>
        <w:right w:val="single" w:color="000000" w:sz="8" w:space="0"/>
      </w:pBdr>
    </w:pPr>
    <w:rPr>
      <w:color w:val="000000"/>
      <w:sz w:val="28"/>
      <w:szCs w:val="28"/>
    </w:rPr>
  </w:style>
  <w:style w:type="paragraph" w:styleId="894">
    <w:name w:val="xl75"/>
    <w:basedOn w:val="864"/>
    <w:next w:val="894"/>
    <w:link w:val="864"/>
    <w:pPr>
      <w:spacing w:before="100" w:beforeAutospacing="1" w:after="100" w:afterAutospacing="1"/>
      <w:shd w:val="clear" w:color="000000" w:fill="ffffff"/>
      <w:pBdr>
        <w:top w:val="single" w:color="000000" w:sz="8" w:space="0"/>
      </w:pBdr>
    </w:pPr>
    <w:rPr>
      <w:color w:val="000000"/>
      <w:sz w:val="28"/>
      <w:szCs w:val="28"/>
    </w:rPr>
  </w:style>
  <w:style w:type="paragraph" w:styleId="895">
    <w:name w:val="xl76"/>
    <w:basedOn w:val="864"/>
    <w:next w:val="895"/>
    <w:link w:val="864"/>
    <w:pPr>
      <w:spacing w:before="100" w:beforeAutospacing="1" w:after="100" w:afterAutospacing="1"/>
      <w:shd w:val="clear" w:color="000000" w:fill="ffffff"/>
      <w:pBdr>
        <w:top w:val="single" w:color="000000" w:sz="8" w:space="0"/>
        <w:bottom w:val="single" w:color="000000" w:sz="8" w:space="0"/>
      </w:pBdr>
    </w:pPr>
    <w:rPr>
      <w:color w:val="000000"/>
      <w:sz w:val="28"/>
      <w:szCs w:val="28"/>
    </w:rPr>
  </w:style>
  <w:style w:type="paragraph" w:styleId="896">
    <w:name w:val="xl77"/>
    <w:basedOn w:val="864"/>
    <w:next w:val="896"/>
    <w:link w:val="864"/>
    <w:pPr>
      <w:jc w:val="both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897">
    <w:name w:val="xl78"/>
    <w:basedOn w:val="864"/>
    <w:next w:val="897"/>
    <w:link w:val="864"/>
    <w:pPr>
      <w:jc w:val="center"/>
      <w:spacing w:before="100" w:beforeAutospacing="1" w:after="100" w:afterAutospacing="1"/>
    </w:pPr>
    <w:rPr>
      <w:sz w:val="24"/>
      <w:szCs w:val="24"/>
    </w:rPr>
  </w:style>
  <w:style w:type="table" w:styleId="898">
    <w:name w:val="Сетка таблицы"/>
    <w:basedOn w:val="868"/>
    <w:next w:val="898"/>
    <w:link w:val="864"/>
    <w:tblPr/>
  </w:style>
  <w:style w:type="paragraph" w:styleId="899">
    <w:name w:val="xl63"/>
    <w:basedOn w:val="864"/>
    <w:next w:val="899"/>
    <w:link w:val="864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900">
    <w:name w:val="xl64"/>
    <w:basedOn w:val="864"/>
    <w:next w:val="900"/>
    <w:link w:val="864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color w:val="000000"/>
      <w:sz w:val="28"/>
      <w:szCs w:val="28"/>
    </w:rPr>
  </w:style>
  <w:style w:type="paragraph" w:styleId="901">
    <w:name w:val="xl79"/>
    <w:basedOn w:val="864"/>
    <w:next w:val="901"/>
    <w:link w:val="86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02">
    <w:name w:val="xl80"/>
    <w:basedOn w:val="864"/>
    <w:next w:val="902"/>
    <w:link w:val="86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03">
    <w:name w:val="xl81"/>
    <w:basedOn w:val="864"/>
    <w:next w:val="903"/>
    <w:link w:val="86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904">
    <w:name w:val="xl82"/>
    <w:basedOn w:val="864"/>
    <w:next w:val="904"/>
    <w:link w:val="86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905">
    <w:name w:val="Верхний колонтитул Знак"/>
    <w:next w:val="905"/>
    <w:link w:val="877"/>
    <w:uiPriority w:val="99"/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table" w:styleId="9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zhernakova-ev</cp:lastModifiedBy>
  <cp:revision>8</cp:revision>
  <dcterms:created xsi:type="dcterms:W3CDTF">2024-02-28T05:07:00Z</dcterms:created>
  <dcterms:modified xsi:type="dcterms:W3CDTF">2025-11-06T10:46:11Z</dcterms:modified>
  <cp:version>983040</cp:version>
</cp:coreProperties>
</file>