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25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1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1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1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1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1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1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26.06.2025               059-04-03-38</w:t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149860</wp:posOffset>
                </wp:positionV>
                <wp:extent cx="3215005" cy="2079625"/>
                <wp:effectExtent l="0" t="0" r="0" b="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15005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4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капитального ремонта в многоквартирных домах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соответствии с региональной программой капитального ремонта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не приняли решение о проведении капитального ремонта общего имущества в этих многоквартирных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домах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8.00pt;mso-position-horizontal:absolute;mso-position-vertical-relative:text;margin-top:11.80pt;mso-position-vertical:absolute;width:253.15pt;height:163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4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проведении капитального ремонта в многоквартирных домах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соответствии с региональной программой капитального ремонта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не приняли решение о проведении капитального ремонта общего имущества в этих многоквартирных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домах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Пермского края от 11</w:t>
      </w:r>
      <w:r>
        <w:rPr>
          <w:sz w:val="28"/>
          <w:szCs w:val="28"/>
        </w:rPr>
        <w:t xml:space="preserve"> марта 2014 г.</w:t>
      </w:r>
      <w:r>
        <w:rPr>
          <w:sz w:val="28"/>
          <w:szCs w:val="28"/>
        </w:rPr>
        <w:t xml:space="preserve"> № 304-ПК «О системе капитального ремонта общего имущества в многоквартирных домах, расположенных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Пермского края»,</w:t>
      </w:r>
      <w:r>
        <w:rPr>
          <w:sz w:val="28"/>
          <w:szCs w:val="28"/>
        </w:rPr>
        <w:t xml:space="preserve"> постановлением Правит</w:t>
      </w:r>
      <w:r>
        <w:rPr>
          <w:sz w:val="28"/>
          <w:szCs w:val="28"/>
        </w:rPr>
        <w:t xml:space="preserve">ельства Пермского края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8-п «Об утверждении региональной Программы капитального ремонта общего имущества в многоквартирных домах, расположенных на территории Пермского края,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 годы, </w:t>
      </w:r>
      <w:r>
        <w:rPr>
          <w:sz w:val="28"/>
          <w:szCs w:val="28"/>
        </w:rPr>
        <w:t xml:space="preserve">решением Пермской городской Думы от 26 июня 2012 г. № 138 «О создании департамента жилищно-коммунального хозяйства администрации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капитальный ремонт</w:t>
      </w:r>
      <w:r>
        <w:rPr>
          <w:sz w:val="28"/>
          <w:szCs w:val="28"/>
        </w:rPr>
        <w:t xml:space="preserve"> общего имущества</w:t>
      </w:r>
      <w:r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распоряжению</w:t>
      </w:r>
      <w:r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региональной программой </w:t>
      </w:r>
      <w:bookmarkStart w:id="0" w:name="_Hlk128559506"/>
      <w:r>
        <w:rPr>
          <w:sz w:val="28"/>
          <w:szCs w:val="28"/>
        </w:rPr>
        <w:t xml:space="preserve">капитального ремонта общего имущества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многоквартирных домах, расположенных на территории Пермского края,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 годы, утвержденной постановлением Правительства Пермского края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 № </w:t>
      </w:r>
      <w:r>
        <w:rPr>
          <w:sz w:val="28"/>
          <w:szCs w:val="28"/>
        </w:rPr>
        <w:t xml:space="preserve">328</w:t>
      </w:r>
      <w:r>
        <w:rPr>
          <w:sz w:val="28"/>
          <w:szCs w:val="28"/>
        </w:rPr>
        <w:t xml:space="preserve">-</w:t>
      </w:r>
      <w:bookmarkEnd w:id="0"/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собственники помещений </w:t>
      </w:r>
      <w:r>
        <w:rPr>
          <w:sz w:val="28"/>
          <w:szCs w:val="28"/>
        </w:rPr>
        <w:t xml:space="preserve">в котор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формируют</w:t>
      </w:r>
      <w:r>
        <w:rPr>
          <w:sz w:val="28"/>
          <w:szCs w:val="28"/>
        </w:rPr>
        <w:t xml:space="preserve"> фонд капитального ремонта н</w:t>
      </w:r>
      <w:r>
        <w:rPr>
          <w:sz w:val="28"/>
          <w:szCs w:val="28"/>
        </w:rPr>
        <w:t xml:space="preserve">а счете регионального оператора и</w:t>
      </w:r>
      <w:r>
        <w:rPr>
          <w:sz w:val="28"/>
          <w:szCs w:val="28"/>
        </w:rPr>
        <w:t xml:space="preserve"> в установленный срок не приняли решение о </w:t>
      </w:r>
      <w:r>
        <w:rPr>
          <w:sz w:val="28"/>
          <w:szCs w:val="28"/>
        </w:rPr>
        <w:t xml:space="preserve">проведении капитального ремонта.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капитального ремонта департамента жилищно-коммунального хозяйства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5 рабочих дней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бюллетень органов местного самоуправления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Регионального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в Пермском крае»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ведомить собственников помещений 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настоящего распоряжения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и.о. заместителя начальника департамента</w:t>
      </w:r>
      <w:r>
        <w:rPr>
          <w:sz w:val="28"/>
          <w:szCs w:val="28"/>
        </w:rPr>
        <w:t xml:space="preserve"> – муниципального жилищного инспектора</w:t>
      </w:r>
      <w:r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администрации города Перми Семенова Д.Р.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департамента                                                                А.С. Копылова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ind w:firstLine="720"/>
        <w:jc w:val="both"/>
        <w:rPr>
          <w:sz w:val="24"/>
          <w:szCs w:val="24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567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ind w:firstLine="5670"/>
        <w:spacing w:line="240" w:lineRule="exact"/>
        <w:tabs>
          <w:tab w:val="left" w:pos="6486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670"/>
        <w:spacing w:line="240" w:lineRule="exact"/>
        <w:tabs>
          <w:tab w:val="left" w:pos="6486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670"/>
        <w:spacing w:line="240" w:lineRule="exact"/>
        <w:tabs>
          <w:tab w:val="left" w:pos="6486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670"/>
        <w:spacing w:line="240" w:lineRule="exact"/>
        <w:tabs>
          <w:tab w:val="left" w:pos="6486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670"/>
        <w:spacing w:line="240" w:lineRule="exact"/>
        <w:tabs>
          <w:tab w:val="left" w:pos="6499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670"/>
        <w:spacing w:line="240" w:lineRule="exact"/>
        <w:tabs>
          <w:tab w:val="left" w:pos="7513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line="240" w:lineRule="exact"/>
        <w:tabs>
          <w:tab w:val="left" w:pos="1134" w:leader="none"/>
        </w:tabs>
      </w:pPr>
      <w:r>
        <w:rPr>
          <w:b/>
          <w:caps/>
          <w:sz w:val="28"/>
          <w:szCs w:val="28"/>
        </w:rPr>
        <w:t xml:space="preserve">Многоквартирные дома</w:t>
      </w:r>
      <w:r>
        <w:rPr>
          <w:b/>
          <w:caps/>
          <w:sz w:val="28"/>
          <w:szCs w:val="28"/>
        </w:rPr>
        <w:t xml:space="preserve"> города Перми</w:t>
      </w:r>
      <w:r>
        <w:rPr>
          <w:b/>
          <w:caps/>
          <w:sz w:val="28"/>
          <w:szCs w:val="28"/>
        </w:rPr>
        <w:t xml:space="preserve">,</w:t>
      </w:r>
      <w:r/>
    </w:p>
    <w:p>
      <w:pPr>
        <w:pStyle w:val="884"/>
        <w:jc w:val="center"/>
        <w:spacing w:line="240" w:lineRule="exact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которых принято решение о проведении капитального ремонта общего имущества в соответствии с региональной программой капитального ремонта общего имущества в многоквартирных домах, расположенных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center"/>
        <w:spacing w:line="240" w:lineRule="exact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Пермского края,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4-20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4 годы, утвержденной постановлением Правительства Пермского края от 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апреля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 г.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center"/>
        <w:spacing w:line="240" w:lineRule="exact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28-п, собственники помещений в которых формируют фонд капитального ремонта на счете регионального оператора и в установленный срок не приняли решение о </w:t>
      </w:r>
      <w:r>
        <w:rPr>
          <w:b/>
          <w:sz w:val="28"/>
          <w:szCs w:val="28"/>
        </w:rPr>
        <w:t xml:space="preserve">проведении капитального ремонта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center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750" w:type="dxa"/>
        <w:jc w:val="center"/>
        <w:tblInd w:w="-160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5191"/>
        <w:gridCol w:w="1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(переулок, проспект)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Дом/корпус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pStyle w:val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б-р Гагарина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/>
        </w:trPr>
        <w:tc>
          <w:tcPr>
            <w:tcW w:w="2575" w:type="dxa"/>
            <w:vAlign w:val="center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Комсомольский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пр-кт Парковый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проезд Серебрянский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проезд Якуба Коласа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4-я Запрудская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9-го Мая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Адмирала Нахимова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Адмирала Старикова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Адмирала Ушакова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Академика Веденеева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Академика Курчатова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Александра Невского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Александра Невского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Александра Щербакова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Анвара Гатауллина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Анвара Гатауллина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Архитектора Свиязева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Баумана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Баумана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Баумана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Белинского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Белинского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Белинского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Белинского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Богдана Хмельницкого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Богдана Хмельницкого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Боровая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Бородинская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Борчанинова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Борчанинова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Братьев Игнатовых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Бумажников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Бумажников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Василия Каменского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Весенняя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Весенняя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Весенняя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Весенняя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Весенняя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Ветлужская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Ветлужская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Вижайская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Вижайская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Волгодонская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Газеты Звезда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Газеты Звезда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Газеты Звезда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Газеты Звезда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Гайвинская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Героев Хасана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Героев Хасана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Героев Хасана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Героев Хасана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Героев Хасана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Гусарова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Гусарова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Гусарова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Гусарова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Гусарова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Дружбы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Екатерининская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Екатерининская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Емельяна Ярославского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Емельяна Ярославского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Желябова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Закамская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Камышинская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Камышинская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Карбышева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Карбышева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Качалова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КИМ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КИМ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КИМ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Кировоградская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Кировоградская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Колыбалова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Колыбалова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Комбайнеров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Корсуньская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Космонавта Леонова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Космонавта Леонова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Краснова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Красные Казармы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1-я Красноармейская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Крисанова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Крупской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Крупской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Крупской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Крупской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Куйбышева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Кустовая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Липатова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Лиственная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Лобвинская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Лодыгина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Лодыгина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Луначарского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Луначарского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26А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Луначарского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Лядовская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Лядовская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Лякишева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Магистральная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Макаренко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Максима Горького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Рыбалко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Рыбалко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Рыбалко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Толбухина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2/5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Толбухина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Маршала Толбухина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Мензелинская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76А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80А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118/1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122/2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Монастырская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Монастырская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Нефтяников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Нефтяников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Николая Быстрых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Николая Островского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Новоржевская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Новоржевская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Новосибирская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Новосибирская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Одоевского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Одоевского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Оршанская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Осинская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Охотников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Охотников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Папанинцев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Петропавловская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Петропавловская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Петропавловская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Плеханова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Подлесная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Полтавская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Пономарева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Пушкарская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Пушкина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Пушкина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Революции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Революции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Розалии Землячки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Розалии Землячки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Самолетная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Семченко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Сергея Есенина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Сеченова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Сибирская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Сивкова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Сивкова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Советской Армии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Советской Армии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Соловьева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Соловьева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Соловьева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Соловьева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Сусанина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Таборская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Таборская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Танкистов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Тбилисская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Тбилисская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Тбилисская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Тбилисская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Техническая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Тургенева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Уральская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Уральская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Фадеева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Федосеева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Федосеева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Формовщиков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Химградская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Хохрякова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Худанина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Чебоксарская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Чернышевского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Чернышевского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Чкалова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Шишкина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Энгельса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Янаульская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Янаульская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84"/>
              <w:numPr>
                <w:ilvl w:val="0"/>
                <w:numId w:val="7"/>
              </w:num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ш. Космонавтов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uiPriority w:val="99"/>
    <w:semiHidden/>
  </w:style>
  <w:style w:type="character" w:styleId="890">
    <w:name w:val="Заголовок 2 Знак"/>
    <w:next w:val="890"/>
    <w:link w:val="886"/>
    <w:rPr>
      <w:sz w:val="24"/>
    </w:rPr>
  </w:style>
  <w:style w:type="paragraph" w:styleId="891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Основной текст"/>
    <w:basedOn w:val="884"/>
    <w:next w:val="892"/>
    <w:link w:val="893"/>
    <w:pPr>
      <w:ind w:right="3117"/>
    </w:pPr>
    <w:rPr>
      <w:rFonts w:ascii="Courier New" w:hAnsi="Courier New"/>
      <w:sz w:val="26"/>
    </w:rPr>
  </w:style>
  <w:style w:type="character" w:styleId="893">
    <w:name w:val="Основной текст Знак"/>
    <w:next w:val="893"/>
    <w:link w:val="892"/>
    <w:rPr>
      <w:rFonts w:ascii="Courier New" w:hAnsi="Courier New"/>
      <w:sz w:val="26"/>
    </w:rPr>
  </w:style>
  <w:style w:type="paragraph" w:styleId="894">
    <w:name w:val="Основной текст с отступом"/>
    <w:basedOn w:val="884"/>
    <w:next w:val="894"/>
    <w:link w:val="884"/>
    <w:pPr>
      <w:ind w:right="-1"/>
      <w:jc w:val="both"/>
    </w:pPr>
    <w:rPr>
      <w:sz w:val="26"/>
    </w:rPr>
  </w:style>
  <w:style w:type="paragraph" w:styleId="895">
    <w:name w:val="Нижний колонтитул"/>
    <w:basedOn w:val="884"/>
    <w:next w:val="895"/>
    <w:link w:val="884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7"/>
    <w:next w:val="896"/>
    <w:link w:val="884"/>
  </w:style>
  <w:style w:type="paragraph" w:styleId="897">
    <w:name w:val="Верхний колонтитул"/>
    <w:basedOn w:val="884"/>
    <w:next w:val="897"/>
    <w:link w:val="925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4"/>
    <w:next w:val="898"/>
    <w:link w:val="8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rPr>
      <w:rFonts w:ascii="Segoe UI" w:hAnsi="Segoe UI" w:cs="Segoe UI"/>
      <w:sz w:val="18"/>
      <w:szCs w:val="18"/>
    </w:rPr>
  </w:style>
  <w:style w:type="paragraph" w:styleId="900">
    <w:name w:val="Форма"/>
    <w:next w:val="900"/>
    <w:link w:val="884"/>
    <w:rPr>
      <w:sz w:val="28"/>
      <w:szCs w:val="28"/>
      <w:lang w:val="ru-RU" w:eastAsia="ru-RU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font5"/>
    <w:basedOn w:val="884"/>
    <w:next w:val="903"/>
    <w:link w:val="884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styleId="904">
    <w:name w:val="xl65"/>
    <w:basedOn w:val="884"/>
    <w:next w:val="904"/>
    <w:link w:val="884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5">
    <w:name w:val="xl66"/>
    <w:basedOn w:val="884"/>
    <w:next w:val="905"/>
    <w:link w:val="884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6">
    <w:name w:val="xl67"/>
    <w:basedOn w:val="884"/>
    <w:next w:val="906"/>
    <w:link w:val="884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7">
    <w:name w:val="xl68"/>
    <w:basedOn w:val="884"/>
    <w:next w:val="907"/>
    <w:link w:val="884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8">
    <w:name w:val="xl69"/>
    <w:basedOn w:val="884"/>
    <w:next w:val="908"/>
    <w:link w:val="884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09">
    <w:name w:val="xl70"/>
    <w:basedOn w:val="884"/>
    <w:next w:val="909"/>
    <w:link w:val="884"/>
    <w:pPr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0">
    <w:name w:val="xl71"/>
    <w:basedOn w:val="884"/>
    <w:next w:val="910"/>
    <w:link w:val="884"/>
    <w:pPr>
      <w:jc w:val="center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1">
    <w:name w:val="xl72"/>
    <w:basedOn w:val="884"/>
    <w:next w:val="911"/>
    <w:link w:val="884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2">
    <w:name w:val="xl73"/>
    <w:basedOn w:val="884"/>
    <w:next w:val="912"/>
    <w:link w:val="884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3">
    <w:name w:val="xl74"/>
    <w:basedOn w:val="884"/>
    <w:next w:val="913"/>
    <w:link w:val="884"/>
    <w:pPr>
      <w:spacing w:before="100" w:beforeAutospacing="1" w:after="100" w:afterAutospacing="1"/>
      <w:shd w:val="clear" w:color="000000" w:fill="ffffff"/>
      <w:pBdr>
        <w:right w:val="single" w:color="000000" w:sz="8" w:space="0"/>
      </w:pBdr>
    </w:pPr>
    <w:rPr>
      <w:color w:val="000000"/>
      <w:sz w:val="28"/>
      <w:szCs w:val="28"/>
    </w:rPr>
  </w:style>
  <w:style w:type="paragraph" w:styleId="914">
    <w:name w:val="xl75"/>
    <w:basedOn w:val="884"/>
    <w:next w:val="914"/>
    <w:link w:val="884"/>
    <w:pPr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color w:val="000000"/>
      <w:sz w:val="28"/>
      <w:szCs w:val="28"/>
    </w:rPr>
  </w:style>
  <w:style w:type="paragraph" w:styleId="915">
    <w:name w:val="xl76"/>
    <w:basedOn w:val="884"/>
    <w:next w:val="915"/>
    <w:link w:val="884"/>
    <w:pPr>
      <w:spacing w:before="100" w:beforeAutospacing="1" w:after="100" w:afterAutospacing="1"/>
      <w:shd w:val="clear" w:color="000000" w:fill="ffffff"/>
      <w:pBdr>
        <w:top w:val="single" w:color="000000" w:sz="8" w:space="0"/>
        <w:bottom w:val="single" w:color="000000" w:sz="8" w:space="0"/>
      </w:pBdr>
    </w:pPr>
    <w:rPr>
      <w:color w:val="000000"/>
      <w:sz w:val="28"/>
      <w:szCs w:val="28"/>
    </w:rPr>
  </w:style>
  <w:style w:type="paragraph" w:styleId="916">
    <w:name w:val="xl77"/>
    <w:basedOn w:val="884"/>
    <w:next w:val="916"/>
    <w:link w:val="884"/>
    <w:pPr>
      <w:jc w:val="both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7">
    <w:name w:val="xl78"/>
    <w:basedOn w:val="884"/>
    <w:next w:val="917"/>
    <w:link w:val="884"/>
    <w:pPr>
      <w:jc w:val="center"/>
      <w:spacing w:before="100" w:beforeAutospacing="1" w:after="100" w:afterAutospacing="1"/>
    </w:pPr>
    <w:rPr>
      <w:sz w:val="24"/>
      <w:szCs w:val="24"/>
    </w:rPr>
  </w:style>
  <w:style w:type="table" w:styleId="918">
    <w:name w:val="Сетка таблицы"/>
    <w:basedOn w:val="888"/>
    <w:next w:val="918"/>
    <w:link w:val="884"/>
    <w:tblPr/>
  </w:style>
  <w:style w:type="paragraph" w:styleId="919">
    <w:name w:val="xl63"/>
    <w:basedOn w:val="884"/>
    <w:next w:val="919"/>
    <w:link w:val="884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0">
    <w:name w:val="xl64"/>
    <w:basedOn w:val="884"/>
    <w:next w:val="920"/>
    <w:link w:val="884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1">
    <w:name w:val="xl79"/>
    <w:basedOn w:val="884"/>
    <w:next w:val="921"/>
    <w:link w:val="88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2">
    <w:name w:val="xl80"/>
    <w:basedOn w:val="884"/>
    <w:next w:val="922"/>
    <w:link w:val="88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3">
    <w:name w:val="xl81"/>
    <w:basedOn w:val="884"/>
    <w:next w:val="923"/>
    <w:link w:val="88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4">
    <w:name w:val="xl82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25">
    <w:name w:val="Верхний колонтитул Знак"/>
    <w:next w:val="925"/>
    <w:link w:val="897"/>
    <w:uiPriority w:val="99"/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zhernakova-ev</cp:lastModifiedBy>
  <cp:revision>11</cp:revision>
  <dcterms:created xsi:type="dcterms:W3CDTF">2024-05-28T10:34:00Z</dcterms:created>
  <dcterms:modified xsi:type="dcterms:W3CDTF">2025-06-26T08:07:33Z</dcterms:modified>
  <cp:version>983040</cp:version>
</cp:coreProperties>
</file>