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9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9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right="495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right="495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right="495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слушаний по </w:t>
      </w:r>
      <w:r>
        <w:rPr>
          <w:b/>
          <w:sz w:val="28"/>
          <w:szCs w:val="28"/>
        </w:rPr>
        <w:t xml:space="preserve">обсуждению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Пермской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9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городской Думы </w:t>
      </w:r>
      <w:r>
        <w:rPr>
          <w:b/>
          <w:sz w:val="28"/>
          <w:szCs w:val="24"/>
        </w:rPr>
        <w:t xml:space="preserve">«О внесении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99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изменений в Правила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99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благоустройства территории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99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Перми, утвержденные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99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решением Пермской городской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99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Думы от 15.12.2020 № 277</w:t>
      </w:r>
      <w:r>
        <w:rPr>
          <w:b/>
          <w:sz w:val="28"/>
          <w:szCs w:val="24"/>
        </w:rPr>
        <w:t xml:space="preserve">,</w:t>
      </w:r>
      <w:r>
        <w:rPr>
          <w:b/>
          <w:sz w:val="28"/>
          <w:szCs w:val="24"/>
        </w:rPr>
        <w:t xml:space="preserve"> в части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9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4"/>
        </w:rPr>
        <w:t xml:space="preserve">озеленения</w:t>
      </w:r>
      <w:r>
        <w:rPr>
          <w:b/>
          <w:sz w:val="28"/>
          <w:szCs w:val="24"/>
        </w:rPr>
        <w:t xml:space="preserve">»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9"/>
        <w:ind w:right="495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right="495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right="495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</w:t>
      </w:r>
      <w:r>
        <w:rPr>
          <w:sz w:val="28"/>
          <w:szCs w:val="28"/>
        </w:rPr>
        <w:t xml:space="preserve">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06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Положением о публичных слуш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ниях </w:t>
        <w:br/>
        <w:t xml:space="preserve">в городе Перми, утвержденным решением Пермской городской Думы </w:t>
        <w:br/>
        <w:t xml:space="preserve">от 22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2005 г. № 32, </w:t>
      </w:r>
      <w:r>
        <w:rPr>
          <w:sz w:val="28"/>
          <w:szCs w:val="28"/>
        </w:rPr>
        <w:t xml:space="preserve">Положением о порядке организации и проведения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проекта правил благоустройства территории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 утвержденным решением Пермской городской Думы от 26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проекта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</w:t>
      </w:r>
      <w:r>
        <w:rPr>
          <w:sz w:val="28"/>
          <w:szCs w:val="28"/>
        </w:rPr>
        <w:t xml:space="preserve">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«О внесении изменений в Правила благоустройства терр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тории города Перми, утвержденные решением Пермской городской Думы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от 15.12.2020 № 277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части </w:t>
      </w:r>
      <w:r>
        <w:rPr>
          <w:sz w:val="28"/>
          <w:szCs w:val="24"/>
        </w:rPr>
        <w:t xml:space="preserve">озеленения</w:t>
      </w:r>
      <w:r>
        <w:rPr>
          <w:sz w:val="28"/>
          <w:szCs w:val="24"/>
        </w:rPr>
        <w:t xml:space="preserve">»</w:t>
      </w:r>
      <w:r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</w:t>
      </w:r>
      <w:r>
        <w:rPr>
          <w:sz w:val="28"/>
          <w:szCs w:val="28"/>
        </w:rPr>
        <w:t xml:space="preserve">нию</w:t>
      </w:r>
      <w:r>
        <w:rPr>
          <w:sz w:val="28"/>
          <w:szCs w:val="28"/>
        </w:rPr>
        <w:t xml:space="preserve"> 1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организационный комитет по </w:t>
      </w:r>
      <w:r>
        <w:rPr>
          <w:sz w:val="28"/>
          <w:szCs w:val="28"/>
        </w:rPr>
        <w:t xml:space="preserve">организации проведения</w:t>
      </w:r>
      <w:r>
        <w:rPr>
          <w:sz w:val="28"/>
          <w:szCs w:val="28"/>
        </w:rPr>
        <w:t xml:space="preserve"> публи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слушаний по обсуждению проекта решения Пермской городской Думы </w:t>
      </w:r>
      <w:r>
        <w:rPr>
          <w:sz w:val="28"/>
          <w:szCs w:val="24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части </w:t>
      </w:r>
      <w:r>
        <w:rPr>
          <w:sz w:val="28"/>
          <w:szCs w:val="24"/>
        </w:rPr>
        <w:t xml:space="preserve">озеленения</w:t>
      </w:r>
      <w:r>
        <w:rPr>
          <w:sz w:val="28"/>
          <w:szCs w:val="24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состав орг</w:t>
      </w:r>
      <w:r>
        <w:rPr>
          <w:sz w:val="28"/>
          <w:szCs w:val="28"/>
        </w:rPr>
        <w:t xml:space="preserve">анизационного комитета </w:t>
        <w:br/>
        <w:t xml:space="preserve">по </w:t>
      </w:r>
      <w:r>
        <w:rPr>
          <w:sz w:val="28"/>
          <w:szCs w:val="28"/>
        </w:rPr>
        <w:t xml:space="preserve">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публичных слушаний по обсуждению </w:t>
      </w:r>
      <w:r>
        <w:rPr>
          <w:sz w:val="28"/>
          <w:szCs w:val="28"/>
        </w:rPr>
        <w:t xml:space="preserve">проекта решения Пермской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</w:t>
      </w:r>
      <w:r>
        <w:rPr>
          <w:sz w:val="28"/>
          <w:szCs w:val="28"/>
        </w:rPr>
        <w:t xml:space="preserve">дской Думы «</w:t>
      </w:r>
      <w:r>
        <w:rPr>
          <w:sz w:val="28"/>
          <w:szCs w:val="28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  <w:r>
        <w:rPr>
          <w:sz w:val="28"/>
          <w:szCs w:val="28"/>
        </w:rPr>
        <w:t xml:space="preserve">от 15.12.2020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77</w:t>
      </w:r>
      <w:r>
        <w:rPr>
          <w:sz w:val="28"/>
          <w:szCs w:val="28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части </w:t>
      </w:r>
      <w:r>
        <w:rPr>
          <w:sz w:val="28"/>
          <w:szCs w:val="24"/>
        </w:rPr>
        <w:t xml:space="preserve">озеленения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ком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тет)</w:t>
      </w:r>
      <w:r>
        <w:rPr>
          <w:sz w:val="28"/>
          <w:szCs w:val="28"/>
        </w:rPr>
        <w:t xml:space="preserve">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рок проведения публичных слушаний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1 месяца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не более 3 месяцев со дня опубликования настоящего постановления до дня опубликования заключения о результатах публичных слушаний в печатном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проведение собрания участников публичных слушаний </w:t>
        <w:br w:type="textWrapping" w:clear="all"/>
        <w:t xml:space="preserve">по Проекту на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в 18.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по адресу: 6140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, г. Пермь, </w:t>
        <w:br w:type="textWrapping" w:clear="all"/>
        <w:t xml:space="preserve">ул. </w:t>
      </w:r>
      <w:r>
        <w:rPr>
          <w:sz w:val="28"/>
          <w:szCs w:val="28"/>
        </w:rPr>
        <w:t xml:space="preserve">Советская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Организационному комитету обеспечить: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размещение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информационных материалов к </w:t>
      </w:r>
      <w:r>
        <w:rPr>
          <w:sz w:val="28"/>
          <w:szCs w:val="28"/>
        </w:rPr>
        <w:t xml:space="preserve">нему</w:t>
      </w:r>
      <w:r>
        <w:rPr>
          <w:sz w:val="28"/>
          <w:szCs w:val="28"/>
        </w:rPr>
        <w:t xml:space="preserve"> </w:t>
        <w:br/>
        <w:t xml:space="preserve">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муниципального образования город Пермь </w:t>
        <w:br/>
        <w:t xml:space="preserve">в информац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онно-телекоммуникационной сети Интернет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альный сайт)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открытие и проведение экспозиции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информационных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риалов к н</w:t>
      </w:r>
      <w:r>
        <w:rPr>
          <w:sz w:val="28"/>
          <w:szCs w:val="28"/>
        </w:rPr>
        <w:t xml:space="preserve">ему</w:t>
      </w:r>
      <w:r>
        <w:rPr>
          <w:sz w:val="28"/>
          <w:szCs w:val="28"/>
        </w:rPr>
        <w:t xml:space="preserve"> (далее – экспозиция)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дельник-четверг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18.00 час., пятница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 09.00 час. </w:t>
      </w:r>
      <w:r>
        <w:rPr>
          <w:sz w:val="28"/>
          <w:szCs w:val="28"/>
        </w:rPr>
        <w:br/>
        <w:t xml:space="preserve">д</w:t>
      </w:r>
      <w:r>
        <w:rPr>
          <w:sz w:val="28"/>
          <w:szCs w:val="28"/>
        </w:rPr>
        <w:t xml:space="preserve">о 17.00 час.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</w:t>
      </w:r>
      <w:r>
        <w:rPr>
          <w:sz w:val="28"/>
          <w:szCs w:val="28"/>
        </w:rPr>
        <w:t xml:space="preserve">ресу: 614015</w:t>
      </w:r>
      <w:r>
        <w:rPr>
          <w:sz w:val="28"/>
          <w:szCs w:val="28"/>
        </w:rPr>
        <w:t xml:space="preserve">, г. Пермь, ул. </w:t>
      </w:r>
      <w:r>
        <w:rPr>
          <w:sz w:val="28"/>
          <w:szCs w:val="28"/>
        </w:rPr>
        <w:t xml:space="preserve">Советская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каб. </w:t>
      </w:r>
      <w:r>
        <w:rPr>
          <w:sz w:val="28"/>
          <w:szCs w:val="28"/>
        </w:rPr>
        <w:t xml:space="preserve">304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управление по экол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гии и природопользованию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 консультирование посетителей экспозиции в часы работы экспозиции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адресу, указанному в п</w:t>
      </w:r>
      <w:r>
        <w:rPr>
          <w:sz w:val="28"/>
          <w:szCs w:val="28"/>
        </w:rPr>
        <w:t xml:space="preserve">ункте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 настоящего постановления;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направление от Главы города Перми в Пермскую городскую Думу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 проводимых публичных слушаниях</w:t>
      </w:r>
      <w:r>
        <w:rPr>
          <w:sz w:val="28"/>
          <w:szCs w:val="28"/>
        </w:rPr>
        <w:t xml:space="preserve"> с приложением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становления,</w:t>
      </w:r>
      <w:r>
        <w:rPr>
          <w:sz w:val="28"/>
          <w:szCs w:val="28"/>
        </w:rPr>
        <w:t xml:space="preserve"> Проекта и информационных материалов к нему не позднее </w:t>
      </w:r>
      <w:r>
        <w:rPr>
          <w:sz w:val="28"/>
          <w:szCs w:val="28"/>
        </w:rPr>
        <w:br/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6.5. проведение собрания участников публичных слушаний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своевременное оформление протокола публичных слушаний, подгото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ку и опубликов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заключения о результатах публичных слушаний </w:t>
        <w:br/>
        <w:t xml:space="preserve">в печатном средстве массовой информации «Официальный бюллетень органов местного 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моуправления муниципального образования город Пермь» </w:t>
        <w:br/>
        <w:t xml:space="preserve">и на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фициальном сай</w:t>
      </w:r>
      <w:r>
        <w:rPr>
          <w:sz w:val="28"/>
          <w:szCs w:val="28"/>
        </w:rPr>
        <w:t xml:space="preserve">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предложения и замечания по </w:t>
      </w:r>
      <w:r>
        <w:rPr>
          <w:sz w:val="28"/>
          <w:szCs w:val="28"/>
        </w:rPr>
        <w:t xml:space="preserve">Проекту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публичных слушаний, п</w:t>
      </w:r>
      <w:r>
        <w:rPr>
          <w:sz w:val="28"/>
          <w:szCs w:val="28"/>
        </w:rPr>
        <w:t xml:space="preserve">редставивших в целях</w:t>
      </w:r>
      <w:r>
        <w:rPr>
          <w:sz w:val="28"/>
          <w:szCs w:val="28"/>
        </w:rPr>
        <w:t xml:space="preserve"> идентификаци</w:t>
      </w:r>
      <w:r>
        <w:rPr>
          <w:sz w:val="28"/>
          <w:szCs w:val="28"/>
        </w:rPr>
        <w:t xml:space="preserve">и 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</w:t>
      </w:r>
      <w:r>
        <w:rPr>
          <w:sz w:val="28"/>
          <w:szCs w:val="28"/>
        </w:rPr>
        <w:t xml:space="preserve"> в соответствии с пунктом 1.5 Положения о порядке организации </w:t>
        <w:br/>
        <w:t xml:space="preserve">и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публичных слушаний по обсуждению проекта правил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утвержденного решением Пермской городской Думы </w:t>
      </w:r>
      <w:r>
        <w:rPr>
          <w:sz w:val="28"/>
          <w:szCs w:val="28"/>
        </w:rPr>
        <w:t xml:space="preserve">от 26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57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или </w:t>
      </w:r>
      <w:r>
        <w:rPr>
          <w:sz w:val="28"/>
          <w:szCs w:val="28"/>
        </w:rPr>
        <w:t xml:space="preserve">устно </w:t>
      </w:r>
      <w:r>
        <w:rPr>
          <w:sz w:val="28"/>
          <w:szCs w:val="28"/>
        </w:rPr>
        <w:t xml:space="preserve">в ходе проведения собрания участников публичных слуш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письменно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форме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</w:t>
      </w:r>
      <w:r>
        <w:rPr>
          <w:sz w:val="28"/>
          <w:szCs w:val="28"/>
        </w:rPr>
        <w:t xml:space="preserve">в Организа</w:t>
      </w:r>
      <w:r>
        <w:rPr>
          <w:sz w:val="28"/>
          <w:szCs w:val="28"/>
        </w:rPr>
        <w:t xml:space="preserve">ционный комитет по адресу: 614015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г. Пермь, </w:t>
        <w:br/>
        <w:t xml:space="preserve">ул. </w:t>
      </w:r>
      <w:r>
        <w:rPr>
          <w:sz w:val="28"/>
          <w:szCs w:val="28"/>
        </w:rPr>
        <w:t xml:space="preserve">Советская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 каб. </w:t>
      </w:r>
      <w:r>
        <w:rPr>
          <w:sz w:val="28"/>
          <w:szCs w:val="28"/>
        </w:rPr>
        <w:t xml:space="preserve">304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в электронном виде посредством заполнения электронной формы </w:t>
      </w:r>
      <w:r>
        <w:rPr>
          <w:sz w:val="28"/>
          <w:szCs w:val="28"/>
        </w:rPr>
        <w:t xml:space="preserve">на О</w:t>
      </w:r>
      <w:r>
        <w:rPr>
          <w:sz w:val="28"/>
          <w:szCs w:val="28"/>
        </w:rPr>
        <w:t xml:space="preserve">фициальном сайте в разделе «Гражданам/Интернет-приемная/Предложения к публичным</w:t>
      </w:r>
      <w:r>
        <w:rPr>
          <w:sz w:val="28"/>
          <w:szCs w:val="28"/>
        </w:rPr>
        <w:t xml:space="preserve"> слушаниям» (электронный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https://reception.gorodperm.ru/)</w:t>
      </w:r>
      <w:r>
        <w:rPr>
          <w:sz w:val="28"/>
          <w:szCs w:val="28"/>
        </w:rPr>
        <w:t xml:space="preserve"> в период </w:t>
      </w:r>
      <w:r>
        <w:rPr>
          <w:color w:val="000000"/>
          <w:sz w:val="28"/>
          <w:szCs w:val="28"/>
        </w:rPr>
        <w:t xml:space="preserve">с 0</w:t>
      </w:r>
      <w:r>
        <w:rPr>
          <w:color w:val="000000"/>
          <w:sz w:val="28"/>
          <w:szCs w:val="28"/>
        </w:rPr>
        <w:t xml:space="preserve">8 февраля 2025 г. по 24</w:t>
      </w:r>
      <w:r>
        <w:rPr>
          <w:color w:val="000000"/>
          <w:sz w:val="28"/>
          <w:szCs w:val="28"/>
        </w:rPr>
        <w:t xml:space="preserve"> февраля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книге (журнале) учета посетителей экспозиции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</w:t>
      </w:r>
      <w:r>
        <w:rPr>
          <w:sz w:val="28"/>
          <w:szCs w:val="28"/>
        </w:rPr>
        <w:t xml:space="preserve"> в период проведения экспозиции </w:t>
      </w:r>
      <w:r>
        <w:rPr>
          <w:sz w:val="28"/>
          <w:szCs w:val="28"/>
        </w:rPr>
        <w:t xml:space="preserve">в сроки, указанные в пункте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 настоящего постановления.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</w:t>
      </w:r>
      <w:r>
        <w:rPr>
          <w:sz w:val="28"/>
          <w:szCs w:val="28"/>
        </w:rPr>
        <w:t xml:space="preserve">участников публичных слушаний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ществляется с учетом требований, установленных Федеральным законом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27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2006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152-ФЗ «О персональных данных».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Назначить ответственным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 подготовку и проведение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</w:t>
      </w:r>
      <w:r>
        <w:rPr>
          <w:sz w:val="28"/>
          <w:szCs w:val="28"/>
        </w:rPr>
        <w:t xml:space="preserve">ний по обсуждению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исполняющего обязан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Норову М.В.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управление </w:t>
        <w:br/>
        <w:t xml:space="preserve">по экологии и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родопользованию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Перми.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по экологии и природопользованию</w:t>
      </w:r>
      <w:r>
        <w:rPr>
          <w:sz w:val="28"/>
          <w:szCs w:val="28"/>
        </w:rPr>
        <w:t xml:space="preserve"> администрации города Перми: 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.1. организовать необходимые мероприятия по подготовке </w:t>
      </w:r>
      <w:r>
        <w:rPr>
          <w:sz w:val="28"/>
          <w:szCs w:val="28"/>
        </w:rPr>
        <w:t xml:space="preserve">и проведению публичных слушаний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 обеспечить соблюдение требований нормативных правовых актов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 организации и проведению публичных слуш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ний;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организовать проведение первого заседания Организационного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и в дальнейшем осуществлять организационное и материально-техническое обеспечение его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информационных технологий администрации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обеспечить техническую поддержку проведения публичных слушаний, назн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ченных в соответствии с настоящим постановлением.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опубликования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</w:t>
      </w:r>
      <w:r>
        <w:rPr>
          <w:sz w:val="28"/>
          <w:szCs w:val="28"/>
        </w:rPr>
        <w:t xml:space="preserve">публикования в сетевом издании 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сполняющего обязан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 главы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</w:t>
      </w:r>
      <w:r>
        <w:rPr>
          <w:sz w:val="28"/>
          <w:szCs w:val="28"/>
        </w:rPr>
        <w:t xml:space="preserve">Норову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both"/>
        <w:spacing w:line="238" w:lineRule="exact"/>
        <w:tabs>
          <w:tab w:val="left" w:pos="8080" w:leader="none"/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left="5670" w:firstLine="720"/>
        <w:jc w:val="both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left="5670" w:firstLine="720"/>
        <w:jc w:val="both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left="5670" w:firstLine="720"/>
        <w:jc w:val="both"/>
        <w:tabs>
          <w:tab w:val="left" w:pos="3855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left="5670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pStyle w:val="899"/>
        <w:ind w:left="5670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left="5670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</w:p>
    <w:p>
      <w:pPr>
        <w:pStyle w:val="899"/>
        <w:ind w:left="5670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29.01.2025 № 7</w:t>
      </w:r>
      <w:r>
        <w:rPr>
          <w:sz w:val="28"/>
          <w:szCs w:val="28"/>
        </w:rPr>
      </w:r>
    </w:p>
    <w:p>
      <w:pPr>
        <w:pStyle w:val="899"/>
        <w:ind w:firstLine="5670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5670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5670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center"/>
        <w:spacing w:line="240" w:lineRule="exac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СОСТАВ</w:t>
      </w:r>
      <w:r>
        <w:rPr>
          <w:b/>
          <w:sz w:val="28"/>
          <w:szCs w:val="28"/>
          <w:lang w:val="en-US" w:eastAsia="en-US"/>
        </w:rPr>
      </w:r>
    </w:p>
    <w:p>
      <w:pPr>
        <w:pStyle w:val="899"/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 xml:space="preserve">организационного комитета по организации </w:t>
      </w:r>
      <w:r>
        <w:rPr>
          <w:b/>
          <w:sz w:val="28"/>
          <w:szCs w:val="28"/>
          <w:lang w:eastAsia="en-US"/>
        </w:rPr>
        <w:t xml:space="preserve">проведения 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899"/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публичных</w:t>
      </w:r>
      <w:r>
        <w:rPr>
          <w:b/>
          <w:sz w:val="28"/>
          <w:szCs w:val="28"/>
          <w:lang w:eastAsia="en-US"/>
        </w:rPr>
        <w:t xml:space="preserve"> слушани</w:t>
      </w:r>
      <w:r>
        <w:rPr>
          <w:b/>
          <w:sz w:val="28"/>
          <w:szCs w:val="28"/>
          <w:lang w:eastAsia="en-US"/>
        </w:rPr>
        <w:t xml:space="preserve">й</w:t>
      </w:r>
      <w:r>
        <w:rPr>
          <w:b/>
          <w:sz w:val="28"/>
          <w:szCs w:val="28"/>
          <w:lang w:eastAsia="en-US"/>
        </w:rPr>
        <w:t xml:space="preserve"> по обсуждению проекта решения 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899"/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Пермской городской Думы «О внесении изменений в Правила благоустройства территории города Перми, утвержденные решением Пермской городской Думы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от 15.12.2020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eastAsia="en-US"/>
        </w:rPr>
        <w:t xml:space="preserve">277</w:t>
      </w:r>
      <w:r>
        <w:rPr>
          <w:b/>
          <w:sz w:val="28"/>
          <w:szCs w:val="28"/>
          <w:lang w:eastAsia="en-US"/>
        </w:rPr>
        <w:t xml:space="preserve">,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в части </w:t>
      </w:r>
      <w:r>
        <w:rPr>
          <w:b/>
          <w:sz w:val="28"/>
          <w:szCs w:val="28"/>
          <w:lang w:eastAsia="en-US"/>
        </w:rPr>
        <w:t xml:space="preserve">озеленения</w:t>
      </w:r>
      <w:r>
        <w:rPr>
          <w:b/>
          <w:sz w:val="28"/>
          <w:szCs w:val="28"/>
          <w:lang w:eastAsia="en-US"/>
        </w:rPr>
        <w:t xml:space="preserve">»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899"/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899"/>
        <w:jc w:val="center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66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Николаевич</w:t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highlight w:val="yellow"/>
                <w:lang w:eastAsia="en-US"/>
              </w:rPr>
            </w:r>
            <w:r>
              <w:rPr>
                <w:b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управления по экологии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и природопользованию администрации города Перми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b/>
                <w:sz w:val="28"/>
                <w:szCs w:val="28"/>
                <w:highlight w:val="yellow"/>
                <w:lang w:eastAsia="en-US"/>
              </w:rPr>
            </w:r>
            <w:r>
              <w:rPr>
                <w:b/>
                <w:sz w:val="28"/>
                <w:szCs w:val="28"/>
                <w:highlight w:val="yellow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99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highlight w:val="yellow"/>
                <w:lang w:eastAsia="en-US"/>
              </w:rPr>
            </w:r>
            <w:r>
              <w:rPr>
                <w:b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Георгиевич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 xml:space="preserve">управления по экологии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природопользованию</w:t>
            </w:r>
            <w:r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Тимофеевна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начальника управления</w:t>
            </w:r>
            <w:r>
              <w:rPr>
                <w:sz w:val="28"/>
                <w:szCs w:val="28"/>
                <w:lang w:eastAsia="en-US"/>
              </w:rPr>
              <w:t xml:space="preserve">-начальник отдела правового обеспечения, </w:t>
            </w:r>
            <w:r>
              <w:rPr>
                <w:sz w:val="28"/>
                <w:szCs w:val="28"/>
                <w:lang w:eastAsia="en-US"/>
              </w:rPr>
              <w:t xml:space="preserve">лесного контроля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 контроля в области охраны и использования особо охраняемых природных территорий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управления по</w:t>
            </w:r>
            <w:r>
              <w:rPr>
                <w:sz w:val="28"/>
                <w:szCs w:val="28"/>
                <w:lang w:eastAsia="en-US"/>
              </w:rPr>
              <w:t xml:space="preserve"> </w:t>
            </w:r>
            <w:r>
              <w:rPr>
                <w:sz w:val="28"/>
                <w:szCs w:val="28"/>
                <w:lang w:eastAsia="en-US"/>
              </w:rPr>
              <w:t xml:space="preserve">экологии и природопользованию администрации города Перми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3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Никитская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Наталья Ивановна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89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89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89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Хохлов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Юрий Николаевич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Пермского регионального отделения Общероссийской общественной организации «Центр экологической политики и культуры»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Совет</w:t>
            </w:r>
            <w:r>
              <w:rPr>
                <w:sz w:val="28"/>
                <w:szCs w:val="28"/>
              </w:rPr>
              <w:t xml:space="preserve">а Пермского краевого отделения О</w:t>
            </w:r>
            <w:r>
              <w:rPr>
                <w:sz w:val="28"/>
                <w:szCs w:val="28"/>
              </w:rPr>
              <w:t xml:space="preserve">бщероссийской общественной организации «Всероссийское общество охраны природы»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89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9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27" w:type="dxa"/>
            <w:vAlign w:val="top"/>
            <w:textDirection w:val="lrTb"/>
            <w:noWrap w:val="false"/>
          </w:tcPr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9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left="595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pStyle w:val="899"/>
        <w:ind w:left="595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</w:p>
    <w:p>
      <w:pPr>
        <w:pStyle w:val="899"/>
        <w:ind w:left="595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left="595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29.01.2025 № 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9"/>
        <w:ind w:left="5040" w:firstLine="7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9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Проект вносится Главой города Перми</w:t>
      </w:r>
      <w:r>
        <w:rPr>
          <w:sz w:val="24"/>
          <w:szCs w:val="24"/>
        </w:rPr>
      </w:r>
    </w:p>
    <w:p>
      <w:pPr>
        <w:pStyle w:val="899"/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-22224</wp:posOffset>
                </wp:positionV>
                <wp:extent cx="531495" cy="669925"/>
                <wp:effectExtent l="0" t="0" r="0" b="0"/>
                <wp:wrapNone/>
                <wp:docPr id="4" name="_x0000_s30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3149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8242;o:allowoverlap:true;o:allowincell:true;mso-position-horizontal-relative:text;margin-left:226.35pt;mso-position-horizontal:absolute;mso-position-vertical-relative:text;margin-top:-1.75pt;mso-position-vertical:absolute;width:41.85pt;height:52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pStyle w:val="899"/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pStyle w:val="899"/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pStyle w:val="899"/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pStyle w:val="899"/>
        <w:ind w:firstLine="720"/>
        <w:jc w:val="center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  <w:szCs w:val="24"/>
        </w:rPr>
      </w:pP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pStyle w:val="899"/>
        <w:jc w:val="center"/>
        <w:widowControl w:val="of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Пермская городская Дума</w:t>
      </w:r>
      <w:r>
        <w:rPr>
          <w:b/>
          <w:bCs/>
          <w:sz w:val="36"/>
          <w:szCs w:val="36"/>
        </w:rPr>
      </w:r>
    </w:p>
    <w:p>
      <w:pPr>
        <w:pStyle w:val="899"/>
        <w:jc w:val="center"/>
        <w:spacing w:after="720"/>
        <w:rPr>
          <w:spacing w:val="50"/>
          <w:sz w:val="32"/>
          <w:szCs w:val="32"/>
        </w:rPr>
      </w:pPr>
      <w:r>
        <w:rPr>
          <w:spacing w:val="50"/>
          <w:sz w:val="32"/>
          <w:szCs w:val="32"/>
        </w:rPr>
        <w:t xml:space="preserve">РЕШЕНИЕ</w:t>
      </w:r>
      <w:r>
        <w:rPr>
          <w:spacing w:val="50"/>
          <w:sz w:val="32"/>
          <w:szCs w:val="32"/>
        </w:rPr>
      </w:r>
    </w:p>
    <w:p>
      <w:pPr>
        <w:pStyle w:val="89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  <w:lang w:eastAsia="ar-SA"/>
        </w:rPr>
      </w:r>
    </w:p>
    <w:p>
      <w:pPr>
        <w:pStyle w:val="89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  <w:lang w:eastAsia="ar-SA"/>
        </w:rPr>
      </w:r>
    </w:p>
    <w:p>
      <w:pPr>
        <w:pStyle w:val="899"/>
        <w:jc w:val="center"/>
        <w:rPr>
          <w:b/>
          <w:sz w:val="28"/>
          <w:szCs w:val="28"/>
          <w:highlight w:val="yellow"/>
          <w:lang w:eastAsia="en-US"/>
        </w:rPr>
      </w:pPr>
      <w:r>
        <w:rPr>
          <w:b/>
          <w:sz w:val="28"/>
          <w:szCs w:val="28"/>
          <w:lang w:eastAsia="ar-SA"/>
        </w:rPr>
        <w:t xml:space="preserve">от 15.12.2020 № 277</w:t>
      </w:r>
      <w:r>
        <w:rPr>
          <w:b/>
          <w:sz w:val="28"/>
          <w:szCs w:val="28"/>
          <w:lang w:eastAsia="ar-SA"/>
        </w:rPr>
        <w:t xml:space="preserve">,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в части </w:t>
      </w:r>
      <w:r>
        <w:rPr>
          <w:b/>
          <w:sz w:val="28"/>
          <w:szCs w:val="28"/>
          <w:lang w:eastAsia="en-US"/>
        </w:rPr>
        <w:t xml:space="preserve">озеленения</w:t>
      </w:r>
      <w:r>
        <w:rPr>
          <w:b/>
          <w:sz w:val="28"/>
          <w:szCs w:val="28"/>
          <w:highlight w:val="yellow"/>
          <w:lang w:eastAsia="en-US"/>
        </w:rPr>
      </w:r>
      <w:r>
        <w:rPr>
          <w:b/>
          <w:sz w:val="28"/>
          <w:szCs w:val="28"/>
          <w:highlight w:val="yellow"/>
          <w:lang w:eastAsia="en-US"/>
        </w:rPr>
      </w:r>
    </w:p>
    <w:p>
      <w:pPr>
        <w:pStyle w:val="899"/>
        <w:jc w:val="center"/>
        <w:spacing w:after="480"/>
        <w:rPr>
          <w:b/>
          <w:sz w:val="28"/>
          <w:szCs w:val="28"/>
          <w:highlight w:val="yellow"/>
          <w:lang w:eastAsia="ar-SA"/>
        </w:rPr>
      </w:pPr>
      <w:r>
        <w:rPr>
          <w:b/>
          <w:sz w:val="28"/>
          <w:szCs w:val="28"/>
          <w:highlight w:val="yellow"/>
          <w:lang w:eastAsia="ar-SA"/>
        </w:rPr>
      </w:r>
      <w:r>
        <w:rPr>
          <w:b/>
          <w:sz w:val="28"/>
          <w:szCs w:val="28"/>
          <w:highlight w:val="yellow"/>
          <w:lang w:eastAsia="ar-SA"/>
        </w:rPr>
      </w:r>
    </w:p>
    <w:p>
      <w:pPr>
        <w:pStyle w:val="899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jc w:val="both"/>
        <w:tabs>
          <w:tab w:val="left" w:pos="194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jc w:val="center"/>
        <w:spacing w:after="240"/>
        <w:rPr>
          <w:rFonts w:eastAsia="Calibri"/>
          <w:spacing w:val="5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8"/>
          <w:lang w:eastAsia="en-US"/>
        </w:rPr>
        <w:t xml:space="preserve">решила</w:t>
      </w:r>
      <w:r>
        <w:rPr>
          <w:rFonts w:eastAsia="Calibri"/>
          <w:b/>
          <w:spacing w:val="50"/>
          <w:sz w:val="28"/>
          <w:szCs w:val="28"/>
          <w:lang w:eastAsia="en-US"/>
        </w:rPr>
        <w:t xml:space="preserve">:</w:t>
      </w:r>
      <w:r>
        <w:rPr>
          <w:rFonts w:eastAsia="Calibri"/>
          <w:spacing w:val="50"/>
          <w:sz w:val="28"/>
          <w:szCs w:val="28"/>
          <w:lang w:eastAsia="en-US"/>
        </w:rPr>
      </w:r>
      <w:r>
        <w:rPr>
          <w:rFonts w:eastAsia="Calibri"/>
          <w:spacing w:val="50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Правила благоустройства территории города Перми, утвержденные решением Пермской городской Думы от 15.12.2020 № 277 (в ред. решений Пермской городской Думы от 24.02.2021 № 40, от 27.04.2021 № 102, </w:t>
        <w:br/>
        <w:t xml:space="preserve">от 24</w:t>
      </w:r>
      <w:r>
        <w:rPr>
          <w:rFonts w:eastAsia="Calibri"/>
          <w:sz w:val="28"/>
          <w:szCs w:val="28"/>
          <w:lang w:eastAsia="en-US"/>
        </w:rPr>
        <w:t xml:space="preserve">.0</w:t>
      </w:r>
      <w:r>
        <w:rPr>
          <w:rFonts w:eastAsia="Calibri"/>
          <w:sz w:val="28"/>
          <w:szCs w:val="28"/>
          <w:lang w:eastAsia="en-US"/>
        </w:rPr>
        <w:t xml:space="preserve">8.2021 № 182, от 24.08.2021 № 181, от 21.12.2021 № 307, от 26.04.2022 </w:t>
        <w:br/>
        <w:t xml:space="preserve">№ 81, от 26.04.2022 № 82, от 28.06.2022 № 144, от 23.08.2022 № 171, от 23.08.2022 № 173, от 23.08.2022 № 174, от 25.10.2022 № 233, от 15.11.2022 № 257, </w:t>
        <w:br/>
        <w:t xml:space="preserve">от 20.12.2022 № 271, от 20.12.20</w:t>
      </w:r>
      <w:r>
        <w:rPr>
          <w:rFonts w:eastAsia="Calibri"/>
          <w:sz w:val="28"/>
          <w:szCs w:val="28"/>
          <w:lang w:eastAsia="en-US"/>
        </w:rPr>
        <w:t xml:space="preserve">22 </w:t>
      </w:r>
      <w:r>
        <w:rPr>
          <w:rFonts w:eastAsia="Calibri"/>
          <w:sz w:val="28"/>
          <w:szCs w:val="28"/>
          <w:lang w:eastAsia="en-US"/>
        </w:rPr>
        <w:t xml:space="preserve">№ 276, от 20.12.2022 № 280, от 24.01.2023 </w:t>
        <w:br/>
        <w:t xml:space="preserve">№ 10, от 27.06.2023 № 117, от 26.09.2023 № 181, от 26.09.2023 № 182, </w:t>
        <w:br/>
        <w:t xml:space="preserve">от 26.09.2023 № 188, от 26.09.2023 № 189, от 26.09.2023 № 199, от 19.12.2023 </w:t>
        <w:br/>
        <w:t xml:space="preserve">№ 277, от 27.02.2024 № 27, от 26.03.2024 № 49, от 26.03.2024 № 54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23.04.2024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70, от 28.05.2024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95, </w:t>
      </w:r>
      <w:r>
        <w:rPr>
          <w:rFonts w:eastAsia="Calibri"/>
          <w:sz w:val="28"/>
          <w:szCs w:val="28"/>
          <w:lang w:eastAsia="en-US"/>
        </w:rPr>
        <w:t xml:space="preserve">от 2</w:t>
      </w:r>
      <w:r>
        <w:rPr>
          <w:rFonts w:eastAsia="Calibri"/>
          <w:sz w:val="28"/>
          <w:szCs w:val="28"/>
          <w:lang w:eastAsia="en-US"/>
        </w:rPr>
        <w:t xml:space="preserve">5.06.2024 № 107, </w:t>
      </w:r>
      <w:r>
        <w:rPr>
          <w:rFonts w:eastAsia="Calibri"/>
          <w:sz w:val="28"/>
          <w:szCs w:val="28"/>
          <w:lang w:eastAsia="en-US"/>
        </w:rPr>
        <w:t xml:space="preserve">от 25.06.2024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108,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25.06.2024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118,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24.09.2024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157,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22.10.2024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177, от 19.11.2024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от 19.11.2024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17.12.2024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229</w:t>
      </w:r>
      <w:r>
        <w:rPr>
          <w:rFonts w:eastAsia="Calibri"/>
          <w:sz w:val="28"/>
          <w:szCs w:val="28"/>
          <w:lang w:eastAsia="en-US"/>
        </w:rPr>
        <w:t xml:space="preserve">), следующие изменения: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 подпункт 2.1.18 после слов «в парках,» дополнить словами «ландшафтных парках,»;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 подпункт 2.1.27 после слова «парк,» дополнить словами «ландшафтный парк,»;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 подпункт 2.1.39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после слов «от корня» дополнить словами </w:t>
        <w:br/>
        <w:t xml:space="preserve">«с последующим удалением пня или опиливанием его на уровне поверхности почвы»;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 дополнить подпунктом 2.1.48 следующего содержания: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«2.1.48. ландшафтный парк – территория в границах муниципального образования, где со</w:t>
      </w:r>
      <w:r>
        <w:rPr>
          <w:rFonts w:eastAsia="Calibri"/>
          <w:sz w:val="28"/>
          <w:szCs w:val="28"/>
          <w:lang w:eastAsia="en-US"/>
        </w:rPr>
        <w:t xml:space="preserve">ч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таются сохраненные или воссозданные природные ландшафты и экосистемы с целенаправленно созданными территориями </w:t>
        <w:br/>
        <w:t xml:space="preserve">для рекреации и полноценного культурного круглогодичного отдыха в природной среде, совмещенного с познавательным природоохранным просвещением;»;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 подпункт 3.5.3 изложить в редакции: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«3.5.3. высота травостоя на газонах всех видов, расположенных на объектах озеленения общего пользова</w:t>
      </w:r>
      <w:r>
        <w:rPr>
          <w:rFonts w:eastAsia="Calibri"/>
          <w:sz w:val="28"/>
          <w:szCs w:val="28"/>
          <w:lang w:eastAsia="en-US"/>
        </w:rPr>
        <w:t xml:space="preserve">ния, должна соответствовать допустимой высоте травостоя, установленной Показателями состояния элементов благоустройства объектов озеленения общего пользования на территории города Перми (приложение 17 к Правилам) в отношении газонов соответствующих видов.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Высота травостоя на газонах, расположенных на иных территориях, должна составлять не менее 5 см для газонов партерного, обыкновенного и не менее 4 см для газона спортивного.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Уборка скошенной травы осуществляется не позднее чем на следующий день после дня завершения работ по ее кошению.»;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</w:t>
        <w:tab/>
        <w:t xml:space="preserve">абзац семнадцатый пункта 3.10 дополнить словами «ландшафтных парках,»;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 пункт 8.1 после слова «парки,» дополнить словами «ландшафтные парки,»;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1.8 абзац третий пункта 8.2 после слов «в парках,» дополнить словами «ландшафтных парках,»;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1.9 пункт 8.6 после слова «парк,» дополнить словами «ландшафтный парк»;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1.10 абзац второй пункта 9.4.4.2 после слова «парк,» дополнить словами «ландшафтный парк,»;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1.11 абзац первый пункта 12.2 после слов «сносу зеленых насаждений» дополнить словами «, с обязательным удалением пней или опиливанием их </w:t>
        <w:br/>
        <w:t xml:space="preserve">на уровне поверхности почвы,»;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1.12 </w:t>
      </w:r>
      <w:r>
        <w:rPr>
          <w:rFonts w:eastAsia="Calibri"/>
          <w:sz w:val="28"/>
          <w:szCs w:val="28"/>
          <w:lang w:eastAsia="en-US"/>
        </w:rPr>
        <w:t xml:space="preserve">в пункте 12.2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>
        <w:rPr>
          <w:rFonts w:eastAsia="Calibri"/>
          <w:sz w:val="28"/>
          <w:szCs w:val="28"/>
          <w:lang w:eastAsia="en-US"/>
        </w:rPr>
        <w:t xml:space="preserve">в таблице</w:t>
      </w:r>
      <w:r>
        <w:rPr>
          <w:rFonts w:eastAsia="Calibri"/>
          <w:sz w:val="28"/>
          <w:szCs w:val="28"/>
          <w:lang w:eastAsia="en-US"/>
        </w:rPr>
        <w:t xml:space="preserve"> 1 </w:t>
      </w:r>
      <w:r>
        <w:rPr>
          <w:rFonts w:eastAsia="Calibri"/>
          <w:sz w:val="28"/>
          <w:szCs w:val="28"/>
          <w:lang w:eastAsia="en-US"/>
        </w:rPr>
        <w:t xml:space="preserve">строку «Объекты озеленения общего пользования (парки, сады, скверы, бульвары)» </w:t>
      </w:r>
      <w:r>
        <w:rPr>
          <w:rFonts w:eastAsia="Calibri"/>
          <w:sz w:val="28"/>
          <w:szCs w:val="28"/>
          <w:lang w:eastAsia="en-US"/>
        </w:rPr>
        <w:t xml:space="preserve">после слова «парки,» дополнить словами «ландшафтные парки,»;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1.13 подпункт 12.4.1 после слов «в парках,» дополнить словами </w:t>
        <w:br/>
        <w:t xml:space="preserve">«в ландшафтных парках,»;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1.14 абзац первый подпункта 12.4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.1 после слова «парк,» дополнить словами «ландшафтный парк,»;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1.15 подпункт 12.4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.2 после слова «парки,» дополнить словами «ландшафтные парки,»;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1.16 абзац второй пункта 12.4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 после слов «мобильное озеленение» дополнить словами «, в том числе при выполнении компенсационных посадок зеленых насаждений, с учетом требований, установленных пунктом 12.4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, </w:t>
        <w:br/>
        <w:t xml:space="preserve">при производстве работ, связанных с решением вопросов местного значения </w:t>
        <w:br/>
        <w:t xml:space="preserve">за счет средств бюджета города Перми бюджетов других уровней бюджетной системы Российской Федерации»;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1.17 абзац первый подпункта 12.4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.4 изложить в редакции: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«12.4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.4. для мобильного озеленения используются емкости, выполненные из морозостойких, влагостойких, износостойких материалов (ар</w:t>
      </w:r>
      <w:r>
        <w:rPr>
          <w:rFonts w:eastAsia="Calibri"/>
          <w:sz w:val="28"/>
          <w:szCs w:val="28"/>
          <w:lang w:eastAsia="en-US"/>
        </w:rPr>
        <w:t xml:space="preserve">х</w:t>
      </w:r>
      <w:r>
        <w:rPr>
          <w:rFonts w:eastAsia="Calibri"/>
          <w:sz w:val="28"/>
          <w:szCs w:val="28"/>
          <w:lang w:eastAsia="en-US"/>
        </w:rPr>
        <w:t xml:space="preserve">итектурный бетон, бетон армированный, натуральный камень, сталь (нержавеющая, оцинкованная или черная) с дополнительным антикоррозионным и декоративным покрытием, древесина и древесные материалы с антисептической, огнестойкой </w:t>
        <w:br/>
        <w:t xml:space="preserve">и декоративной обработкой).»;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1.18 в пункте 12.12: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1.18.1 абзац первый после слова «парках,» дополнить словами «ландшафтных парках»;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1.18.2 абзац одиннадцатый после слова «парках,» дополнить словами «ландшафтных парках,»;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1.19 пункт 12.13 после слова «парках,» дополнить словами «ландшафтных парках,»;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1.20 в Порядке сноса и выполнения компенсационных посадок зеленых насаждений на территории города Перми (приложение 5):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1.20.1 абзац пятый пункта 1.12 изложить в редакции: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«отнесения зеленых насаждений к 5, 6 категориям состояния деревьев </w:t>
        <w:br/>
        <w:t xml:space="preserve">в соответс</w:t>
      </w:r>
      <w:r>
        <w:rPr>
          <w:rFonts w:eastAsia="Calibri"/>
          <w:sz w:val="28"/>
          <w:szCs w:val="28"/>
          <w:lang w:eastAsia="en-US"/>
        </w:rPr>
        <w:t xml:space="preserve">твии с Методикой и критериями оценки безопасности деревьев (категории состояния) для определения необходимости их сноса и (или) расчета восстановительной стоимости, утверждаемой уполномоченным исполнительным органом государственной власти Пермского края,»;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1.20.2 приложение признать утратившим силу.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решение вступает в силу с 01.09.2025.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</w:t>
      </w:r>
      <w:r>
        <w:rPr>
          <w:rFonts w:eastAsia="Calibri"/>
          <w:sz w:val="28"/>
          <w:szCs w:val="28"/>
          <w:lang w:eastAsia="en-US"/>
        </w:rPr>
        <w:t xml:space="preserve">ь</w:t>
      </w:r>
      <w:r>
        <w:rPr>
          <w:rFonts w:eastAsia="Calibri"/>
          <w:sz w:val="28"/>
          <w:szCs w:val="28"/>
          <w:lang w:eastAsia="en-US"/>
        </w:rPr>
        <w:t xml:space="preserve"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формационно-телекоммуникационной сети Интернет.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firstLine="720"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Пермской городской Думы</w:t>
        <w:tab/>
        <w:tab/>
        <w:tab/>
        <w:tab/>
        <w:tab/>
        <w:tab/>
        <w:tab/>
        <w:t xml:space="preserve">   Д.В. Малютин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jc w:val="both"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Перми</w:t>
        <w:tab/>
        <w:tab/>
        <w:tab/>
        <w:tab/>
        <w:tab/>
        <w:tab/>
        <w:tab/>
        <w:tab/>
      </w:r>
      <w:r>
        <w:rPr>
          <w:rFonts w:eastAsia="Calibri"/>
          <w:sz w:val="28"/>
          <w:szCs w:val="28"/>
          <w:lang w:eastAsia="en-US"/>
        </w:rPr>
        <w:t xml:space="preserve">       Э.О.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contextualSpacing/>
        <w:ind w:left="720"/>
        <w:spacing w:after="200"/>
        <w:rPr>
          <w:rFonts w:eastAsia="Calibri"/>
          <w:sz w:val="28"/>
          <w:szCs w:val="28"/>
          <w:lang w:eastAsia="en-US"/>
        </w:rPr>
        <w:sectPr>
          <w:headerReference w:type="even" r:id="rId11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</w:p>
    <w:p>
      <w:pPr>
        <w:pStyle w:val="89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</w:p>
    <w:p>
      <w:pPr>
        <w:pStyle w:val="89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29.01.2025 № 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center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center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center"/>
        <w:spacing w:line="240" w:lineRule="exact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center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ФОРМА</w:t>
      </w:r>
      <w:r>
        <w:rPr>
          <w:b/>
          <w:sz w:val="28"/>
          <w:szCs w:val="24"/>
        </w:rPr>
      </w:r>
    </w:p>
    <w:p>
      <w:pPr>
        <w:pStyle w:val="899"/>
        <w:jc w:val="center"/>
        <w:spacing w:line="240" w:lineRule="exact"/>
        <w:tabs>
          <w:tab w:val="left" w:pos="38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предложений и замечаний к</w:t>
      </w:r>
      <w:r>
        <w:rPr>
          <w:b/>
          <w:sz w:val="28"/>
          <w:szCs w:val="28"/>
        </w:rPr>
        <w:t xml:space="preserve"> проекту решения Пермской городской Думы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9"/>
        <w:jc w:val="center"/>
        <w:spacing w:line="240" w:lineRule="exact"/>
        <w:tabs>
          <w:tab w:val="left" w:pos="38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Правила благоустройства территории 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15.12.2020 № 277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</w:rPr>
        <w:t xml:space="preserve">озеленения</w:t>
      </w:r>
      <w:r>
        <w:rPr>
          <w:b/>
          <w:sz w:val="28"/>
          <w:szCs w:val="24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9"/>
        <w:spacing w:line="240" w:lineRule="exact"/>
        <w:tabs>
          <w:tab w:val="left" w:pos="3855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spacing w:line="240" w:lineRule="exact"/>
        <w:tabs>
          <w:tab w:val="left" w:pos="3855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jc w:val="center"/>
        <w:spacing w:line="240" w:lineRule="exact"/>
        <w:tabs>
          <w:tab w:val="left" w:pos="3855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ПРЕДЛОЖЕНИЯ И ЗАМЕЧАНИЯ</w:t>
      </w:r>
      <w:r>
        <w:rPr>
          <w:sz w:val="28"/>
          <w:szCs w:val="24"/>
        </w:rPr>
      </w:r>
    </w:p>
    <w:p>
      <w:pPr>
        <w:pStyle w:val="899"/>
        <w:jc w:val="center"/>
        <w:spacing w:line="240" w:lineRule="exact"/>
        <w:tabs>
          <w:tab w:val="left" w:pos="3855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к</w:t>
      </w:r>
      <w:r>
        <w:rPr>
          <w:sz w:val="28"/>
          <w:szCs w:val="24"/>
        </w:rPr>
        <w:t xml:space="preserve"> проекту решения Пермской городской Думы</w:t>
      </w:r>
      <w:r>
        <w:rPr>
          <w:sz w:val="28"/>
          <w:szCs w:val="24"/>
        </w:rPr>
      </w:r>
    </w:p>
    <w:p>
      <w:pPr>
        <w:pStyle w:val="899"/>
        <w:jc w:val="center"/>
        <w:spacing w:line="240" w:lineRule="exact"/>
        <w:tabs>
          <w:tab w:val="left" w:pos="3855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4"/>
        </w:rPr>
        <w:t xml:space="preserve">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части </w:t>
      </w:r>
      <w:r>
        <w:rPr>
          <w:sz w:val="28"/>
          <w:szCs w:val="24"/>
        </w:rPr>
        <w:t xml:space="preserve">озеленения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jc w:val="center"/>
        <w:tabs>
          <w:tab w:val="left" w:pos="3855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jc w:val="center"/>
        <w:tabs>
          <w:tab w:val="left" w:pos="3855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495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6"/>
        <w:gridCol w:w="2742"/>
        <w:gridCol w:w="2696"/>
        <w:gridCol w:w="2269"/>
        <w:gridCol w:w="18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№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Пункт, подпункт, абзац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Редакция проекта решения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Предлагаемая редакция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Обоснование</w:t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vAlign w:val="top"/>
            <w:vMerge w:val="restart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pct"/>
            <w:vAlign w:val="top"/>
            <w:vMerge w:val="restart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pct"/>
            <w:vAlign w:val="top"/>
            <w:vMerge w:val="restart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Align w:val="top"/>
            <w:vMerge w:val="restart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4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pct"/>
            <w:vAlign w:val="top"/>
            <w:vMerge w:val="restart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pct"/>
            <w:vAlign w:val="top"/>
            <w:textDirection w:val="lrTb"/>
            <w:noWrap w:val="false"/>
          </w:tcPr>
          <w:p>
            <w:pPr>
              <w:pStyle w:val="899"/>
              <w:jc w:val="center"/>
              <w:tabs>
                <w:tab w:val="left" w:pos="3855" w:leader="none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pPr>
        <w:pStyle w:val="899"/>
        <w:jc w:val="both"/>
        <w:tabs>
          <w:tab w:val="left" w:pos="3855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ind w:firstLine="709"/>
        <w:jc w:val="both"/>
        <w:tabs>
          <w:tab w:val="left" w:pos="3855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Фамилия, имя, отчество физического лица или наименование организации: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both"/>
        <w:tabs>
          <w:tab w:val="right" w:pos="9915" w:leader="none"/>
        </w:tabs>
        <w:rPr>
          <w:sz w:val="28"/>
          <w:szCs w:val="28"/>
        </w:rPr>
        <w:pBdr>
          <w:bottom w:val="single" w:color="000000" w:sz="4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Год рождения физического лица или дата создания организации:</w:t>
      </w:r>
      <w:r>
        <w:rPr>
          <w:sz w:val="28"/>
          <w:szCs w:val="28"/>
        </w:rPr>
      </w:r>
    </w:p>
    <w:p>
      <w:pPr>
        <w:pStyle w:val="899"/>
        <w:jc w:val="both"/>
        <w:tabs>
          <w:tab w:val="right" w:pos="9915" w:leader="none"/>
        </w:tabs>
        <w:rPr>
          <w:sz w:val="28"/>
          <w:szCs w:val="28"/>
        </w:rPr>
        <w:pBdr>
          <w:bottom w:val="single" w:color="000000" w:sz="4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  <w:pBdr>
          <w:bottom w:val="single" w:color="000000" w:sz="4" w:space="1"/>
        </w:pBdr>
      </w:pPr>
      <w:r>
        <w:rPr>
          <w:sz w:val="28"/>
          <w:szCs w:val="28"/>
        </w:rPr>
        <w:t xml:space="preserve">Адрес места жительства физического лица или места нахождения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ОГРН:</w:t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  <w:pBdr>
          <w:bottom w:val="single" w:color="000000" w:sz="4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Федеральным законом от 27 июля 2006 г. № 152-ФЗ </w:t>
        <w:br/>
        <w:t xml:space="preserve">«О персональных данных» даю согласие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по экологии </w:t>
        <w:br/>
        <w:t xml:space="preserve">и прир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допользованию а</w:t>
      </w:r>
      <w:r>
        <w:rPr>
          <w:sz w:val="28"/>
          <w:szCs w:val="28"/>
        </w:rPr>
        <w:t xml:space="preserve">дминистрации города Перми (614015</w:t>
      </w:r>
      <w:r>
        <w:rPr>
          <w:sz w:val="28"/>
          <w:szCs w:val="28"/>
        </w:rPr>
        <w:t xml:space="preserve">, г. Пермь, </w:t>
        <w:br/>
        <w:t xml:space="preserve">ул. Советская, д. 22, ИНН 5904082510, ОГРН 1025900514661) (далее –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ганизатор публичных слушаний), организационному комитету </w:t>
      </w:r>
      <w:r>
        <w:rPr>
          <w:sz w:val="28"/>
          <w:szCs w:val="28"/>
        </w:rPr>
        <w:br/>
        <w:t xml:space="preserve">по организации проведения публичных слушаний по обсуждению проекта решения Пермской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родской Думы «О внесении изменений в Правила благоустройства территории города Перми,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решением Пермской городской Думы </w:t>
      </w:r>
      <w:r>
        <w:rPr>
          <w:sz w:val="28"/>
          <w:szCs w:val="28"/>
        </w:rPr>
        <w:t xml:space="preserve">от 15.12.2020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277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озеленения</w:t>
      </w:r>
      <w:r>
        <w:rPr>
          <w:sz w:val="28"/>
          <w:szCs w:val="24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обработку </w:t>
      </w:r>
      <w:r>
        <w:rPr>
          <w:sz w:val="28"/>
          <w:szCs w:val="28"/>
        </w:rPr>
        <w:t xml:space="preserve">следующих персональных данных,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обходимых для участия в публичных слушаниях: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номер и серия документа, удостоверяющего личность, сведения о дате 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иные сведения, сообщаемые в составе замечаний и предложений, пода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организатору публичных слушаний.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обезличивание, бл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кирование, удаление, уничтожение персональных данных. </w:t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Согласие на извлечение, использование, передачу (предоставление, доступ) персональных данных предоставляется в отношении фамилии, имени, отчества участника публичных слушаний, а также сведений, сообщаемых в составе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чаний и предложений, поданных организатору публичных слушаний.</w:t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в течение срока хранения протокола публичных слушаний, установленного </w:t>
        <w:br/>
        <w:t xml:space="preserve">для хранения официальных документов.</w:t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Согласие* может быть отозвано полностью или частично в любое время </w:t>
        <w:br/>
        <w:t xml:space="preserve">на основании письменного заявления субъекта персональных данных, направленного организатору публичных слушаний в произвольной форме.</w:t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персональных </w:t>
      </w:r>
      <w:r>
        <w:rPr>
          <w:sz w:val="28"/>
          <w:szCs w:val="28"/>
        </w:rPr>
        <w:t xml:space="preserve">данных и (или) дачи согласия на их обработку влечет за собой отказ в принятии предложений и замечаний к проекту решения Пермской городской Думы «О внесении изменений в решение Пермской городской Думы от 15.11.2022 № 257 «О внесении изменений в Правила благ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устройства территории города Перми, утвержденные решением Пермской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ской Думы от 15.12.2020 № 277, в части </w:t>
      </w:r>
      <w:r>
        <w:rPr>
          <w:sz w:val="28"/>
          <w:szCs w:val="28"/>
        </w:rPr>
        <w:t xml:space="preserve">озеленения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Мне разъяснены юридические последствия отказа предоставить свои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нальные данные и (или</w:t>
      </w:r>
      <w:r>
        <w:rPr>
          <w:sz w:val="28"/>
          <w:szCs w:val="28"/>
        </w:rPr>
        <w:t xml:space="preserve">) дать согласие на их обработку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99"/>
        <w:ind w:firstLine="709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keepNext/>
        <w:rPr>
          <w:sz w:val="28"/>
          <w:szCs w:val="24"/>
        </w:rPr>
      </w:pPr>
      <w:r>
        <w:rPr>
          <w:sz w:val="28"/>
          <w:szCs w:val="24"/>
        </w:rPr>
        <w:t xml:space="preserve">Приложение</w:t>
      </w:r>
      <w:r>
        <w:rPr>
          <w:sz w:val="28"/>
          <w:szCs w:val="24"/>
        </w:rPr>
        <w:t xml:space="preserve">**: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rPr>
          <w:sz w:val="28"/>
          <w:szCs w:val="24"/>
        </w:rPr>
      </w:pPr>
      <w:r>
        <w:rPr>
          <w:sz w:val="28"/>
          <w:szCs w:val="24"/>
        </w:rPr>
        <w:t xml:space="preserve">1. ____________________________________________________________________</w:t>
      </w:r>
      <w:r>
        <w:rPr>
          <w:sz w:val="28"/>
          <w:szCs w:val="24"/>
        </w:rPr>
      </w:r>
    </w:p>
    <w:p>
      <w:pPr>
        <w:pStyle w:val="899"/>
        <w:rPr>
          <w:sz w:val="28"/>
          <w:szCs w:val="24"/>
        </w:rPr>
      </w:pPr>
      <w:r>
        <w:rPr>
          <w:sz w:val="28"/>
          <w:szCs w:val="24"/>
        </w:rPr>
        <w:t xml:space="preserve">2. ____________________________________________________________________</w:t>
      </w:r>
      <w:r>
        <w:rPr>
          <w:sz w:val="28"/>
          <w:szCs w:val="24"/>
        </w:rPr>
      </w:r>
    </w:p>
    <w:p>
      <w:pPr>
        <w:pStyle w:val="899"/>
        <w:ind w:left="4956" w:firstLine="708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ind w:left="4956" w:firstLine="708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rPr>
          <w:sz w:val="28"/>
          <w:szCs w:val="24"/>
        </w:rPr>
      </w:pPr>
      <w:r>
        <w:rPr>
          <w:sz w:val="28"/>
          <w:szCs w:val="24"/>
        </w:rPr>
        <w:t xml:space="preserve">______________________________________________________________________</w:t>
      </w:r>
      <w:r>
        <w:rPr>
          <w:sz w:val="28"/>
          <w:szCs w:val="24"/>
        </w:rPr>
      </w:r>
    </w:p>
    <w:p>
      <w:pPr>
        <w:pStyle w:val="8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(дата, </w:t>
      </w:r>
      <w:r>
        <w:rPr>
          <w:sz w:val="24"/>
          <w:szCs w:val="24"/>
        </w:rPr>
        <w:t xml:space="preserve">Ф.И.О.,</w:t>
      </w:r>
      <w:r>
        <w:rPr>
          <w:sz w:val="24"/>
          <w:szCs w:val="24"/>
        </w:rPr>
        <w:t xml:space="preserve"> 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9"/>
        <w:jc w:val="both"/>
        <w:tabs>
          <w:tab w:val="right" w:pos="9915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jc w:val="both"/>
        <w:tabs>
          <w:tab w:val="right" w:pos="9915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jc w:val="both"/>
        <w:tabs>
          <w:tab w:val="right" w:pos="9915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-------------------------------------------------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9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* Согласие на обработку персональных данных может быть отозвано субъектом перс</w:t>
      </w:r>
      <w:r>
        <w:rPr>
          <w:sz w:val="24"/>
          <w:szCs w:val="28"/>
        </w:rPr>
        <w:t xml:space="preserve">о</w:t>
      </w:r>
      <w:r>
        <w:rPr>
          <w:sz w:val="24"/>
          <w:szCs w:val="28"/>
        </w:rPr>
        <w:t xml:space="preserve">нальных данных на основании письменного заявления.</w:t>
      </w:r>
      <w:r>
        <w:rPr>
          <w:sz w:val="24"/>
          <w:szCs w:val="28"/>
        </w:rPr>
      </w:r>
    </w:p>
    <w:p>
      <w:pPr>
        <w:pStyle w:val="899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** Указываются и прикладываются документы (копии), подтверждающие сведения </w:t>
        <w:br/>
        <w:t xml:space="preserve">в с</w:t>
      </w:r>
      <w:r>
        <w:rPr>
          <w:sz w:val="24"/>
          <w:szCs w:val="28"/>
        </w:rPr>
        <w:t xml:space="preserve">о</w:t>
      </w:r>
      <w:r>
        <w:rPr>
          <w:sz w:val="24"/>
          <w:szCs w:val="28"/>
        </w:rPr>
        <w:t xml:space="preserve">ответствии с пунктом 1.5</w:t>
      </w:r>
      <w:r>
        <w:rPr>
          <w:sz w:val="18"/>
        </w:rPr>
        <w:t xml:space="preserve"> </w:t>
      </w:r>
      <w:r>
        <w:rPr>
          <w:sz w:val="24"/>
          <w:szCs w:val="28"/>
        </w:rPr>
        <w:t xml:space="preserve">Положения о порядке организации и проведения публичных слуш</w:t>
      </w:r>
      <w:r>
        <w:rPr>
          <w:sz w:val="24"/>
          <w:szCs w:val="28"/>
        </w:rPr>
        <w:t xml:space="preserve">а</w:t>
      </w:r>
      <w:r>
        <w:rPr>
          <w:sz w:val="24"/>
          <w:szCs w:val="28"/>
        </w:rPr>
        <w:t xml:space="preserve">ний по обсуждению проекта правил благоустройства территории города Перми, утвержденн</w:t>
      </w:r>
      <w:r>
        <w:rPr>
          <w:sz w:val="24"/>
          <w:szCs w:val="28"/>
        </w:rPr>
        <w:t xml:space="preserve">ого </w:t>
      </w:r>
      <w:r>
        <w:rPr>
          <w:sz w:val="24"/>
          <w:szCs w:val="28"/>
        </w:rPr>
        <w:t xml:space="preserve">решением П</w:t>
      </w:r>
      <w:r>
        <w:rPr>
          <w:sz w:val="24"/>
          <w:szCs w:val="28"/>
        </w:rPr>
        <w:t xml:space="preserve">ермской городской Думы от 26 марта </w:t>
      </w:r>
      <w:r>
        <w:rPr>
          <w:sz w:val="24"/>
          <w:szCs w:val="28"/>
        </w:rPr>
        <w:t xml:space="preserve">2019</w:t>
      </w:r>
      <w:r>
        <w:rPr>
          <w:sz w:val="24"/>
          <w:szCs w:val="28"/>
        </w:rPr>
        <w:t xml:space="preserve"> г.</w:t>
      </w:r>
      <w:r>
        <w:rPr>
          <w:sz w:val="24"/>
          <w:szCs w:val="28"/>
        </w:rPr>
        <w:t xml:space="preserve"> № 57.</w:t>
      </w:r>
      <w:r>
        <w:rPr>
          <w:sz w:val="24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00603000000000000"/>
  </w:font>
  <w:font w:name="Liberation Serif">
    <w:panose1 w:val="02020603050405020304"/>
  </w:font>
  <w:font w:name="Times New Roman">
    <w:panose1 w:val="02020603050405020304"/>
  </w:font>
  <w:font w:name="Cambria">
    <w:panose1 w:val="02040803050406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9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15.1.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936" w:hanging="936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936" w:hanging="936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936" w:hanging="936"/>
      </w:pPr>
      <w:rPr>
        <w:color w:val="000000"/>
      </w:rPr>
    </w:lvl>
    <w:lvl w:ilvl="3">
      <w:start w:val="5"/>
      <w:numFmt w:val="decimal"/>
      <w:isLgl w:val="false"/>
      <w:suff w:val="tab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44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00" w:hanging="2160"/>
      </w:p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15.1.1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>
    <w:name w:val="Heading 1"/>
    <w:basedOn w:val="899"/>
    <w:next w:val="899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2">
    <w:name w:val="Heading 1 Char"/>
    <w:link w:val="721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9"/>
    <w:next w:val="899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9"/>
    <w:next w:val="899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9"/>
    <w:next w:val="899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9"/>
    <w:next w:val="899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9"/>
    <w:next w:val="899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9"/>
    <w:next w:val="899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9"/>
    <w:next w:val="899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9"/>
    <w:next w:val="899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899"/>
    <w:uiPriority w:val="34"/>
    <w:qFormat/>
    <w:pPr>
      <w:contextualSpacing/>
      <w:ind w:left="720"/>
    </w:pPr>
  </w:style>
  <w:style w:type="paragraph" w:styleId="740">
    <w:name w:val="No Spacing"/>
    <w:uiPriority w:val="1"/>
    <w:qFormat/>
    <w:pPr>
      <w:spacing w:before="0" w:after="0" w:line="240" w:lineRule="auto"/>
    </w:pPr>
  </w:style>
  <w:style w:type="paragraph" w:styleId="741">
    <w:name w:val="Title"/>
    <w:basedOn w:val="899"/>
    <w:next w:val="899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>
    <w:name w:val="Title Char"/>
    <w:link w:val="741"/>
    <w:uiPriority w:val="10"/>
    <w:rPr>
      <w:sz w:val="48"/>
      <w:szCs w:val="48"/>
    </w:rPr>
  </w:style>
  <w:style w:type="paragraph" w:styleId="743">
    <w:name w:val="Subtitle"/>
    <w:basedOn w:val="899"/>
    <w:next w:val="899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>
    <w:name w:val="Subtitle Char"/>
    <w:link w:val="743"/>
    <w:uiPriority w:val="11"/>
    <w:rPr>
      <w:sz w:val="24"/>
      <w:szCs w:val="24"/>
    </w:rPr>
  </w:style>
  <w:style w:type="paragraph" w:styleId="745">
    <w:name w:val="Quote"/>
    <w:basedOn w:val="899"/>
    <w:next w:val="899"/>
    <w:link w:val="746"/>
    <w:uiPriority w:val="29"/>
    <w:qFormat/>
    <w:pPr>
      <w:ind w:left="720" w:right="720"/>
    </w:pPr>
    <w:rPr>
      <w:i/>
    </w:rPr>
  </w:style>
  <w:style w:type="character" w:styleId="746">
    <w:name w:val="Quote Char"/>
    <w:link w:val="745"/>
    <w:uiPriority w:val="29"/>
    <w:rPr>
      <w:i/>
    </w:rPr>
  </w:style>
  <w:style w:type="paragraph" w:styleId="747">
    <w:name w:val="Intense Quote"/>
    <w:basedOn w:val="899"/>
    <w:next w:val="899"/>
    <w:link w:val="7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>
    <w:name w:val="Intense Quote Char"/>
    <w:link w:val="747"/>
    <w:uiPriority w:val="30"/>
    <w:rPr>
      <w:i/>
    </w:rPr>
  </w:style>
  <w:style w:type="paragraph" w:styleId="749">
    <w:name w:val="Header"/>
    <w:basedOn w:val="899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Header Char"/>
    <w:link w:val="749"/>
    <w:uiPriority w:val="99"/>
  </w:style>
  <w:style w:type="paragraph" w:styleId="751">
    <w:name w:val="Footer"/>
    <w:basedOn w:val="899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Footer Char"/>
    <w:link w:val="751"/>
    <w:uiPriority w:val="99"/>
  </w:style>
  <w:style w:type="paragraph" w:styleId="753">
    <w:name w:val="Caption"/>
    <w:basedOn w:val="899"/>
    <w:next w:val="8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751"/>
    <w:uiPriority w:val="99"/>
  </w:style>
  <w:style w:type="table" w:styleId="75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899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>
    <w:name w:val="Footnote Text Char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899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>
    <w:name w:val="Endnote Text Char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ind w:left="0" w:right="0" w:firstLine="0"/>
      <w:spacing w:after="57"/>
    </w:pPr>
  </w:style>
  <w:style w:type="paragraph" w:styleId="889">
    <w:name w:val="toc 2"/>
    <w:basedOn w:val="899"/>
    <w:next w:val="899"/>
    <w:uiPriority w:val="39"/>
    <w:unhideWhenUsed/>
    <w:pPr>
      <w:ind w:left="283" w:right="0" w:firstLine="0"/>
      <w:spacing w:after="57"/>
    </w:pPr>
  </w:style>
  <w:style w:type="paragraph" w:styleId="890">
    <w:name w:val="toc 3"/>
    <w:basedOn w:val="899"/>
    <w:next w:val="899"/>
    <w:uiPriority w:val="39"/>
    <w:unhideWhenUsed/>
    <w:pPr>
      <w:ind w:left="567" w:right="0" w:firstLine="0"/>
      <w:spacing w:after="57"/>
    </w:pPr>
  </w:style>
  <w:style w:type="paragraph" w:styleId="891">
    <w:name w:val="toc 4"/>
    <w:basedOn w:val="899"/>
    <w:next w:val="899"/>
    <w:uiPriority w:val="39"/>
    <w:unhideWhenUsed/>
    <w:pPr>
      <w:ind w:left="850" w:right="0" w:firstLine="0"/>
      <w:spacing w:after="57"/>
    </w:pPr>
  </w:style>
  <w:style w:type="paragraph" w:styleId="892">
    <w:name w:val="toc 5"/>
    <w:basedOn w:val="899"/>
    <w:next w:val="899"/>
    <w:uiPriority w:val="39"/>
    <w:unhideWhenUsed/>
    <w:pPr>
      <w:ind w:left="1134" w:right="0" w:firstLine="0"/>
      <w:spacing w:after="57"/>
    </w:pPr>
  </w:style>
  <w:style w:type="paragraph" w:styleId="893">
    <w:name w:val="toc 6"/>
    <w:basedOn w:val="899"/>
    <w:next w:val="899"/>
    <w:uiPriority w:val="39"/>
    <w:unhideWhenUsed/>
    <w:pPr>
      <w:ind w:left="1417" w:right="0" w:firstLine="0"/>
      <w:spacing w:after="57"/>
    </w:pPr>
  </w:style>
  <w:style w:type="paragraph" w:styleId="894">
    <w:name w:val="toc 7"/>
    <w:basedOn w:val="899"/>
    <w:next w:val="899"/>
    <w:uiPriority w:val="39"/>
    <w:unhideWhenUsed/>
    <w:pPr>
      <w:ind w:left="1701" w:right="0" w:firstLine="0"/>
      <w:spacing w:after="57"/>
    </w:pPr>
  </w:style>
  <w:style w:type="paragraph" w:styleId="895">
    <w:name w:val="toc 8"/>
    <w:basedOn w:val="899"/>
    <w:next w:val="899"/>
    <w:uiPriority w:val="39"/>
    <w:unhideWhenUsed/>
    <w:pPr>
      <w:ind w:left="1984" w:right="0" w:firstLine="0"/>
      <w:spacing w:after="57"/>
    </w:pPr>
  </w:style>
  <w:style w:type="paragraph" w:styleId="896">
    <w:name w:val="toc 9"/>
    <w:basedOn w:val="899"/>
    <w:next w:val="899"/>
    <w:uiPriority w:val="39"/>
    <w:unhideWhenUsed/>
    <w:pPr>
      <w:ind w:left="2268" w:right="0" w:firstLine="0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899"/>
    <w:next w:val="899"/>
    <w:uiPriority w:val="99"/>
    <w:unhideWhenUsed/>
    <w:pPr>
      <w:spacing w:after="0" w:afterAutospacing="0"/>
    </w:pPr>
  </w:style>
  <w:style w:type="paragraph" w:styleId="899" w:default="1">
    <w:name w:val="Normal"/>
    <w:next w:val="899"/>
    <w:link w:val="899"/>
    <w:qFormat/>
    <w:rPr>
      <w:lang w:val="ru-RU" w:eastAsia="ru-RU" w:bidi="ar-SA"/>
    </w:rPr>
  </w:style>
  <w:style w:type="paragraph" w:styleId="900">
    <w:name w:val="Заголовок 1"/>
    <w:basedOn w:val="899"/>
    <w:next w:val="899"/>
    <w:link w:val="937"/>
    <w:qFormat/>
    <w:pPr>
      <w:ind w:right="-1" w:firstLine="709"/>
      <w:jc w:val="both"/>
      <w:keepNext/>
      <w:outlineLvl w:val="0"/>
    </w:pPr>
    <w:rPr>
      <w:sz w:val="24"/>
    </w:rPr>
  </w:style>
  <w:style w:type="paragraph" w:styleId="901">
    <w:name w:val="Заголовок 2"/>
    <w:basedOn w:val="899"/>
    <w:next w:val="899"/>
    <w:link w:val="938"/>
    <w:qFormat/>
    <w:pPr>
      <w:ind w:right="-1"/>
      <w:jc w:val="both"/>
      <w:keepNext/>
      <w:outlineLvl w:val="1"/>
    </w:pPr>
    <w:rPr>
      <w:sz w:val="24"/>
    </w:rPr>
  </w:style>
  <w:style w:type="character" w:styleId="902">
    <w:name w:val="Основной шрифт абзаца"/>
    <w:next w:val="902"/>
    <w:link w:val="899"/>
    <w:semiHidden/>
  </w:style>
  <w:style w:type="table" w:styleId="903">
    <w:name w:val="Обычная таблица"/>
    <w:next w:val="903"/>
    <w:link w:val="899"/>
    <w:semiHidden/>
    <w:tblPr/>
  </w:style>
  <w:style w:type="numbering" w:styleId="904">
    <w:name w:val="Нет списка"/>
    <w:next w:val="904"/>
    <w:link w:val="899"/>
    <w:uiPriority w:val="99"/>
    <w:semiHidden/>
  </w:style>
  <w:style w:type="paragraph" w:styleId="905">
    <w:name w:val="Название объекта"/>
    <w:basedOn w:val="899"/>
    <w:next w:val="899"/>
    <w:link w:val="8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6">
    <w:name w:val="Основной текст"/>
    <w:basedOn w:val="899"/>
    <w:next w:val="906"/>
    <w:link w:val="926"/>
    <w:pPr>
      <w:ind w:right="3117"/>
    </w:pPr>
    <w:rPr>
      <w:rFonts w:ascii="Courier New" w:hAnsi="Courier New"/>
      <w:sz w:val="26"/>
    </w:rPr>
  </w:style>
  <w:style w:type="paragraph" w:styleId="907">
    <w:name w:val="Основной текст с отступом"/>
    <w:basedOn w:val="899"/>
    <w:next w:val="907"/>
    <w:link w:val="939"/>
    <w:pPr>
      <w:ind w:right="-1"/>
      <w:jc w:val="both"/>
    </w:pPr>
    <w:rPr>
      <w:sz w:val="26"/>
    </w:rPr>
  </w:style>
  <w:style w:type="paragraph" w:styleId="908">
    <w:name w:val="Нижний колонтитул"/>
    <w:basedOn w:val="899"/>
    <w:next w:val="908"/>
    <w:link w:val="922"/>
    <w:pPr>
      <w:tabs>
        <w:tab w:val="center" w:pos="4153" w:leader="none"/>
        <w:tab w:val="right" w:pos="8306" w:leader="none"/>
      </w:tabs>
    </w:pPr>
  </w:style>
  <w:style w:type="character" w:styleId="909">
    <w:name w:val="Номер страницы"/>
    <w:basedOn w:val="902"/>
    <w:next w:val="909"/>
    <w:link w:val="899"/>
  </w:style>
  <w:style w:type="paragraph" w:styleId="910">
    <w:name w:val="Верхний колонтитул"/>
    <w:basedOn w:val="899"/>
    <w:next w:val="910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911">
    <w:name w:val="Верхний колонтитул Знак"/>
    <w:next w:val="911"/>
    <w:link w:val="910"/>
    <w:uiPriority w:val="99"/>
  </w:style>
  <w:style w:type="paragraph" w:styleId="912">
    <w:name w:val="Текст выноски"/>
    <w:basedOn w:val="899"/>
    <w:next w:val="912"/>
    <w:link w:val="913"/>
    <w:uiPriority w:val="99"/>
    <w:rPr>
      <w:rFonts w:ascii="Segoe UI" w:hAnsi="Segoe UI" w:cs="Segoe UI"/>
      <w:sz w:val="18"/>
      <w:szCs w:val="18"/>
    </w:rPr>
  </w:style>
  <w:style w:type="character" w:styleId="913">
    <w:name w:val="Текст выноски Знак"/>
    <w:next w:val="913"/>
    <w:link w:val="912"/>
    <w:uiPriority w:val="99"/>
    <w:rPr>
      <w:rFonts w:ascii="Segoe UI" w:hAnsi="Segoe UI" w:cs="Segoe UI"/>
      <w:sz w:val="18"/>
      <w:szCs w:val="18"/>
    </w:rPr>
  </w:style>
  <w:style w:type="table" w:styleId="914">
    <w:name w:val="Сетка таблицы"/>
    <w:basedOn w:val="903"/>
    <w:next w:val="914"/>
    <w:link w:val="899"/>
    <w:uiPriority w:val="59"/>
    <w:tblPr/>
  </w:style>
  <w:style w:type="character" w:styleId="915">
    <w:name w:val="Гиперссылка"/>
    <w:next w:val="915"/>
    <w:link w:val="899"/>
    <w:rPr>
      <w:color w:val="0000ff"/>
      <w:u w:val="single"/>
    </w:rPr>
  </w:style>
  <w:style w:type="paragraph" w:styleId="916">
    <w:name w:val="ConsPlusNormal"/>
    <w:next w:val="916"/>
    <w:link w:val="93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7">
    <w:name w:val="ConsPlusTitle"/>
    <w:next w:val="917"/>
    <w:link w:val="8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18">
    <w:name w:val="ConsPlusNonformat"/>
    <w:next w:val="918"/>
    <w:link w:val="8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9">
    <w:name w:val="Название"/>
    <w:basedOn w:val="899"/>
    <w:next w:val="899"/>
    <w:link w:val="920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920">
    <w:name w:val="Название Знак"/>
    <w:next w:val="920"/>
    <w:link w:val="919"/>
    <w:rPr>
      <w:rFonts w:ascii="Cambria" w:hAnsi="Cambria" w:eastAsia="Times New Roman" w:cs="Times New Roman"/>
      <w:b/>
      <w:bCs/>
      <w:sz w:val="32"/>
      <w:szCs w:val="32"/>
    </w:rPr>
  </w:style>
  <w:style w:type="numbering" w:styleId="921">
    <w:name w:val="Нет списка1"/>
    <w:next w:val="904"/>
    <w:link w:val="899"/>
    <w:semiHidden/>
  </w:style>
  <w:style w:type="character" w:styleId="922">
    <w:name w:val="Нижний колонтитул Знак"/>
    <w:next w:val="922"/>
    <w:link w:val="908"/>
  </w:style>
  <w:style w:type="paragraph" w:styleId="923">
    <w:name w:val="Форма"/>
    <w:next w:val="923"/>
    <w:link w:val="899"/>
    <w:rPr>
      <w:sz w:val="28"/>
      <w:szCs w:val="28"/>
      <w:lang w:val="ru-RU" w:eastAsia="ru-RU" w:bidi="ar-SA"/>
    </w:rPr>
  </w:style>
  <w:style w:type="paragraph" w:styleId="924">
    <w:name w:val="Регистр"/>
    <w:next w:val="924"/>
    <w:link w:val="899"/>
    <w:rPr>
      <w:sz w:val="28"/>
      <w:lang w:val="ru-RU" w:eastAsia="ru-RU" w:bidi="ar-SA"/>
    </w:rPr>
  </w:style>
  <w:style w:type="paragraph" w:styleId="925">
    <w:name w:val="Исполнитель"/>
    <w:basedOn w:val="906"/>
    <w:next w:val="925"/>
    <w:link w:val="899"/>
    <w:pPr>
      <w:ind w:right="0"/>
      <w:spacing w:line="240" w:lineRule="exact"/>
    </w:pPr>
    <w:rPr>
      <w:rFonts w:ascii="Times New Roman" w:hAnsi="Times New Roman"/>
      <w:sz w:val="24"/>
      <w:lang w:val="en-US" w:eastAsia="en-US"/>
    </w:rPr>
  </w:style>
  <w:style w:type="character" w:styleId="926">
    <w:name w:val="Основной текст Знак"/>
    <w:next w:val="926"/>
    <w:link w:val="906"/>
    <w:rPr>
      <w:rFonts w:ascii="Courier New" w:hAnsi="Courier New"/>
      <w:sz w:val="26"/>
    </w:rPr>
  </w:style>
  <w:style w:type="paragraph" w:styleId="927">
    <w:name w:val="Заголовок к тексту"/>
    <w:basedOn w:val="899"/>
    <w:next w:val="906"/>
    <w:link w:val="899"/>
    <w:pPr>
      <w:spacing w:after="480" w:line="240" w:lineRule="exact"/>
    </w:pPr>
    <w:rPr>
      <w:b/>
      <w:sz w:val="28"/>
    </w:rPr>
  </w:style>
  <w:style w:type="paragraph" w:styleId="928">
    <w:name w:val="Абзац списка"/>
    <w:basedOn w:val="899"/>
    <w:next w:val="928"/>
    <w:link w:val="89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29">
    <w:name w:val="Знак примечания"/>
    <w:next w:val="929"/>
    <w:link w:val="899"/>
    <w:rPr>
      <w:sz w:val="16"/>
      <w:szCs w:val="16"/>
    </w:rPr>
  </w:style>
  <w:style w:type="paragraph" w:styleId="930">
    <w:name w:val="Текст примечания"/>
    <w:basedOn w:val="899"/>
    <w:next w:val="930"/>
    <w:link w:val="931"/>
    <w:pPr>
      <w:ind w:firstLine="720"/>
      <w:jc w:val="both"/>
      <w:spacing w:line="360" w:lineRule="exact"/>
    </w:pPr>
  </w:style>
  <w:style w:type="character" w:styleId="931">
    <w:name w:val="Текст примечания Знак"/>
    <w:basedOn w:val="902"/>
    <w:next w:val="931"/>
    <w:link w:val="930"/>
  </w:style>
  <w:style w:type="paragraph" w:styleId="932">
    <w:name w:val="Тема примечания"/>
    <w:basedOn w:val="930"/>
    <w:next w:val="930"/>
    <w:link w:val="933"/>
    <w:rPr>
      <w:b/>
      <w:bCs/>
    </w:rPr>
  </w:style>
  <w:style w:type="character" w:styleId="933">
    <w:name w:val="Тема примечания Знак"/>
    <w:next w:val="933"/>
    <w:link w:val="932"/>
    <w:rPr>
      <w:b/>
      <w:bCs/>
    </w:rPr>
  </w:style>
  <w:style w:type="character" w:styleId="934">
    <w:name w:val="ConsPlusNormal Знак"/>
    <w:next w:val="934"/>
    <w:link w:val="916"/>
    <w:rPr>
      <w:rFonts w:ascii="Calibri" w:hAnsi="Calibri" w:cs="Calibri"/>
      <w:sz w:val="22"/>
    </w:rPr>
  </w:style>
  <w:style w:type="character" w:styleId="935">
    <w:name w:val="Основной текст (2)_"/>
    <w:next w:val="935"/>
    <w:link w:val="936"/>
    <w:rPr>
      <w:sz w:val="28"/>
      <w:szCs w:val="28"/>
      <w:shd w:val="clear" w:color="auto" w:fill="ffffff"/>
    </w:rPr>
  </w:style>
  <w:style w:type="paragraph" w:styleId="936">
    <w:name w:val="Основной текст (2)"/>
    <w:basedOn w:val="899"/>
    <w:next w:val="936"/>
    <w:link w:val="935"/>
    <w:pPr>
      <w:spacing w:line="322" w:lineRule="exact"/>
      <w:shd w:val="clear" w:color="auto" w:fill="ffffff"/>
      <w:widowControl w:val="off"/>
    </w:pPr>
    <w:rPr>
      <w:sz w:val="28"/>
      <w:szCs w:val="28"/>
    </w:rPr>
  </w:style>
  <w:style w:type="character" w:styleId="937">
    <w:name w:val="Заголовок 1 Знак"/>
    <w:next w:val="937"/>
    <w:link w:val="900"/>
    <w:rPr>
      <w:sz w:val="24"/>
    </w:rPr>
  </w:style>
  <w:style w:type="character" w:styleId="938">
    <w:name w:val="Заголовок 2 Знак"/>
    <w:next w:val="938"/>
    <w:link w:val="901"/>
    <w:rPr>
      <w:sz w:val="24"/>
    </w:rPr>
  </w:style>
  <w:style w:type="character" w:styleId="939">
    <w:name w:val="Основной текст с отступом Знак"/>
    <w:next w:val="939"/>
    <w:link w:val="907"/>
    <w:rPr>
      <w:sz w:val="26"/>
    </w:rPr>
  </w:style>
  <w:style w:type="character" w:styleId="940">
    <w:name w:val="_oqoid"/>
    <w:next w:val="940"/>
    <w:link w:val="899"/>
  </w:style>
  <w:style w:type="paragraph" w:styleId="941">
    <w:name w:val="Содержимое таблицы"/>
    <w:basedOn w:val="899"/>
    <w:next w:val="941"/>
    <w:link w:val="899"/>
    <w:pPr>
      <w:suppressLineNumbers/>
    </w:pPr>
    <w:rPr>
      <w:rFonts w:ascii="Liberation Serif" w:hAnsi="Liberation Serif" w:eastAsia="SimSun" w:cs="Arial"/>
      <w:sz w:val="24"/>
      <w:szCs w:val="24"/>
      <w:lang w:eastAsia="zh-CN" w:bidi="hi-IN"/>
    </w:rPr>
  </w:style>
  <w:style w:type="paragraph" w:styleId="942">
    <w:name w:val="ConsPlusCell"/>
    <w:next w:val="942"/>
    <w:link w:val="8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3">
    <w:name w:val="ConsPlusDocList"/>
    <w:next w:val="943"/>
    <w:link w:val="899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44">
    <w:name w:val="ConsPlusTitlePage"/>
    <w:next w:val="944"/>
    <w:link w:val="899"/>
    <w:pPr>
      <w:widowControl w:val="off"/>
    </w:pPr>
    <w:rPr>
      <w:rFonts w:ascii="Tahoma" w:hAnsi="Tahoma" w:cs="Tahoma"/>
      <w:lang w:val="ru-RU" w:eastAsia="ru-RU" w:bidi="ar-SA"/>
    </w:rPr>
  </w:style>
  <w:style w:type="paragraph" w:styleId="945">
    <w:name w:val="ConsPlusJurTerm"/>
    <w:next w:val="945"/>
    <w:link w:val="899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946">
    <w:name w:val="ConsPlusTextList"/>
    <w:next w:val="946"/>
    <w:link w:val="899"/>
    <w:pPr>
      <w:widowControl w:val="off"/>
    </w:pPr>
    <w:rPr>
      <w:rFonts w:ascii="Arial" w:hAnsi="Arial" w:cs="Arial"/>
      <w:lang w:val="ru-RU" w:eastAsia="ru-RU" w:bidi="ar-SA"/>
    </w:rPr>
  </w:style>
  <w:style w:type="paragraph" w:styleId="947">
    <w:name w:val="Без интервала"/>
    <w:next w:val="947"/>
    <w:link w:val="899"/>
    <w:uiPriority w:val="1"/>
    <w:qFormat/>
    <w:rPr>
      <w:lang w:val="ru-RU" w:eastAsia="ru-RU" w:bidi="ar-SA"/>
    </w:rPr>
  </w:style>
  <w:style w:type="character" w:styleId="948" w:default="1">
    <w:name w:val="Default Paragraph Font"/>
    <w:uiPriority w:val="1"/>
    <w:semiHidden/>
    <w:unhideWhenUsed/>
  </w:style>
  <w:style w:type="numbering" w:styleId="949" w:default="1">
    <w:name w:val="No List"/>
    <w:uiPriority w:val="99"/>
    <w:semiHidden/>
    <w:unhideWhenUsed/>
  </w:style>
  <w:style w:type="table" w:styleId="9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wmf"/><Relationship Id="rId13" Type="http://schemas.openxmlformats.org/officeDocument/2006/relationships/image" Target="media/image2.png"/><Relationship Id="rId14" Type="http://schemas.openxmlformats.org/officeDocument/2006/relationships/image" Target="media/image3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20</cp:revision>
  <dcterms:created xsi:type="dcterms:W3CDTF">2024-04-22T07:17:00Z</dcterms:created>
  <dcterms:modified xsi:type="dcterms:W3CDTF">2025-01-29T06:23:06Z</dcterms:modified>
  <cp:version>917504</cp:version>
</cp:coreProperties>
</file>