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exact"/>
        <w:widowControl w:val="off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0" y="0"/>
                          <a:chExt cx="0" cy="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6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2" name="_x0000_i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8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6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2" name="_x0000_i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8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-495299</wp:posOffset>
                </wp:positionV>
                <wp:extent cx="407035" cy="495300"/>
                <wp:effectExtent l="0" t="0" r="0" b="0"/>
                <wp:wrapNone/>
                <wp:docPr id="3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ГЛАВА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03.04.2025                                                                                                                 № 46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  <w:t xml:space="preserve">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Думы «О внесении изменений </w:t>
      </w:r>
      <w:r>
        <w:rPr>
          <w:b/>
          <w:sz w:val="28"/>
          <w:szCs w:val="28"/>
        </w:rPr>
        <w:br w:type="textWrapping" w:clear="all"/>
        <w:t xml:space="preserve">в Правила благоустройства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территории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утвержденные</w:t>
      </w:r>
      <w:r>
        <w:rPr>
          <w:b/>
          <w:sz w:val="28"/>
          <w:szCs w:val="28"/>
        </w:rPr>
        <w:t xml:space="preserve"> решением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/>
        <w:t xml:space="preserve">от 15.12.2020 № 277»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8" w:tooltip="consultantplus://offline/ref=CB6E6B85655EE67F5F788466A73EA6C12C09CE4D38592A10AFC6B64F40AE0B6A30CD7C4C3E64BC06E96836DF42b7r6G" w:history="1">
        <w:r>
          <w:rPr>
            <w:rStyle w:val="941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</w:t>
      </w:r>
      <w:hyperlink r:id="rId19" w:tooltip="consultantplus://offline/ref=CB6E6B85655EE67F5F789A6BB152FBCA200295483A5D2747F294B0181FFE0D3F628D22157D27AF07EF7634DD427F3A40E1BF199EC1E7934FDCC08F90b9r2G" w:history="1">
        <w:r>
          <w:rPr>
            <w:rStyle w:val="941"/>
            <w:color w:val="000000"/>
            <w:sz w:val="28"/>
            <w:szCs w:val="28"/>
            <w:u w:val="none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</w:t>
      </w:r>
      <w:hyperlink r:id="rId20" w:tooltip="consultantplus://offline/ref=CB6E6B85655EE67F5F789A6BB152FBCA200295483A5D2742F69BB0181FFE0D3F628D22157D27AF07EF7635DD417F3A40E1BF199EC1E7934FDCC08F90b9r2G" w:history="1">
        <w:r>
          <w:rPr>
            <w:rStyle w:val="941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публичных слушаниях в городе Перми, утвержденным решением Пермской городской Думы от 22 февраля </w:t>
      </w:r>
      <w:r>
        <w:rPr>
          <w:sz w:val="28"/>
          <w:szCs w:val="28"/>
        </w:rPr>
        <w:br/>
        <w:t xml:space="preserve">2005 г. № 32, </w:t>
      </w:r>
      <w:hyperlink r:id="rId21" w:tooltip="consultantplus://offline/ref=CB6E6B85655EE67F5F789A6BB152FBCA200295483A5E294FF296B0181FFE0D3F628D22157D27AF07EF7634DE427F3A40E1BF199EC1E7934FDCC08F90b9r2G" w:history="1">
        <w:r>
          <w:rPr>
            <w:rStyle w:val="941"/>
            <w:color w:val="000000"/>
            <w:sz w:val="28"/>
            <w:szCs w:val="28"/>
            <w:u w:val="none"/>
          </w:rPr>
          <w:t xml:space="preserve">Положением</w:t>
        </w:r>
      </w:hyperlink>
      <w:r>
        <w:rPr>
          <w:sz w:val="28"/>
          <w:szCs w:val="28"/>
        </w:rPr>
        <w:t xml:space="preserve"> о порядке организации и проведения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проекта правил благоустройства территории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утвержденным решением Пермской</w:t>
      </w:r>
      <w:r>
        <w:rPr>
          <w:sz w:val="28"/>
          <w:szCs w:val="28"/>
        </w:rPr>
        <w:t xml:space="preserve"> городской Думы от 26 марта 2019 г. </w:t>
      </w:r>
      <w:r>
        <w:rPr>
          <w:sz w:val="28"/>
          <w:szCs w:val="28"/>
        </w:rPr>
        <w:br/>
        <w:t xml:space="preserve">№ 57,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caps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</w:t>
      </w:r>
      <w:hyperlink w:tooltip="#Par84" w:anchor="Par84" w:history="1">
        <w:r>
          <w:rPr>
            <w:rStyle w:val="941"/>
            <w:color w:val="000000"/>
            <w:sz w:val="28"/>
            <w:szCs w:val="28"/>
            <w:u w:val="none"/>
          </w:rPr>
          <w:t xml:space="preserve">проекта</w:t>
        </w:r>
      </w:hyperlink>
      <w:r>
        <w:rPr>
          <w:sz w:val="28"/>
          <w:szCs w:val="28"/>
        </w:rPr>
        <w:t xml:space="preserve">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</w:r>
      <w:r>
        <w:rPr>
          <w:sz w:val="28"/>
          <w:szCs w:val="28"/>
        </w:rPr>
        <w:br w:type="textWrapping" w:clear="all"/>
        <w:t xml:space="preserve">от 15.12.2020 № 277» (далее – Проект) согласно приложению 1 к настоящему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организации проведения публи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слушаний по обсуждению проекта решения Пермской городской Думы </w:t>
      </w:r>
      <w:r>
        <w:rPr>
          <w:sz w:val="28"/>
          <w:szCs w:val="28"/>
        </w:rPr>
        <w:br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</w:t>
      </w:r>
      <w:hyperlink w:tooltip="#Par50" w:anchor="Par50" w:history="1">
        <w:r>
          <w:rPr>
            <w:rStyle w:val="941"/>
            <w:color w:val="000000"/>
            <w:sz w:val="28"/>
            <w:szCs w:val="28"/>
            <w:u w:val="none"/>
          </w:rPr>
          <w:t xml:space="preserve">состав</w:t>
        </w:r>
      </w:hyperlink>
      <w:r>
        <w:rPr>
          <w:sz w:val="28"/>
          <w:szCs w:val="28"/>
        </w:rPr>
        <w:t xml:space="preserve"> организационного комитета по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пр</w:t>
      </w:r>
      <w:r>
        <w:rPr>
          <w:sz w:val="28"/>
          <w:szCs w:val="28"/>
        </w:rPr>
        <w:t xml:space="preserve">оведения публичных слушаний по обсуждению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277» (далее – Организационный комитет).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 срок проведения публичных слушаний – не менее 1 месяца </w:t>
      </w:r>
      <w:r>
        <w:rPr>
          <w:sz w:val="28"/>
          <w:szCs w:val="28"/>
        </w:rPr>
        <w:br w:type="textWrapping" w:clear="all"/>
        <w:t xml:space="preserve">и не более 3 месяцев со дня опубликования настоящего постановления до дня опубликования заключения о результатах публичных слушаний в печатном сре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стве массовой информации «Официальный бюллетень органов местного сам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Назначить проведение собрания участников публичных слушаний </w:t>
      </w:r>
      <w:r>
        <w:rPr>
          <w:sz w:val="28"/>
          <w:szCs w:val="28"/>
        </w:rPr>
        <w:br w:type="textWrapping" w:clear="all"/>
        <w:t xml:space="preserve">по обсуждению Проекта на 28 апреля 2025 г. в 18.00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адресу: 614015, </w:t>
      </w:r>
      <w:r>
        <w:rPr>
          <w:sz w:val="28"/>
          <w:szCs w:val="28"/>
        </w:rPr>
        <w:br w:type="textWrapping" w:clear="all"/>
        <w:t xml:space="preserve">г. Пермь, ул. Ленина, д. 23, зал 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Организационному комитету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размещение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 xml:space="preserve">в информационно-телекоммуникационной сети Интернет: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Официальный сайт) 11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/>
      <w:bookmarkStart w:id="0" w:name="Par15"/>
      <w:r/>
      <w:bookmarkEnd w:id="0"/>
      <w:r>
        <w:rPr>
          <w:sz w:val="28"/>
          <w:szCs w:val="28"/>
        </w:rPr>
        <w:t xml:space="preserve">6.2. открытие и проведение экспозиции Проекта и информационных мат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риалов к нему (далее – экспозиция) с 12 апреля 2025 г. по 29 апреля </w:t>
      </w:r>
      <w:r>
        <w:rPr>
          <w:sz w:val="28"/>
          <w:szCs w:val="28"/>
        </w:rPr>
        <w:br/>
        <w:t xml:space="preserve">2025 г.: понедельник-четверг – с 09.00 час. до 18.00 час., пятница – с 09.00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консультирование посетителей экспозиции с 12 апреля 2025 г. по 29 а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реля 2025 г.: понедельник-четверг – с 17.00 час. до 18.00 час., пятница – </w:t>
      </w:r>
      <w:r>
        <w:rPr>
          <w:sz w:val="28"/>
          <w:szCs w:val="28"/>
        </w:rPr>
        <w:br/>
        <w:t xml:space="preserve">с 16.00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17.00 час. по адресу: 614015, г. Пермь, ул. Сибирская, д. 15,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105, департамент градостроительства и архитектуры администрации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направление от Главы города Перми в Пермскую городскую Думу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проводимых публичных слушаниях с приложением настоящего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становления, Проекта и информационных материалов к нему не позднее </w:t>
      </w:r>
      <w:r>
        <w:rPr>
          <w:sz w:val="28"/>
          <w:szCs w:val="28"/>
        </w:rPr>
        <w:br w:type="textWrapping" w:clear="all"/>
        <w:t xml:space="preserve">15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проведение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своевременное оформление протокола публичных слушаний, подгото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ку и опубликование заключения о результатах публичных слушаний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предложения и замечания по Проекту принимаются </w:t>
      </w:r>
      <w:r>
        <w:rPr>
          <w:sz w:val="28"/>
          <w:szCs w:val="28"/>
        </w:rPr>
        <w:br w:type="textWrapping" w:clear="all"/>
        <w:t xml:space="preserve">от участников публичных слушаний, представивших в целях идентификации св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дения в соответствии с </w:t>
      </w:r>
      <w:hyperlink r:id="rId22" w:tooltip="consultantplus://offline/ref=CB6E6B85655EE67F5F789A6BB152FBCA200295483A5E294FF296B0181FFE0D3F628D22157D27AF07EF7634DE487F3A40E1BF199EC1E7934FDCC08F90b9r2G" w:history="1">
        <w:r>
          <w:rPr>
            <w:rStyle w:val="941"/>
            <w:color w:val="000000"/>
            <w:sz w:val="28"/>
            <w:szCs w:val="28"/>
            <w:u w:val="none"/>
          </w:rPr>
          <w:t xml:space="preserve">пунктом 1.5</w:t>
        </w:r>
      </w:hyperlink>
      <w:r>
        <w:rPr>
          <w:sz w:val="28"/>
          <w:szCs w:val="28"/>
        </w:rPr>
        <w:t xml:space="preserve"> Положения о порядке организации </w:t>
      </w:r>
      <w:r>
        <w:rPr>
          <w:sz w:val="28"/>
          <w:szCs w:val="28"/>
        </w:rPr>
        <w:br w:type="textWrapping" w:clear="all"/>
        <w:t xml:space="preserve">и проведения публичных слушаний по обсуждению </w:t>
      </w:r>
      <w:r>
        <w:rPr>
          <w:sz w:val="28"/>
          <w:szCs w:val="28"/>
        </w:rPr>
        <w:t xml:space="preserve">проекта правил благоустро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ства территории города</w:t>
      </w:r>
      <w:r>
        <w:rPr>
          <w:sz w:val="28"/>
          <w:szCs w:val="28"/>
        </w:rPr>
        <w:t xml:space="preserve"> Перми, утвержденного решением Пермской городской Думы от 26 марта 2019 г. № 57: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3" w:tooltip="consultantplus://offline/ref=CB6E6B85655EE67F5F789A6BB152FBCA200295483A5D2743F49AB0181FFE0D3F628D22157D27AF07EF7634D9427F3A40E1BF199EC1E7934FDCC08F90b9r2G" w:history="1">
        <w:r>
          <w:rPr>
            <w:rStyle w:val="941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или устно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 (по форме согласно </w:t>
      </w:r>
      <w:hyperlink r:id="rId24" w:tooltip="consultantplus://offline/ref=CB6E6B85655EE67F5F789A6BB152FBCA200295483A5D2743F49AB0181FFE0D3F628D22157D27AF07EF7634D9427F3A40E1BF199EC1E7934FDCC08F90b9r2G" w:history="1">
        <w:r>
          <w:rPr>
            <w:rStyle w:val="941"/>
            <w:color w:val="000000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 xml:space="preserve">2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нию) в Организационный комитет по адресу: 614015, г. Пермь, ул. Сибирская, </w:t>
      </w:r>
      <w:r>
        <w:rPr>
          <w:sz w:val="28"/>
          <w:szCs w:val="28"/>
        </w:rPr>
        <w:br/>
        <w:t xml:space="preserve">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105 либо в электронном виде посредством заполнения электронной формы на официальном сайте муниципального образования город Пермь в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формационно-телекоммуникационной сети Интернет в разделе «Гражд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нам/Интернет-приемная/Предложения к публичным слушаниям» (электронный адрес: https://reception.gorodperm.ru) в период с 12</w:t>
      </w:r>
      <w:r>
        <w:rPr>
          <w:sz w:val="28"/>
          <w:szCs w:val="28"/>
        </w:rPr>
        <w:t xml:space="preserve"> апреля 2025 г. по 29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учета посетителей экспозиции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екта в период проведения экспозиции в сроки, указанные в </w:t>
      </w:r>
      <w:hyperlink w:tooltip="#Par15" w:anchor="Par15" w:history="1">
        <w:r>
          <w:rPr>
            <w:rStyle w:val="941"/>
            <w:color w:val="000000"/>
            <w:sz w:val="28"/>
            <w:szCs w:val="28"/>
            <w:u w:val="none"/>
          </w:rPr>
          <w:t xml:space="preserve">пункте 6.2</w:t>
        </w:r>
      </w:hyperlink>
      <w:r>
        <w:rPr>
          <w:sz w:val="28"/>
          <w:szCs w:val="28"/>
        </w:rPr>
        <w:t xml:space="preserve">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осущ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ствляется с учетом требований, установленных Федеральным </w:t>
      </w:r>
      <w:hyperlink r:id="rId25" w:tooltip="consultantplus://offline/ref=CB6E6B85655EE67F5F788466A73EA6C12B01C24432582A10AFC6B64F40AE0B6A30CD7C4C3E64BC06E96836DF42b7r6G" w:history="1">
        <w:r>
          <w:rPr>
            <w:rStyle w:val="941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27 июля 2006 г. № 152-ФЗ 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Назначить ответственными за подготовку и проведение публичных сл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шаний по обсуждению </w:t>
      </w:r>
      <w:r>
        <w:rPr>
          <w:sz w:val="28"/>
          <w:szCs w:val="28"/>
        </w:rPr>
        <w:t xml:space="preserve">Проекта заместителя главы администрации города Перми</w:t>
      </w:r>
      <w:r>
        <w:rPr>
          <w:sz w:val="28"/>
          <w:szCs w:val="28"/>
        </w:rPr>
        <w:t xml:space="preserve"> Синева А.В., департамент градостроительства и архитектуры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Департаменту градостроительства и архитектуры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обеспечить соблюдение требований нормативных правовых актов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по организации и проведению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организовать проведение первого заседания Организационного комит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 и в дальнейшем осуществлять организационное и материально-техническое обеспечение его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first" r:id="rId14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03.04.2025 № 46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вносится Главой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-22224</wp:posOffset>
                </wp:positionV>
                <wp:extent cx="535940" cy="666750"/>
                <wp:effectExtent l="0" t="0" r="0" b="0"/>
                <wp:wrapNone/>
                <wp:docPr id="4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5359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0288;o:allowoverlap:true;o:allowincell:true;mso-position-horizontal-relative:text;margin-left:226.35pt;mso-position-horizontal:absolute;mso-position-vertical-relative:text;margin-top:-1.75pt;mso-position-vertical:absolute;width:42.20pt;height:52.50pt;mso-wrap-distance-left:9.00pt;mso-wrap-distance-top:0.00pt;mso-wrap-distance-right:9.00pt;mso-wrap-distance-bottom:0.00pt;" stroked="f">
                <v:path textboxrect="0,0,0,0"/>
                <v:imagedata r:id="rId26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 xml:space="preserve">VII</w:t>
      </w:r>
      <w:r>
        <w:rPr>
          <w:sz w:val="36"/>
        </w:rPr>
        <w:t xml:space="preserve"> созыва</w:t>
      </w:r>
      <w:r>
        <w:rPr>
          <w:sz w:val="36"/>
        </w:rPr>
      </w:r>
      <w:r>
        <w:rPr>
          <w:sz w:val="36"/>
        </w:rPr>
      </w:r>
    </w:p>
    <w:p>
      <w:pPr>
        <w:jc w:val="center"/>
        <w:spacing w:after="960"/>
        <w:widowControl w:val="off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</w:rPr>
        <w:t xml:space="preserve">Р</w:t>
      </w:r>
      <w:r>
        <w:rPr>
          <w:b w:val="0"/>
          <w:bCs w:val="0"/>
          <w:sz w:val="32"/>
        </w:rPr>
        <w:t xml:space="preserve"> Е Ш Е Н И Е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 xml:space="preserve">от 15.12.2020 № 277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рального </w:t>
      </w:r>
      <w:hyperlink r:id="rId27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 xml:space="preserve"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28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 xml:space="preserve"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  <w:r>
        <w:rPr>
          <w:b/>
          <w:spacing w:val="50"/>
          <w:sz w:val="28"/>
          <w:szCs w:val="28"/>
        </w:rPr>
      </w:r>
      <w:r>
        <w:rPr>
          <w:b/>
          <w:spacing w:val="5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 xml:space="preserve">территории города Перми,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29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 xml:space="preserve"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30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 xml:space="preserve">№ 102</w:t>
        </w:r>
      </w:hyperlink>
      <w:r>
        <w:rPr>
          <w:sz w:val="28"/>
          <w:szCs w:val="28"/>
        </w:rPr>
        <w:t xml:space="preserve">, от 24.08.2021 </w:t>
      </w:r>
      <w:hyperlink r:id="rId31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 xml:space="preserve">№ 181</w:t>
        </w:r>
      </w:hyperlink>
      <w:r>
        <w:rPr>
          <w:sz w:val="28"/>
          <w:szCs w:val="28"/>
        </w:rPr>
        <w:t xml:space="preserve">, от 24.08.2021 </w:t>
      </w:r>
      <w:hyperlink r:id="rId32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 xml:space="preserve"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 xml:space="preserve">№ 307, от 26.04.2022</w:t>
      </w:r>
      <w:r>
        <w:rPr>
          <w:sz w:val="28"/>
          <w:szCs w:val="28"/>
        </w:rPr>
        <w:t xml:space="preserve"> </w:t>
      </w:r>
      <w:hyperlink r:id="rId33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 xml:space="preserve">№ 81</w:t>
        </w:r>
      </w:hyperlink>
      <w:r>
        <w:rPr>
          <w:sz w:val="28"/>
          <w:szCs w:val="28"/>
        </w:rPr>
        <w:t xml:space="preserve">, от 26.04.2022 </w:t>
      </w:r>
      <w:hyperlink r:id="rId34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 xml:space="preserve">№ 82</w:t>
        </w:r>
      </w:hyperlink>
      <w:r>
        <w:rPr>
          <w:sz w:val="28"/>
          <w:szCs w:val="28"/>
        </w:rPr>
        <w:t xml:space="preserve">, от 28.06.2022 </w:t>
      </w:r>
      <w:hyperlink r:id="rId35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 xml:space="preserve"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36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 xml:space="preserve">№ 257</w:t>
        </w:r>
      </w:hyperlink>
      <w:r>
        <w:rPr>
          <w:sz w:val="28"/>
          <w:szCs w:val="28"/>
        </w:rPr>
        <w:t xml:space="preserve">, от 20.12.2022 </w:t>
      </w:r>
      <w:hyperlink r:id="rId37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 xml:space="preserve">№ 271</w:t>
        </w:r>
      </w:hyperlink>
      <w:r>
        <w:rPr>
          <w:sz w:val="28"/>
          <w:szCs w:val="28"/>
        </w:rPr>
        <w:t xml:space="preserve">, от 20.12.2022 </w:t>
      </w:r>
      <w:hyperlink r:id="rId38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 xml:space="preserve"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39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  <w:br/>
        <w:t xml:space="preserve">от 17.12.2024 № 229, от 25.03.2025 № 48),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 пункт 2.1.30 изложить в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«2.1.30. объекты уличного искусства (</w:t>
      </w:r>
      <w:r>
        <w:rPr>
          <w:sz w:val="28"/>
          <w:szCs w:val="28"/>
          <w:highlight w:val="white"/>
        </w:rPr>
        <w:t xml:space="preserve">стрит-арт</w:t>
      </w:r>
      <w:r>
        <w:rPr>
          <w:sz w:val="28"/>
          <w:szCs w:val="28"/>
          <w:highlight w:val="white"/>
        </w:rPr>
        <w:t xml:space="preserve">, граффити, </w:t>
      </w:r>
      <w:r>
        <w:rPr>
          <w:sz w:val="28"/>
          <w:szCs w:val="28"/>
          <w:highlight w:val="white"/>
        </w:rPr>
        <w:t xml:space="preserve">муралы</w:t>
      </w:r>
      <w:r>
        <w:rPr>
          <w:sz w:val="28"/>
          <w:szCs w:val="28"/>
          <w:highlight w:val="white"/>
        </w:rPr>
        <w:t xml:space="preserve">) – из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бражение (рисунок, надпись, инсталляция) уличного искусства, которое может размещаться на фасадах капитальных объектов, некапитальных строений, соор</w:t>
      </w:r>
      <w:r>
        <w:rPr>
          <w:sz w:val="28"/>
          <w:szCs w:val="28"/>
          <w:highlight w:val="white"/>
        </w:rPr>
        <w:t xml:space="preserve">у</w:t>
      </w:r>
      <w:r>
        <w:rPr>
          <w:sz w:val="28"/>
          <w:szCs w:val="28"/>
          <w:highlight w:val="white"/>
        </w:rPr>
        <w:t xml:space="preserve">жений (далее – некапитальный объект), на сплошных ограждениях (заборах) на территории города Перми;»;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  <w:highlight w:val="white"/>
        </w:rPr>
        <w:t xml:space="preserve">в пункте 2.1.41 слова «а также некапитального строения, сооружения (далее – некапитальный объект)» заменить словами «а также некапитального об</w:t>
      </w:r>
      <w:r>
        <w:rPr>
          <w:sz w:val="28"/>
          <w:szCs w:val="28"/>
          <w:highlight w:val="white"/>
        </w:rPr>
        <w:t xml:space="preserve">ъ</w:t>
      </w:r>
      <w:r>
        <w:rPr>
          <w:sz w:val="28"/>
          <w:szCs w:val="28"/>
          <w:highlight w:val="white"/>
        </w:rPr>
        <w:t xml:space="preserve">екта»;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 в пункте 3.8 после слов «капитального объекта» дополнить словами </w:t>
      </w:r>
      <w:r>
        <w:rPr>
          <w:sz w:val="28"/>
          <w:szCs w:val="28"/>
        </w:rPr>
        <w:br/>
        <w:t xml:space="preserve">«, некапитального объекта»;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 в пункте 5.4: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1.4.1 </w:t>
      </w:r>
      <w:r>
        <w:rPr>
          <w:sz w:val="28"/>
          <w:szCs w:val="28"/>
        </w:rPr>
        <w:t xml:space="preserve">в абзаце втором после слов «капитальный объект» дополнить словами «, некапитальный объект»;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в абзаце четвертом после слов «капитальный объект» дополнить 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вами «, некапитальный объект», после слов «капитальных объектов» дополнить словами «, некапитальных объектов»;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1.5 </w:t>
      </w:r>
      <w:r>
        <w:rPr>
          <w:color w:val="000000"/>
          <w:sz w:val="28"/>
          <w:szCs w:val="28"/>
          <w:highlight w:val="white"/>
        </w:rPr>
        <w:t xml:space="preserve">в абзаце первом пункта 9.1 после слов «капитальных объектов</w:t>
      </w:r>
      <w:r>
        <w:rPr>
          <w:color w:val="000000"/>
          <w:sz w:val="28"/>
          <w:szCs w:val="28"/>
          <w:highlight w:val="white"/>
        </w:rPr>
        <w:t xml:space="preserve">,»</w:t>
      </w:r>
      <w:r>
        <w:rPr>
          <w:color w:val="000000"/>
          <w:sz w:val="28"/>
          <w:szCs w:val="28"/>
          <w:highlight w:val="white"/>
        </w:rPr>
        <w:t xml:space="preserve"> допо</w:t>
      </w:r>
      <w:r>
        <w:rPr>
          <w:color w:val="000000"/>
          <w:sz w:val="28"/>
          <w:szCs w:val="28"/>
          <w:highlight w:val="white"/>
        </w:rPr>
        <w:t xml:space="preserve">л</w:t>
      </w:r>
      <w:r>
        <w:rPr>
          <w:color w:val="000000"/>
          <w:sz w:val="28"/>
          <w:szCs w:val="28"/>
          <w:highlight w:val="white"/>
        </w:rPr>
        <w:t xml:space="preserve">нить словами «некапитальных объектов,»</w:t>
      </w:r>
      <w:r>
        <w:rPr>
          <w:sz w:val="28"/>
          <w:szCs w:val="28"/>
          <w:highlight w:val="white"/>
        </w:rPr>
        <w:t xml:space="preserve">, слова «</w:t>
      </w:r>
      <w:r>
        <w:rPr>
          <w:color w:val="000000"/>
          <w:sz w:val="28"/>
          <w:szCs w:val="28"/>
          <w:highlight w:val="white"/>
        </w:rPr>
        <w:t xml:space="preserve">некапитальные нестационарные строения и сооружения» заменить словами «некапитальные объекты»;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1.6 </w:t>
      </w:r>
      <w:r>
        <w:rPr>
          <w:sz w:val="28"/>
          <w:szCs w:val="28"/>
          <w:highlight w:val="white"/>
        </w:rPr>
        <w:t xml:space="preserve">дополнить пунктом </w:t>
      </w:r>
      <w:r>
        <w:rPr>
          <w:sz w:val="28"/>
          <w:szCs w:val="28"/>
          <w:highlight w:val="white"/>
        </w:rPr>
        <w:t xml:space="preserve">9.3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«9.3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 Общие требования к содержанию </w:t>
      </w:r>
      <w:r>
        <w:rPr>
          <w:iCs/>
          <w:color w:val="000000"/>
          <w:sz w:val="28"/>
          <w:szCs w:val="28"/>
          <w:highlight w:val="white"/>
        </w:rPr>
        <w:t xml:space="preserve">фасадов </w:t>
      </w:r>
      <w:r>
        <w:rPr>
          <w:color w:val="000000"/>
          <w:sz w:val="28"/>
          <w:szCs w:val="28"/>
          <w:highlight w:val="white"/>
        </w:rPr>
        <w:t xml:space="preserve">некапитальных объектов: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9.3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.1</w:t>
      </w:r>
      <w:r>
        <w:rPr>
          <w:color w:val="000000"/>
          <w:sz w:val="28"/>
          <w:szCs w:val="28"/>
          <w:highlight w:val="white"/>
        </w:rPr>
        <w:t xml:space="preserve"> при содержании фасада некапитального объекта должны осущест</w:t>
      </w:r>
      <w:r>
        <w:rPr>
          <w:color w:val="000000"/>
          <w:sz w:val="28"/>
          <w:szCs w:val="28"/>
          <w:highlight w:val="white"/>
        </w:rPr>
        <w:t xml:space="preserve">в</w:t>
      </w:r>
      <w:r>
        <w:rPr>
          <w:color w:val="000000"/>
          <w:sz w:val="28"/>
          <w:szCs w:val="28"/>
          <w:highlight w:val="white"/>
        </w:rPr>
        <w:t xml:space="preserve">ляться очистка, промывка поверхностей фасада, устранение повреждений фасада.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Очистка, промывка поверхностей фасада, в том числе архитектурных эл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ментов фасада, остекления оконных и дверных блоков, вывесок, рекламных ко</w:t>
      </w:r>
      <w:r>
        <w:rPr>
          <w:color w:val="000000"/>
          <w:sz w:val="28"/>
          <w:szCs w:val="28"/>
          <w:highlight w:val="white"/>
        </w:rPr>
        <w:t xml:space="preserve">н</w:t>
      </w:r>
      <w:r>
        <w:rPr>
          <w:color w:val="000000"/>
          <w:sz w:val="28"/>
          <w:szCs w:val="28"/>
          <w:highlight w:val="white"/>
        </w:rPr>
        <w:t xml:space="preserve">струкций должны осуществляться по мере необходимости, но не позднее 01 мая текущего года;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9.3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color w:val="000000"/>
          <w:sz w:val="28"/>
          <w:szCs w:val="28"/>
          <w:highlight w:val="white"/>
        </w:rPr>
        <w:t xml:space="preserve">.2 не допускается наличие следов коррозии, деформации конструкций.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Следы коррозии, деформации конструкций должны устраняться в течение тридцати дней после дня обнаружения повреждения;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9.3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.3 </w:t>
      </w:r>
      <w:r>
        <w:rPr>
          <w:color w:val="000000"/>
          <w:sz w:val="28"/>
          <w:szCs w:val="28"/>
          <w:highlight w:val="white"/>
        </w:rPr>
        <w:t xml:space="preserve">не допускается размещать на фасадах конструкции, содержащие и</w:t>
      </w:r>
      <w:r>
        <w:rPr>
          <w:color w:val="000000"/>
          <w:sz w:val="28"/>
          <w:szCs w:val="28"/>
          <w:highlight w:val="white"/>
        </w:rPr>
        <w:t xml:space="preserve">н</w:t>
      </w:r>
      <w:r>
        <w:rPr>
          <w:color w:val="000000"/>
          <w:sz w:val="28"/>
          <w:szCs w:val="28"/>
          <w:highlight w:val="white"/>
        </w:rPr>
        <w:t xml:space="preserve">формацию или изображения, размещать объявления, афиши, агитационные мат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риалы, выполнять надписи, графические рисунки и иные изображения с наруш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нием требований, установленных законодательством, Правилами.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Объявления, афиши, агитационные материалы, надписи, графические р</w:t>
      </w:r>
      <w:r>
        <w:rPr>
          <w:color w:val="000000"/>
          <w:sz w:val="28"/>
          <w:szCs w:val="28"/>
          <w:highlight w:val="white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сунки и иные изображения, содержащие информацию, не соответствующую тр</w:t>
      </w:r>
      <w:r>
        <w:rPr>
          <w:color w:val="000000"/>
          <w:sz w:val="28"/>
          <w:szCs w:val="28"/>
          <w:highlight w:val="white"/>
        </w:rPr>
        <w:t xml:space="preserve">е</w:t>
      </w:r>
      <w:r>
        <w:rPr>
          <w:color w:val="000000"/>
          <w:sz w:val="28"/>
          <w:szCs w:val="28"/>
          <w:highlight w:val="white"/>
        </w:rPr>
        <w:t xml:space="preserve">бованиям законодательства, Правилам, должны устраняться в течение трех раб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чих дней после дня обнаружения повреждения.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В случае повторного нанесения надписей, графических рисунков и иных изображений, содержащих информацию, не соответствующую требованиям зак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нодательства, Правилам, рекомендуется обработать места фасада защитными средствами, препятствующими нанесению таких повреждений.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Днем обнаружения повреждения (повреждений), указанного (указанных) в </w:t>
      </w:r>
      <w:r>
        <w:rPr>
          <w:color w:val="000000" w:themeColor="text1"/>
          <w:sz w:val="28"/>
          <w:szCs w:val="28"/>
          <w:highlight w:val="white"/>
        </w:rPr>
        <w:t xml:space="preserve">подпунктах</w:t>
      </w:r>
      <w:r>
        <w:rPr>
          <w:color w:val="0000ff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9.3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.1</w:t>
      </w:r>
      <w:r>
        <w:rPr>
          <w:color w:val="auto"/>
          <w:sz w:val="28"/>
          <w:szCs w:val="28"/>
          <w:highlight w:val="white"/>
        </w:rPr>
        <w:t xml:space="preserve">-</w:t>
      </w:r>
      <w:r>
        <w:rPr>
          <w:color w:val="auto"/>
          <w:sz w:val="28"/>
          <w:szCs w:val="28"/>
          <w:highlight w:val="white"/>
        </w:rPr>
        <w:t xml:space="preserve">9</w:t>
      </w:r>
      <w:r>
        <w:rPr>
          <w:sz w:val="28"/>
          <w:szCs w:val="28"/>
          <w:highlight w:val="white"/>
        </w:rPr>
        <w:t xml:space="preserve">.3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.3</w:t>
      </w:r>
      <w:r>
        <w:rPr>
          <w:color w:val="000000"/>
          <w:sz w:val="28"/>
          <w:szCs w:val="28"/>
          <w:highlight w:val="white"/>
        </w:rPr>
        <w:t xml:space="preserve"> Правил, считается день получения владельцами некап</w:t>
      </w:r>
      <w:r>
        <w:rPr>
          <w:color w:val="000000"/>
          <w:sz w:val="28"/>
          <w:szCs w:val="28"/>
          <w:highlight w:val="white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тальных объектов и (или) организациями, обеспечивающими их содержание, и</w:t>
      </w:r>
      <w:r>
        <w:rPr>
          <w:color w:val="000000"/>
          <w:sz w:val="28"/>
          <w:szCs w:val="28"/>
          <w:highlight w:val="white"/>
        </w:rPr>
        <w:t xml:space="preserve">н</w:t>
      </w:r>
      <w:r>
        <w:rPr>
          <w:color w:val="000000"/>
          <w:sz w:val="28"/>
          <w:szCs w:val="28"/>
          <w:highlight w:val="white"/>
        </w:rPr>
        <w:t xml:space="preserve">формации о таком повреждении (повреждениях) от должностных лиц, уполном</w:t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ченных на осуществление муниципального контроля в сфере благоустройства или на осуществление </w:t>
      </w:r>
      <w:r>
        <w:rPr>
          <w:color w:val="000000"/>
          <w:sz w:val="28"/>
          <w:szCs w:val="28"/>
          <w:highlight w:val="white"/>
        </w:rPr>
        <w:t xml:space="preserve">мониторинга содержания территории города Перми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Требования к размещению (нанесению) объектов уличного искусства (</w:t>
      </w:r>
      <w:r>
        <w:rPr>
          <w:sz w:val="28"/>
          <w:szCs w:val="28"/>
          <w:highlight w:val="white"/>
        </w:rPr>
        <w:t xml:space="preserve">стрит-арт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граффити, </w:t>
      </w:r>
      <w:r>
        <w:rPr>
          <w:sz w:val="28"/>
          <w:szCs w:val="28"/>
        </w:rPr>
        <w:t xml:space="preserve">муралы</w:t>
      </w:r>
      <w:r>
        <w:rPr>
          <w:sz w:val="28"/>
          <w:szCs w:val="28"/>
        </w:rPr>
        <w:t xml:space="preserve">) на фасадах некапитальных объектов установлены в приложении 24 к Правилам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1.7 </w:t>
      </w:r>
      <w:r>
        <w:rPr>
          <w:rFonts w:eastAsia="Calibri"/>
          <w:sz w:val="28"/>
          <w:szCs w:val="28"/>
          <w:lang w:eastAsia="en-US"/>
        </w:rPr>
        <w:t xml:space="preserve">подпункт 9.4.1 изложить в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«9.4.1 требования к элементам благоустройства автостоянок: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9.4.1.1 на территории автостоянки (в границах земельного участка, предо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тавленного для размещения автостоянки) размещаются основные и дополнител</w:t>
      </w:r>
      <w:r>
        <w:rPr>
          <w:rFonts w:eastAsia="Calibri"/>
          <w:sz w:val="28"/>
          <w:szCs w:val="28"/>
          <w:lang w:eastAsia="en-US"/>
        </w:rPr>
        <w:t xml:space="preserve">ь</w:t>
      </w:r>
      <w:r>
        <w:rPr>
          <w:rFonts w:eastAsia="Calibri"/>
          <w:sz w:val="28"/>
          <w:szCs w:val="28"/>
          <w:lang w:eastAsia="en-US"/>
        </w:rPr>
        <w:t xml:space="preserve">ные элементы благоустройства автостоянки.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основным элементам благоустройства автостоянки относятся: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вид покрытия,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осветительное и информационное оборудование.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дополнительным элементам благоустройства автостоянки относятся: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ограждение территории по периметру автостоянки,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пост охраны,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место (площадка) накопления отходов,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нестационарный туалет,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разделительные элементы (разметка </w:t>
      </w:r>
      <w:r>
        <w:rPr>
          <w:sz w:val="28"/>
          <w:szCs w:val="28"/>
          <w:lang w:eastAsia="ru-RU"/>
        </w:rPr>
        <w:t xml:space="preserve">машино-мест</w:t>
      </w:r>
      <w:r>
        <w:rPr>
          <w:sz w:val="28"/>
          <w:szCs w:val="28"/>
          <w:lang w:eastAsia="ru-RU"/>
        </w:rPr>
        <w:t xml:space="preserve">).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Основные элементы благоустройства автостоянки являются обязательными для размещения, необходимость размещения дополнительных элементов благоу</w:t>
      </w:r>
      <w:r>
        <w:rPr>
          <w:rFonts w:eastAsia="Calibri"/>
          <w:sz w:val="28"/>
          <w:szCs w:val="28"/>
          <w:lang w:eastAsia="en-US"/>
        </w:rPr>
        <w:t xml:space="preserve">с</w:t>
      </w:r>
      <w:r>
        <w:rPr>
          <w:rFonts w:eastAsia="Calibri"/>
          <w:sz w:val="28"/>
          <w:szCs w:val="28"/>
          <w:lang w:eastAsia="en-US"/>
        </w:rPr>
        <w:t xml:space="preserve">тройства автостоянки определяется владельцем автостоянки.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Требования к внешнему виду, в том числе  требования к размерам элеме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тов благоустройства автостоянки, а также требования к местам их размещения, подлежат применению в отношении установленных и устанавливаемых элеме</w:t>
      </w:r>
      <w:r>
        <w:rPr>
          <w:rFonts w:eastAsia="Calibri"/>
          <w:sz w:val="28"/>
          <w:szCs w:val="28"/>
          <w:lang w:eastAsia="en-US"/>
        </w:rPr>
        <w:t xml:space="preserve">н</w:t>
      </w:r>
      <w:r>
        <w:rPr>
          <w:rFonts w:eastAsia="Calibri"/>
          <w:sz w:val="28"/>
          <w:szCs w:val="28"/>
          <w:lang w:eastAsia="en-US"/>
        </w:rPr>
        <w:t xml:space="preserve">тов благоустройства автостоянки;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9.4.1.2 требования к внешнему виду покрытия: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</w:t>
      </w:r>
      <w:r>
        <w:rPr>
          <w:sz w:val="28"/>
          <w:szCs w:val="28"/>
          <w:lang w:eastAsia="ru-RU"/>
        </w:rPr>
        <w:br/>
        <w:t xml:space="preserve">значения, – покрытие должно быть выполнено </w:t>
      </w:r>
      <w:r>
        <w:rPr>
          <w:sz w:val="28"/>
          <w:szCs w:val="28"/>
        </w:rPr>
        <w:t xml:space="preserve">из асфальта с применением со 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роны территории общего пользования озеленения в виде газонной</w:t>
      </w:r>
      <w:r>
        <w:rPr>
          <w:sz w:val="28"/>
          <w:szCs w:val="28"/>
        </w:rPr>
        <w:t xml:space="preserve"> решетки не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нее 30 % от площади автостоянки или озелененных полос (газонов) не менее 15 % от площади автостоянки или мобильного озеленения не менее 10 % от площади автостоянки.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</w:t>
      </w:r>
      <w:r>
        <w:rPr>
          <w:rFonts w:eastAsia="Calibri"/>
          <w:sz w:val="28"/>
          <w:szCs w:val="28"/>
          <w:lang w:eastAsia="en-US"/>
        </w:rPr>
        <w:t xml:space="preserve"> внешнего вида покрытия автостоянки в границах </w:t>
      </w:r>
      <w:r>
        <w:rPr>
          <w:sz w:val="28"/>
          <w:szCs w:val="28"/>
          <w:lang w:eastAsia="ru-RU"/>
        </w:rPr>
        <w:t xml:space="preserve">городского це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</w:t>
      </w:r>
      <w:r>
        <w:rPr>
          <w:sz w:val="28"/>
          <w:szCs w:val="28"/>
        </w:rPr>
        <w:br/>
        <w:t xml:space="preserve">с требованиями к градостроительным регламентам и режимами использования земель данных зон охраны размещение автостоянки не запрещено, на территор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ях, выходящих на </w:t>
      </w:r>
      <w:r>
        <w:rPr>
          <w:sz w:val="28"/>
          <w:szCs w:val="28"/>
          <w:lang w:eastAsia="ru-RU"/>
        </w:rPr>
        <w:t xml:space="preserve">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ского значения, </w:t>
      </w:r>
      <w:r>
        <w:rPr>
          <w:sz w:val="28"/>
          <w:szCs w:val="28"/>
        </w:rPr>
        <w:t xml:space="preserve">приведены в приложении 6 к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</w:t>
      </w:r>
      <w:r>
        <w:rPr>
          <w:sz w:val="28"/>
          <w:szCs w:val="28"/>
          <w:lang w:eastAsia="ru-RU"/>
        </w:rPr>
        <w:t xml:space="preserve">покрытие может быть выполнено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из асфальта, бетона, щебня, гравия, иных видов твердых покрытий. В случае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менения щебня, гравия – по периметру автостоянки должен быть установлен бо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дюрный камень (в целях недопущения распространения щебня за территорию 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тостоянки);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9.4.1.3 требования к осветительному и информационному оборудованию: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осветительное оборудование территории автостоянки должно быть выпо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нено в соответствии с требованиями законодательства, в том числе с учетом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и направления световых приборов, ограничивающих прямое освещение фасадов капитального объекта жилого назначения в ночное время.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оборудование (отдельно стоящая конструкция (стенд) должно быть размещено при въезде на автостоянку.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 информационного оборудования должен соответствовать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бованиям, установленным в приложении 6 к Правилам.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внешнего вида информационного оборудования приведен в прил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жении 6 к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9.4.1.4 требования к </w:t>
      </w:r>
      <w:r>
        <w:rPr>
          <w:rFonts w:eastAsia="Calibri"/>
          <w:sz w:val="28"/>
          <w:szCs w:val="28"/>
          <w:lang w:eastAsia="en-US"/>
        </w:rPr>
        <w:t xml:space="preserve">внешнему виду постов охраны: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внешний вид постов охраны должен соответствовать типовым проектам п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стов охраны, </w:t>
      </w:r>
      <w:r>
        <w:rPr>
          <w:sz w:val="28"/>
          <w:szCs w:val="28"/>
        </w:rPr>
        <w:t xml:space="preserve">установленным в приложении 6 к Правилам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</w:t>
      </w:r>
      <w:r>
        <w:rPr>
          <w:sz w:val="28"/>
          <w:szCs w:val="28"/>
          <w:lang w:eastAsia="ru-RU"/>
        </w:rPr>
        <w:t xml:space="preserve">– пост охраны должен быть в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полнен в соответствии с типовым проектом поста охраны «Тип 1»;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</w:t>
      </w:r>
      <w:r>
        <w:rPr>
          <w:sz w:val="28"/>
          <w:szCs w:val="28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иных территориях, не указанных в абзаце третьем настоящего подпункта, а также на </w:t>
      </w:r>
      <w:r>
        <w:rPr>
          <w:sz w:val="28"/>
          <w:szCs w:val="28"/>
        </w:rPr>
        <w:t xml:space="preserve">территориях, выходящих на </w:t>
      </w:r>
      <w:r>
        <w:rPr>
          <w:sz w:val="28"/>
          <w:szCs w:val="28"/>
          <w:lang w:eastAsia="ru-RU"/>
        </w:rPr>
        <w:t xml:space="preserve">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значения, – пост охраны должен быть выполнен в соответствии с типовым проектом поста охраны «Тип 2»;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Примеры</w:t>
      </w:r>
      <w:r>
        <w:rPr>
          <w:rFonts w:eastAsia="Calibri"/>
          <w:sz w:val="28"/>
          <w:szCs w:val="28"/>
          <w:lang w:eastAsia="en-US"/>
        </w:rPr>
        <w:t xml:space="preserve"> внешнего вида типовых проектов постов охраны автостоянки «Тип 1», «Тип 2» </w:t>
      </w:r>
      <w:r>
        <w:rPr>
          <w:sz w:val="28"/>
          <w:szCs w:val="28"/>
        </w:rPr>
        <w:t xml:space="preserve">приведены в приложении 6 к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9.4.1.5 требования к ограждению: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вид, размеры ограждения должны соответствовать требованиям, установленным в приложении 6 к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</w:t>
      </w:r>
      <w:r>
        <w:rPr>
          <w:sz w:val="28"/>
          <w:szCs w:val="28"/>
          <w:lang w:eastAsia="ru-RU"/>
        </w:rPr>
        <w:br/>
        <w:t xml:space="preserve">значения, – ограждение должно быть выполнено в виде столбиков с цепочкой.</w:t>
      </w:r>
      <w:r>
        <w:rPr>
          <w:sz w:val="28"/>
          <w:szCs w:val="28"/>
          <w:lang w:eastAsia="ru-RU"/>
        </w:rPr>
        <w:t xml:space="preserve"> Допускается использовать в виде ограждения живую изгородь высотой не менее одного метра. Применение сплошных ограждений не допускается;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третьем настоящего подпункта, – ограждение должно </w:t>
      </w:r>
      <w:r>
        <w:rPr>
          <w:sz w:val="28"/>
          <w:szCs w:val="28"/>
          <w:lang w:eastAsia="ru-RU"/>
        </w:rPr>
        <w:t xml:space="preserve">быть выполнено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 xml:space="preserve">из некапитальных декоративных конструкций негорючих материалов в виде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таллической решетки, проницаемой для взгляда, установленной на стойках (м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таллических, бетонных или кирпичных). </w:t>
      </w:r>
      <w:r>
        <w:rPr>
          <w:sz w:val="28"/>
          <w:szCs w:val="28"/>
          <w:lang w:eastAsia="ru-RU"/>
        </w:rPr>
        <w:t xml:space="preserve">Применение сплошных ограждений не допускается.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</w:t>
      </w:r>
      <w:r>
        <w:rPr>
          <w:rFonts w:eastAsia="Calibri"/>
          <w:sz w:val="28"/>
          <w:szCs w:val="28"/>
          <w:lang w:eastAsia="en-US"/>
        </w:rPr>
        <w:t xml:space="preserve"> внешнего вида ограждения автостоянки в границах </w:t>
      </w:r>
      <w:r>
        <w:rPr>
          <w:sz w:val="28"/>
          <w:szCs w:val="28"/>
          <w:lang w:eastAsia="ru-RU"/>
        </w:rPr>
        <w:t xml:space="preserve">городского це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</w:t>
      </w:r>
      <w:r>
        <w:rPr>
          <w:sz w:val="28"/>
          <w:szCs w:val="28"/>
        </w:rPr>
        <w:br/>
        <w:t xml:space="preserve">с требованиями к градостроительным регламентам и режимами использования земель данных зон охраны размещение автостоянки не запрещено, на территор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ях, выходящих на </w:t>
      </w:r>
      <w:r>
        <w:rPr>
          <w:sz w:val="28"/>
          <w:szCs w:val="28"/>
          <w:lang w:eastAsia="ru-RU"/>
        </w:rPr>
        <w:t xml:space="preserve">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  <w:lang w:eastAsia="ru-RU"/>
        </w:rPr>
        <w:t xml:space="preserve">ского значения, </w:t>
      </w:r>
      <w:r>
        <w:rPr>
          <w:sz w:val="28"/>
          <w:szCs w:val="28"/>
        </w:rPr>
        <w:t xml:space="preserve">приведен в приложении 6 к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9.4.1.6 требования к месту (площадке) накопления отходов: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 </w:t>
      </w:r>
      <w:r>
        <w:rPr>
          <w:sz w:val="28"/>
          <w:szCs w:val="28"/>
          <w:lang w:eastAsia="ru-RU"/>
        </w:rPr>
        <w:br/>
        <w:t xml:space="preserve">значения, –</w:t>
      </w:r>
      <w:r>
        <w:rPr>
          <w:sz w:val="28"/>
          <w:szCs w:val="28"/>
        </w:rPr>
        <w:t xml:space="preserve"> место (площадка) накопления отходов</w:t>
      </w:r>
      <w:r>
        <w:rPr>
          <w:sz w:val="28"/>
          <w:szCs w:val="28"/>
          <w:lang w:eastAsia="ru-RU"/>
        </w:rPr>
        <w:t xml:space="preserve"> должно </w:t>
      </w:r>
      <w:r>
        <w:rPr>
          <w:sz w:val="28"/>
          <w:szCs w:val="28"/>
        </w:rPr>
        <w:t xml:space="preserve">соответствовать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ваниям, установленным в приложении 6 к Правилам.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</w:t>
      </w:r>
      <w:r>
        <w:rPr>
          <w:rFonts w:eastAsia="Calibri"/>
          <w:sz w:val="28"/>
          <w:szCs w:val="28"/>
          <w:lang w:eastAsia="en-US"/>
        </w:rPr>
        <w:t xml:space="preserve"> внешнего вида </w:t>
      </w:r>
      <w:r>
        <w:rPr>
          <w:sz w:val="28"/>
          <w:szCs w:val="28"/>
        </w:rPr>
        <w:t xml:space="preserve">места (площадки) накопления отходов</w:t>
      </w:r>
      <w:r>
        <w:rPr>
          <w:rFonts w:eastAsia="Calibri"/>
          <w:sz w:val="28"/>
          <w:szCs w:val="28"/>
          <w:lang w:eastAsia="en-US"/>
        </w:rPr>
        <w:t xml:space="preserve"> автостоянки в границах </w:t>
      </w:r>
      <w:r>
        <w:rPr>
          <w:sz w:val="28"/>
          <w:szCs w:val="28"/>
          <w:lang w:eastAsia="ru-RU"/>
        </w:rPr>
        <w:t xml:space="preserve">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к градостроительным регламентам </w:t>
      </w:r>
      <w:r>
        <w:rPr>
          <w:sz w:val="28"/>
          <w:szCs w:val="28"/>
        </w:rPr>
        <w:br/>
        <w:t xml:space="preserve">и режимами использования земель данных зон охраны размещение автостоянки не запрещено, на территориях, выходящих на </w:t>
      </w:r>
      <w:r>
        <w:rPr>
          <w:sz w:val="28"/>
          <w:szCs w:val="28"/>
          <w:lang w:eastAsia="ru-RU"/>
        </w:rPr>
        <w:t xml:space="preserve">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значения, </w:t>
      </w:r>
      <w:r>
        <w:rPr>
          <w:sz w:val="28"/>
          <w:szCs w:val="28"/>
        </w:rPr>
        <w:t xml:space="preserve">приведен в приложении 6 к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требования к </w:t>
      </w:r>
      <w:r>
        <w:rPr>
          <w:sz w:val="28"/>
          <w:szCs w:val="28"/>
        </w:rPr>
        <w:t xml:space="preserve">месту (площадке) нако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ления отходов не устанавливаются;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9.4.1.7 требования к </w:t>
      </w:r>
      <w:r>
        <w:rPr>
          <w:sz w:val="28"/>
          <w:szCs w:val="28"/>
          <w:lang w:eastAsia="ru-RU"/>
        </w:rPr>
        <w:t xml:space="preserve">разделительным элементам (разметка </w:t>
      </w:r>
      <w:r>
        <w:rPr>
          <w:sz w:val="28"/>
          <w:szCs w:val="28"/>
          <w:lang w:eastAsia="ru-RU"/>
        </w:rPr>
        <w:t xml:space="preserve">машино-мест</w:t>
      </w:r>
      <w:r>
        <w:rPr>
          <w:sz w:val="28"/>
          <w:szCs w:val="28"/>
          <w:lang w:eastAsia="ru-RU"/>
        </w:rPr>
        <w:t xml:space="preserve">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</w:t>
      </w:r>
      <w:r>
        <w:rPr>
          <w:sz w:val="28"/>
          <w:szCs w:val="28"/>
          <w:lang w:eastAsia="ru-RU"/>
        </w:rPr>
        <w:br/>
        <w:t xml:space="preserve">значения, – на территории автостоянки должны быть разделительные элементы (разметка </w:t>
      </w:r>
      <w:r>
        <w:rPr>
          <w:sz w:val="28"/>
          <w:szCs w:val="28"/>
          <w:lang w:eastAsia="ru-RU"/>
        </w:rPr>
        <w:t xml:space="preserve">машино-мест</w:t>
      </w:r>
      <w:r>
        <w:rPr>
          <w:sz w:val="28"/>
          <w:szCs w:val="28"/>
          <w:lang w:eastAsia="ru-RU"/>
        </w:rPr>
        <w:t xml:space="preserve">) в виде белых полос,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размеры </w:t>
      </w:r>
      <w:r>
        <w:rPr>
          <w:sz w:val="28"/>
          <w:szCs w:val="28"/>
          <w:lang w:eastAsia="ru-RU"/>
        </w:rPr>
        <w:t xml:space="preserve">машино-мест</w:t>
      </w:r>
      <w:r>
        <w:rPr>
          <w:sz w:val="28"/>
          <w:szCs w:val="28"/>
          <w:lang w:eastAsia="ru-RU"/>
        </w:rPr>
        <w:t xml:space="preserve"> определяются в соответствии с требованиями дейс</w:t>
      </w:r>
      <w:r>
        <w:rPr>
          <w:sz w:val="28"/>
          <w:szCs w:val="28"/>
          <w:lang w:eastAsia="ru-RU"/>
        </w:rPr>
        <w:t xml:space="preserve">т</w:t>
      </w:r>
      <w:r>
        <w:rPr>
          <w:sz w:val="28"/>
          <w:szCs w:val="28"/>
          <w:lang w:eastAsia="ru-RU"/>
        </w:rPr>
        <w:t xml:space="preserve">вующего законодательства (ГОСТ);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требование к наличию на территории автостоянки  </w:t>
      </w:r>
      <w:r>
        <w:rPr>
          <w:sz w:val="28"/>
          <w:szCs w:val="28"/>
          <w:lang w:eastAsia="ru-RU"/>
        </w:rPr>
        <w:t xml:space="preserve">разделительных элементов (разметка </w:t>
      </w:r>
      <w:r>
        <w:rPr>
          <w:sz w:val="28"/>
          <w:szCs w:val="28"/>
          <w:lang w:eastAsia="ru-RU"/>
        </w:rPr>
        <w:t xml:space="preserve">машино-мест</w:t>
      </w:r>
      <w:r>
        <w:rPr>
          <w:sz w:val="28"/>
          <w:szCs w:val="28"/>
          <w:lang w:eastAsia="ru-RU"/>
        </w:rPr>
        <w:t xml:space="preserve">) в виде белых полос не устанавливается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  <w:highlight w:val="white"/>
        </w:rPr>
        <w:t xml:space="preserve">1.8 </w:t>
      </w:r>
      <w:r>
        <w:rPr>
          <w:sz w:val="28"/>
          <w:szCs w:val="28"/>
          <w:highlight w:val="white"/>
        </w:rPr>
        <w:t xml:space="preserve">абзац третий пункта 9.4.2.2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«сплошные ограждения (заборы) должны быть чистыми, без повреждений, ограждения, расположенные в зоне жилой застройки, допускается окрашивать контрастным рисунком, в том числе размещать (наносить) объекты уличного и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кусства (</w:t>
      </w:r>
      <w:r>
        <w:rPr>
          <w:sz w:val="28"/>
          <w:szCs w:val="28"/>
          <w:highlight w:val="white"/>
        </w:rPr>
        <w:t xml:space="preserve">стрит-арт</w:t>
      </w:r>
      <w:r>
        <w:rPr>
          <w:sz w:val="28"/>
          <w:szCs w:val="28"/>
          <w:highlight w:val="white"/>
        </w:rPr>
        <w:t xml:space="preserve">, граффити, </w:t>
      </w:r>
      <w:r>
        <w:rPr>
          <w:sz w:val="28"/>
          <w:szCs w:val="28"/>
          <w:highlight w:val="white"/>
        </w:rPr>
        <w:t xml:space="preserve">муралы</w:t>
      </w:r>
      <w:r>
        <w:rPr>
          <w:sz w:val="28"/>
          <w:szCs w:val="28"/>
          <w:highlight w:val="white"/>
        </w:rPr>
        <w:t xml:space="preserve">) в соответствии с требованиями, </w:t>
      </w:r>
      <w:r>
        <w:rPr>
          <w:sz w:val="28"/>
          <w:szCs w:val="28"/>
        </w:rPr>
        <w:t xml:space="preserve">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ленными в приложении 24 к Правилам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1.9 дополнить пунктом 9.4.4.6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«9.4.4.6. на Нестационарные объекты, за исключением Нестационарных объектов, внешний облик которых определен Правилами и не может быть изм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нен, </w:t>
      </w:r>
      <w:r>
        <w:rPr>
          <w:sz w:val="28"/>
          <w:szCs w:val="28"/>
        </w:rPr>
        <w:t xml:space="preserve">допускается размещение (нанесение) объектов </w:t>
      </w:r>
      <w:bookmarkStart w:id="1" w:name="undefined"/>
      <w:r/>
      <w:bookmarkEnd w:id="1"/>
      <w:r>
        <w:rPr>
          <w:sz w:val="28"/>
          <w:szCs w:val="28"/>
        </w:rPr>
        <w:t xml:space="preserve">уличного искусства (</w:t>
      </w:r>
      <w:r>
        <w:rPr>
          <w:sz w:val="28"/>
          <w:szCs w:val="28"/>
        </w:rPr>
        <w:t xml:space="preserve">стрит-арт</w:t>
      </w:r>
      <w:r>
        <w:rPr>
          <w:sz w:val="28"/>
          <w:szCs w:val="28"/>
        </w:rPr>
        <w:t xml:space="preserve">, граффити, </w:t>
      </w:r>
      <w:r>
        <w:rPr>
          <w:sz w:val="28"/>
          <w:szCs w:val="28"/>
        </w:rPr>
        <w:t xml:space="preserve">муралы</w:t>
      </w:r>
      <w:r>
        <w:rPr>
          <w:sz w:val="28"/>
          <w:szCs w:val="28"/>
        </w:rPr>
        <w:t xml:space="preserve">) в соответствии с требованиями, установленными в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ложении 24 к Правилам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</w:t>
      </w:r>
      <w:r>
        <w:rPr>
          <w:sz w:val="28"/>
          <w:szCs w:val="28"/>
        </w:rPr>
        <w:t xml:space="preserve">10 абзац первый подпункта 9.4.5.3 дополнить словами «либо пластиковых панелей»;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подпункт 9.4.5.6 изложить в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«9.4.5.6. примеры внешнего вида ограждений строительной площадки (з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бор), навесов, стоек приведены в приложении 7 к Правилам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1.12. в подпункте </w:t>
      </w:r>
      <w:r>
        <w:rPr>
          <w:sz w:val="28"/>
          <w:szCs w:val="28"/>
          <w:lang w:eastAsia="ru-RU"/>
        </w:rPr>
        <w:t xml:space="preserve">11.3.4.4.1: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1.12.1</w:t>
      </w:r>
      <w:r>
        <w:rPr>
          <w:sz w:val="28"/>
          <w:szCs w:val="28"/>
          <w:lang w:eastAsia="ru-RU"/>
        </w:rPr>
        <w:t xml:space="preserve"> абзац первый дополнить словами «(за исключением отделочных м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териалов капитальных объектов, расположенных на земельных участках в составе производственных зон, предназначенных для застройки промышленными, ко</w:t>
      </w:r>
      <w:r>
        <w:rPr>
          <w:sz w:val="28"/>
          <w:szCs w:val="28"/>
          <w:lang w:eastAsia="ru-RU"/>
        </w:rPr>
        <w:t xml:space="preserve">м</w:t>
      </w:r>
      <w:r>
        <w:rPr>
          <w:sz w:val="28"/>
          <w:szCs w:val="28"/>
          <w:lang w:eastAsia="ru-RU"/>
        </w:rPr>
        <w:t xml:space="preserve">мунально-складскими, иными производственными объектами)»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1.12.2 в абзаце десятом слова «, а также отделочных материалов капитал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ных объектов, расположенных на земельных участках в составе производстве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ных зон, предназначенных для застройки промышленными, коммунально-складскими, иными производственными объектами</w:t>
      </w:r>
      <w:r>
        <w:rPr>
          <w:sz w:val="28"/>
          <w:szCs w:val="28"/>
          <w:lang w:eastAsia="ru-RU"/>
        </w:rPr>
        <w:t xml:space="preserve">» исключить;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1.12.3 дополнить подпунктом 11.3.4.4.1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следующего содержания: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11.3.4.4.1</w:t>
      </w:r>
      <w:r>
        <w:rPr>
          <w:sz w:val="28"/>
          <w:szCs w:val="28"/>
          <w:vertAlign w:val="superscript"/>
          <w:lang w:eastAsia="ru-RU"/>
        </w:rPr>
        <w:t xml:space="preserve">1 </w:t>
      </w:r>
      <w:r>
        <w:rPr>
          <w:sz w:val="28"/>
          <w:szCs w:val="28"/>
          <w:lang w:eastAsia="ru-RU"/>
        </w:rPr>
        <w:t xml:space="preserve">использование отделочных материалов капитальных объектов, расположенных на земельных участках в составе производственных зон, предн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значенных для застройки промышленными, коммунально-складскими, иными производственными объектами, указанных в подпункте 11.3.4.4.1</w:t>
      </w:r>
      <w:r>
        <w:rPr>
          <w:sz w:val="28"/>
          <w:szCs w:val="28"/>
          <w:lang w:eastAsia="ru-RU"/>
        </w:rPr>
        <w:t xml:space="preserve"> Правил допу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кается за исключе</w:t>
      </w:r>
      <w:r>
        <w:rPr>
          <w:sz w:val="28"/>
          <w:szCs w:val="28"/>
          <w:lang w:eastAsia="ru-RU"/>
        </w:rPr>
        <w:t xml:space="preserve">ние</w:t>
      </w:r>
      <w:r>
        <w:rPr>
          <w:sz w:val="28"/>
          <w:szCs w:val="28"/>
          <w:lang w:eastAsia="ru-RU"/>
        </w:rPr>
        <w:t xml:space="preserve">м случаев размещения таких объектов в границах </w:t>
      </w:r>
      <w:r>
        <w:rPr>
          <w:sz w:val="28"/>
          <w:szCs w:val="28"/>
          <w:lang w:eastAsia="ru-RU"/>
        </w:rPr>
        <w:t xml:space="preserve">городск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го центра, а также </w:t>
      </w:r>
      <w:r>
        <w:rPr>
          <w:sz w:val="28"/>
          <w:szCs w:val="28"/>
          <w:lang w:eastAsia="ru-RU"/>
        </w:rPr>
        <w:t xml:space="preserve">на территориях, выходящих на улицы особого градостроител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ного значения – магистрали городского значения</w:t>
      </w:r>
      <w:r>
        <w:rPr>
          <w:sz w:val="28"/>
          <w:szCs w:val="28"/>
          <w:lang w:eastAsia="ru-RU"/>
        </w:rPr>
        <w:t xml:space="preserve">;»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подпункт 11.4.2.1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«Размещение указателей с наименованиями улиц и номерами домов (зд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ний) осуществляется в течение тридцати дней после дня присвоения адреса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тальному объекту</w:t>
      </w:r>
      <w:r>
        <w:rPr>
          <w:sz w:val="28"/>
          <w:szCs w:val="28"/>
        </w:rPr>
        <w:t xml:space="preserve">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</w:t>
      </w:r>
      <w:r>
        <w:rPr>
          <w:sz w:val="28"/>
          <w:szCs w:val="28"/>
          <w:highlight w:val="white"/>
        </w:rPr>
        <w:t xml:space="preserve">4</w:t>
      </w:r>
      <w:r>
        <w:rPr>
          <w:sz w:val="28"/>
          <w:szCs w:val="28"/>
          <w:highlight w:val="white"/>
        </w:rPr>
        <w:t xml:space="preserve"> пункт 11.5 изложить в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«11.5. Требования к размещению (нанесению) объектов уличного искусства (</w:t>
      </w:r>
      <w:r>
        <w:rPr>
          <w:sz w:val="28"/>
          <w:szCs w:val="28"/>
          <w:highlight w:val="white"/>
        </w:rPr>
        <w:t xml:space="preserve">стрит-арт</w:t>
      </w:r>
      <w:r>
        <w:rPr>
          <w:sz w:val="28"/>
          <w:szCs w:val="28"/>
          <w:highlight w:val="white"/>
        </w:rPr>
        <w:t xml:space="preserve">, граффити, </w:t>
      </w:r>
      <w:r>
        <w:rPr>
          <w:sz w:val="28"/>
          <w:szCs w:val="28"/>
          <w:highlight w:val="white"/>
        </w:rPr>
        <w:t xml:space="preserve">муралы</w:t>
      </w:r>
      <w:r>
        <w:rPr>
          <w:sz w:val="28"/>
          <w:szCs w:val="28"/>
          <w:highlight w:val="white"/>
        </w:rPr>
        <w:t xml:space="preserve">) на фасадах капитальных объектов, на сплошных </w:t>
      </w:r>
      <w:r>
        <w:rPr>
          <w:sz w:val="28"/>
          <w:szCs w:val="28"/>
        </w:rPr>
        <w:t xml:space="preserve">ограждениях (заборах),</w:t>
      </w:r>
      <w:r>
        <w:rPr>
          <w:iCs/>
          <w:sz w:val="28"/>
          <w:szCs w:val="28"/>
        </w:rPr>
        <w:t xml:space="preserve"> являющихся</w:t>
      </w:r>
      <w:r>
        <w:rPr>
          <w:sz w:val="28"/>
          <w:szCs w:val="28"/>
        </w:rPr>
        <w:t xml:space="preserve"> капитальными объектами, установлены в приложении 24 к Правилам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3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Требованиях к </w:t>
      </w:r>
      <w:r>
        <w:rPr>
          <w:bCs/>
          <w:sz w:val="28"/>
          <w:szCs w:val="28"/>
        </w:rPr>
        <w:t xml:space="preserve">содержанию паспорта внешнего облика (колерного паспорта) объекта капитального строительства (за исключением объекта, стро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тельство которого не завершено) (приложение 2) </w:t>
      </w:r>
      <w:r>
        <w:rPr>
          <w:rFonts w:eastAsia="Calibri"/>
          <w:sz w:val="28"/>
          <w:szCs w:val="28"/>
          <w:lang w:eastAsia="en-US"/>
        </w:rPr>
        <w:t xml:space="preserve">абзац шестой пункта 5 </w:t>
      </w:r>
      <w:r>
        <w:rPr>
          <w:bCs/>
          <w:sz w:val="28"/>
          <w:szCs w:val="28"/>
        </w:rPr>
        <w:t xml:space="preserve">признать утратившим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highlight w:val="white"/>
        </w:rPr>
        <w:t xml:space="preserve">1.1</w:t>
      </w:r>
      <w:r>
        <w:rPr>
          <w:sz w:val="28"/>
          <w:szCs w:val="28"/>
          <w:highlight w:val="white"/>
        </w:rPr>
        <w:t xml:space="preserve">6</w:t>
      </w:r>
      <w:r>
        <w:rPr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Требования к внешнему виду, размерам элементов благоустройства а</w:t>
      </w:r>
      <w:r>
        <w:rPr>
          <w:rFonts w:eastAsia="Calibri"/>
          <w:sz w:val="28"/>
          <w:szCs w:val="28"/>
          <w:lang w:eastAsia="en-US"/>
        </w:rPr>
        <w:t xml:space="preserve">в</w:t>
      </w:r>
      <w:r>
        <w:rPr>
          <w:rFonts w:eastAsia="Calibri"/>
          <w:sz w:val="28"/>
          <w:szCs w:val="28"/>
          <w:lang w:eastAsia="en-US"/>
        </w:rPr>
        <w:t xml:space="preserve">тостоянки, требования к местам их размещения (приложение 6) изложить </w:t>
      </w:r>
      <w:r>
        <w:rPr>
          <w:rFonts w:eastAsia="Calibri"/>
          <w:sz w:val="28"/>
          <w:szCs w:val="28"/>
          <w:lang w:eastAsia="en-US"/>
        </w:rPr>
        <w:br/>
        <w:t xml:space="preserve">в редакции согласно приложению 1 к настоящему решению;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Графическое изображение требований к ограждениям строительной площадки (заборам), навесам, стойкам (приложение 7) изложить в редакции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гласно приложению 2 к настоящему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дополнить приложением 24 «</w:t>
      </w:r>
      <w:r>
        <w:rPr>
          <w:sz w:val="28"/>
          <w:szCs w:val="28"/>
        </w:rPr>
        <w:t xml:space="preserve">Требования к размещению (нанесению) объектов уличного искусства (</w:t>
      </w:r>
      <w:r>
        <w:rPr>
          <w:sz w:val="28"/>
          <w:szCs w:val="28"/>
        </w:rPr>
        <w:t xml:space="preserve">стрит-арт</w:t>
      </w:r>
      <w:r>
        <w:rPr>
          <w:sz w:val="28"/>
          <w:szCs w:val="28"/>
        </w:rPr>
        <w:t xml:space="preserve">, граффити, </w:t>
      </w:r>
      <w:r>
        <w:rPr>
          <w:sz w:val="28"/>
          <w:szCs w:val="28"/>
        </w:rPr>
        <w:t xml:space="preserve">муралы</w:t>
      </w:r>
      <w:r>
        <w:rPr>
          <w:sz w:val="28"/>
          <w:szCs w:val="28"/>
        </w:rPr>
        <w:t xml:space="preserve">) на фасадах кап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тальных объектов, некапитальных объектов, на сплошных ограждениях (заборах), иных объектах» согласно приложению 3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</w:t>
      </w:r>
      <w:r>
        <w:rPr>
          <w:sz w:val="28"/>
          <w:szCs w:val="28"/>
        </w:rPr>
        <w:t xml:space="preserve"> В отношении элементов благоустройства автостоянок, которые на день вступления в силу настоящего решения не соответствуют установленным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стоящим решением требованиям, правообладатели автостоянок в течение 12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сяцев со дня вступления в силу настоящего решения должны привести элементы благоустройства автостоянок в соответствие установленным Правилами благоу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тройства территории города Перми требованиям.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отношении элементов благоустройства </w:t>
      </w:r>
      <w:r>
        <w:rPr>
          <w:sz w:val="28"/>
          <w:szCs w:val="28"/>
        </w:rPr>
        <w:t xml:space="preserve">велопарковок</w:t>
      </w:r>
      <w:r>
        <w:rPr>
          <w:sz w:val="28"/>
          <w:szCs w:val="28"/>
        </w:rPr>
        <w:t xml:space="preserve">, объектов уличн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искусства (</w:t>
      </w:r>
      <w:r>
        <w:rPr>
          <w:sz w:val="28"/>
          <w:szCs w:val="28"/>
        </w:rPr>
        <w:t xml:space="preserve">стрит-арт</w:t>
      </w:r>
      <w:r>
        <w:rPr>
          <w:sz w:val="28"/>
          <w:szCs w:val="28"/>
        </w:rPr>
        <w:t xml:space="preserve">, граффити, </w:t>
      </w:r>
      <w:r>
        <w:rPr>
          <w:sz w:val="28"/>
          <w:szCs w:val="28"/>
        </w:rPr>
        <w:t xml:space="preserve">муралы</w:t>
      </w:r>
      <w:r>
        <w:rPr>
          <w:sz w:val="28"/>
          <w:szCs w:val="28"/>
        </w:rPr>
        <w:t xml:space="preserve">), раз</w:t>
      </w:r>
      <w:r>
        <w:rPr>
          <w:sz w:val="28"/>
          <w:szCs w:val="28"/>
        </w:rPr>
        <w:t xml:space="preserve">мещенных на фасадах объектов капитального строительства (за исключением объектов, строительство которых не завершено) (далее – капитальные объекты), на сплошных ограждениях (заборах), расположенных на территориях, выходящих на улицы особого градостроительн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значения – магистрали городского значения, в редакции настоящего решения, и ранее не входивших в перечень улиц особого градостроительного </w:t>
      </w:r>
      <w:r>
        <w:rPr>
          <w:sz w:val="28"/>
          <w:szCs w:val="28"/>
        </w:rPr>
        <w:t xml:space="preserve">значения – магистралей</w:t>
      </w:r>
      <w:r>
        <w:rPr>
          <w:sz w:val="28"/>
          <w:szCs w:val="28"/>
        </w:rPr>
        <w:t xml:space="preserve"> городского значения до вступления</w:t>
      </w:r>
      <w:r>
        <w:rPr>
          <w:sz w:val="28"/>
          <w:szCs w:val="28"/>
        </w:rPr>
        <w:t xml:space="preserve"> в силу настоящего решения,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торые на день вступления в силу настоящего решения не соответствуют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ленным Правилами благоустройства территории города Перми требованиям, пр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вообладатели указанных элементов благоустройства в течение 12 месяцев после дня вступления в силу настоящего решения должны привести элементы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в соответствие установленным Правилами благоустройства территории города Перми требованиям.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ru-RU"/>
        </w:rPr>
        <w:t xml:space="preserve">В отношении наружных блоков систем кондиционирования, размеще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ных на фасадах капитальных объектов, расположенных на территориях, выход</w:t>
      </w:r>
      <w:r>
        <w:rPr>
          <w:sz w:val="28"/>
          <w:szCs w:val="28"/>
          <w:lang w:eastAsia="ru-RU"/>
        </w:rPr>
        <w:t xml:space="preserve">я</w:t>
      </w:r>
      <w:r>
        <w:rPr>
          <w:sz w:val="28"/>
          <w:szCs w:val="28"/>
          <w:lang w:eastAsia="ru-RU"/>
        </w:rPr>
        <w:t xml:space="preserve">щих на улицы особого градостроительного значения – магистрали городского зн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чения, </w:t>
      </w:r>
      <w:r>
        <w:rPr>
          <w:sz w:val="28"/>
          <w:szCs w:val="28"/>
        </w:rPr>
        <w:t xml:space="preserve">в редакции настоящего решения, и ранее не входивших в перечень улиц особого градостроительного </w:t>
      </w:r>
      <w:r>
        <w:rPr>
          <w:sz w:val="28"/>
          <w:szCs w:val="28"/>
        </w:rPr>
        <w:t xml:space="preserve">значения – магистралей</w:t>
      </w:r>
      <w:r>
        <w:rPr>
          <w:sz w:val="28"/>
          <w:szCs w:val="28"/>
        </w:rPr>
        <w:t xml:space="preserve"> городского значения до вст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пления в силу настоящего решения, которые на день вступления в силу настоящ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решения не соответствуют установленным Правилами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требованиям,</w:t>
      </w:r>
      <w:r>
        <w:rPr>
          <w:sz w:val="28"/>
          <w:szCs w:val="28"/>
          <w:lang w:eastAsia="ru-RU"/>
        </w:rPr>
        <w:t xml:space="preserve"> за исключением объектов культурного насл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дия, выявленных объектов культурного наследия, владельцы указанных нару</w:t>
      </w:r>
      <w:r>
        <w:rPr>
          <w:sz w:val="28"/>
          <w:szCs w:val="28"/>
          <w:lang w:eastAsia="ru-RU"/>
        </w:rPr>
        <w:t xml:space="preserve">ж</w:t>
      </w:r>
      <w:r>
        <w:rPr>
          <w:sz w:val="28"/>
          <w:szCs w:val="28"/>
          <w:lang w:eastAsia="ru-RU"/>
        </w:rPr>
        <w:t xml:space="preserve">ных блоков систем кондиционирования в течение 36 месяцев после дня вступл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ния в силу настоящего решения должны установить маскирующие ограждения наружных блоков систем кондиционирования в соответствии с требованиями к </w:t>
      </w:r>
      <w:r>
        <w:rPr>
          <w:sz w:val="28"/>
          <w:szCs w:val="28"/>
          <w:lang w:eastAsia="ru-RU"/>
        </w:rPr>
        <w:t xml:space="preserve">маскирующим ограждениям наружных блоков систем кондиционирования, уст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новленными </w:t>
      </w:r>
      <w:r>
        <w:rPr>
          <w:sz w:val="28"/>
          <w:szCs w:val="28"/>
        </w:rPr>
        <w:t xml:space="preserve">Правилами благоустройства территории города Перми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Требования абзаца первого настоящего пункта не распространяются на вл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дельцев маскирующих ограждений наружных блоков систем кондиционирования, размещенных в местах, предусмотренных проектной документацией при стро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тельстве, реконструкции, капитальном ремонте капитального объекта.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отношении</w:t>
      </w:r>
      <w:r>
        <w:rPr>
          <w:sz w:val="28"/>
          <w:szCs w:val="28"/>
          <w:lang w:eastAsia="ru-RU"/>
        </w:rPr>
        <w:t xml:space="preserve"> капитальных объектов, обращенных одним из фасадов на 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значения, </w:t>
      </w:r>
      <w:r>
        <w:rPr>
          <w:sz w:val="28"/>
          <w:szCs w:val="28"/>
        </w:rPr>
        <w:t xml:space="preserve">в редакции настоящего решения, и ранее не входивших в перечень улиц особого градостроительного </w:t>
      </w:r>
      <w:r>
        <w:rPr>
          <w:sz w:val="28"/>
          <w:szCs w:val="28"/>
        </w:rPr>
        <w:t xml:space="preserve">значения – магистралей</w:t>
      </w:r>
      <w:r>
        <w:rPr>
          <w:sz w:val="28"/>
          <w:szCs w:val="28"/>
        </w:rPr>
        <w:t xml:space="preserve"> городского значения до вступления в силу настоящего решения, которые на день вступления в силу настоящего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не соответствуют установленным Правилами благоустройства территории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требованиям,</w:t>
      </w:r>
      <w:r>
        <w:rPr>
          <w:sz w:val="28"/>
          <w:szCs w:val="28"/>
          <w:lang w:eastAsia="ru-RU"/>
        </w:rPr>
        <w:t xml:space="preserve"> за исключением объектов культурного наследия, выя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ленных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объектов культурного наследия, многоквартирных домов, объектов инд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видуального жилищного строительства, гаражей, собственники или иные вл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дельцы указанных капитальных объектов, а</w:t>
      </w:r>
      <w:r>
        <w:rPr>
          <w:sz w:val="28"/>
          <w:szCs w:val="28"/>
          <w:lang w:eastAsia="ru-RU"/>
        </w:rPr>
        <w:t xml:space="preserve"> также организации, обеспечивающие содержание указанных капитальных объектов, в течение 60 месяцев после дня вступления в силу настоящего решения должны привести фасады капитальных объектов в соответствие требованиям пункта 11.3 Правил благоустройства терр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Для выполнения обязанностей, указанных в абзаце первом настоящего пункта, собственники или иные владельцы капитальных объектов должны разр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ботать паспорт внешнего облика (колерный паспорт) капитального объекта </w:t>
      </w:r>
      <w:r>
        <w:rPr>
          <w:sz w:val="28"/>
          <w:szCs w:val="28"/>
          <w:lang w:eastAsia="ru-RU"/>
        </w:rPr>
        <w:br/>
        <w:t xml:space="preserve">(далее – колерный паспорт капитального объекта), устанавливающий внешний облик (вид) фасадов капитального объекта, соответствующий требованиям Пр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вил благоустройства территории города Перми, и обеспечить его согласование </w:t>
        <w:br/>
        <w:t xml:space="preserve">в соответствии с требованиями Правил благоустройства территории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6. </w:t>
      </w:r>
      <w:r>
        <w:rPr>
          <w:sz w:val="28"/>
          <w:szCs w:val="28"/>
        </w:rPr>
        <w:t xml:space="preserve">В отношении</w:t>
      </w:r>
      <w:r>
        <w:rPr>
          <w:sz w:val="28"/>
          <w:szCs w:val="28"/>
          <w:lang w:eastAsia="ru-RU"/>
        </w:rPr>
        <w:t xml:space="preserve"> капитальных объектов, обращенных одним из фасадов на улицу особого градостроительного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значения, </w:t>
      </w:r>
      <w:r>
        <w:rPr>
          <w:sz w:val="28"/>
          <w:szCs w:val="28"/>
        </w:rPr>
        <w:br/>
        <w:t xml:space="preserve">в редакции настоящего решения, и ранее не входивших в перечень улиц особого градостроительного </w:t>
      </w:r>
      <w:r>
        <w:rPr>
          <w:sz w:val="28"/>
          <w:szCs w:val="28"/>
        </w:rPr>
        <w:t xml:space="preserve">значения – магистралей</w:t>
      </w:r>
      <w:r>
        <w:rPr>
          <w:sz w:val="28"/>
          <w:szCs w:val="28"/>
        </w:rPr>
        <w:t xml:space="preserve"> городского значения до вступления в силу настоящего решения, внешний облик (вид) фасада которых на день вступл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в силу настоящего решения не соответствуют установленным Правилами бл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гоустройства территории города Перми требованиям,</w:t>
      </w:r>
      <w:r>
        <w:rPr>
          <w:sz w:val="28"/>
          <w:szCs w:val="28"/>
          <w:lang w:eastAsia="ru-RU"/>
        </w:rPr>
        <w:t xml:space="preserve"> собственник или</w:t>
      </w:r>
      <w:r>
        <w:rPr>
          <w:sz w:val="28"/>
          <w:szCs w:val="28"/>
          <w:lang w:eastAsia="ru-RU"/>
        </w:rPr>
        <w:t xml:space="preserve"> иной вл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делец такого объекта должен разработать колерный паспорт капитального объе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та в соответствии с требованиями к внешнему облику (виду) фасада капитального объекта, установленными Правилами благоустройства территории города Перми, и обеспечить его согласование в соответствии с требованиями </w:t>
      </w:r>
      <w:r>
        <w:rPr>
          <w:sz w:val="28"/>
          <w:szCs w:val="28"/>
          <w:lang w:eastAsia="ru-RU"/>
        </w:rPr>
        <w:t xml:space="preserve">Правил благоус</w:t>
      </w:r>
      <w:r>
        <w:rPr>
          <w:sz w:val="28"/>
          <w:szCs w:val="28"/>
          <w:lang w:eastAsia="ru-RU"/>
        </w:rPr>
        <w:t xml:space="preserve">т</w:t>
      </w:r>
      <w:r>
        <w:rPr>
          <w:sz w:val="28"/>
          <w:szCs w:val="28"/>
          <w:lang w:eastAsia="ru-RU"/>
        </w:rPr>
        <w:t xml:space="preserve">ройства территории города Перми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Требование абзаца первого настоящего пункта не применяется в отношении капитальных объектов, обращенных одним из фасадов на улицу особого град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строительного </w:t>
      </w:r>
      <w:r>
        <w:rPr>
          <w:sz w:val="28"/>
          <w:szCs w:val="28"/>
          <w:lang w:eastAsia="ru-RU"/>
        </w:rPr>
        <w:t xml:space="preserve">значения – магистраль</w:t>
      </w:r>
      <w:r>
        <w:rPr>
          <w:sz w:val="28"/>
          <w:szCs w:val="28"/>
          <w:lang w:eastAsia="ru-RU"/>
        </w:rPr>
        <w:t xml:space="preserve"> городского значения, в отношении которых в соответствии с законодательством получено решение о согласовании архитекту</w:t>
      </w: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но-градостроительного облика объекта капитального строительства, а также </w:t>
        <w:br/>
        <w:t xml:space="preserve">в о</w:t>
      </w:r>
      <w:r>
        <w:rPr>
          <w:sz w:val="28"/>
          <w:szCs w:val="28"/>
          <w:lang w:eastAsia="ru-RU"/>
        </w:rPr>
        <w:t xml:space="preserve">т</w:t>
      </w:r>
      <w:r>
        <w:rPr>
          <w:sz w:val="28"/>
          <w:szCs w:val="28"/>
          <w:lang w:eastAsia="ru-RU"/>
        </w:rPr>
        <w:t xml:space="preserve">ношении объектов культурного наследия, выявленных объектов культурного н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следия, многоквартирных домов, объектов индивидуального жилищного </w:t>
      </w:r>
      <w:r>
        <w:rPr>
          <w:sz w:val="28"/>
          <w:szCs w:val="28"/>
          <w:lang w:eastAsia="ru-RU"/>
        </w:rPr>
        <w:t xml:space="preserve">стро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тельства, гаражей.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eastAsia="ru-RU"/>
        </w:rPr>
        <w:t xml:space="preserve">В случае если на день вступления в силу настоящего решения на кап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тальных объектах отсутствуют </w:t>
      </w:r>
      <w:r>
        <w:rPr>
          <w:sz w:val="28"/>
          <w:szCs w:val="28"/>
        </w:rPr>
        <w:t xml:space="preserve">указатели с наименованиями улиц и номерами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мов (зданий) </w:t>
      </w:r>
      <w:r>
        <w:rPr>
          <w:sz w:val="28"/>
          <w:szCs w:val="28"/>
          <w:lang w:eastAsia="ru-RU"/>
        </w:rPr>
        <w:t xml:space="preserve">владельцы таких капитальных объектов </w:t>
      </w:r>
      <w:r>
        <w:rPr>
          <w:sz w:val="28"/>
          <w:szCs w:val="28"/>
        </w:rPr>
        <w:t xml:space="preserve">в течение 3 месяцев со дня вступления в силу настоящего решения </w:t>
      </w:r>
      <w:r>
        <w:rPr>
          <w:sz w:val="28"/>
          <w:szCs w:val="28"/>
          <w:lang w:eastAsia="ru-RU"/>
        </w:rPr>
        <w:t xml:space="preserve">должны обеспечить размещение </w:t>
      </w:r>
      <w:r>
        <w:rPr>
          <w:sz w:val="28"/>
          <w:szCs w:val="28"/>
        </w:rPr>
        <w:t xml:space="preserve">указат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лей с наименованием улиц и номерами домов (зданий) в соответствии с устано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ленными Правилами благоустройства территории города Перми требованиями.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Настоящее решение вступает в силу с 01.09.2025.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Обнародовать настоящее решение посредством официального</w:t>
      </w:r>
      <w:r>
        <w:rPr>
          <w:sz w:val="28"/>
          <w:szCs w:val="28"/>
        </w:rPr>
        <w:t xml:space="preserve"> опублик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 Пермь </w:t>
      </w:r>
      <w:hyperlink r:id="rId40" w:tooltip="http://www.gorodperm.ru" w:history="1">
        <w:r>
          <w:rPr>
            <w:rStyle w:val="94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941"/>
            <w:color w:val="000000"/>
            <w:sz w:val="28"/>
            <w:szCs w:val="28"/>
            <w:u w:val="none"/>
          </w:rPr>
          <w:t xml:space="preserve">.</w:t>
        </w:r>
        <w:r>
          <w:rPr>
            <w:rStyle w:val="94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941"/>
            <w:color w:val="000000"/>
            <w:sz w:val="28"/>
            <w:szCs w:val="28"/>
            <w:u w:val="none"/>
          </w:rPr>
          <w:t xml:space="preserve">.</w:t>
        </w:r>
        <w:r>
          <w:rPr>
            <w:rStyle w:val="94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94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Д.В. Малютин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  <w:sectPr>
          <w:headerReference w:type="default" r:id="rId11"/>
          <w:headerReference w:type="even" r:id="rId12"/>
          <w:footerReference w:type="first" r:id="rId15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Пермской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внешнему виду, размерам элементов благоустройства автостоянки,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требования к местам их размещения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98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Требования к внешнему виду, размерам элементов благоустройства 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тостоянки, требования к местам их размещения (далее – Требования) устанавл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вают требования к размерам, конструкциям и материалам, применяемым при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готовлении и отделке элементов благоустройства автостоянки, к цветовому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нию, дополнительные требования к элементам благоустройства автостоянки, </w:t>
        <w:br/>
        <w:t xml:space="preserve">а также требования к вывескам, размещаемым на постах охраны автостоянки.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Требования к типовым проектам постов охраны автостоянки (Тип 1, Тип 2) определяются с учетом их расположения на территории города Перми.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Примеры внешнего вида покрытия автостоянки, информационного об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рудования, типовых проектов постов охраны автостоянки (Тип 1, Тип 2), огра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дений автостоянки, мест (площадок) накопления отходов приведены в прилож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к Требованиям.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Допускаются иные решения внешнего вида покрытий автостоянки, постов охраны автостоянки, ограждений автостоянки, мест (площадок) накопления отх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дов, соответствующие Требованиям.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Порядок </w:t>
      </w:r>
      <w:r>
        <w:rPr>
          <w:sz w:val="28"/>
          <w:szCs w:val="28"/>
        </w:rPr>
        <w:t xml:space="preserve">определения размера типовых проектов постов охраны</w:t>
      </w:r>
      <w:r>
        <w:rPr>
          <w:sz w:val="28"/>
          <w:szCs w:val="28"/>
        </w:rPr>
        <w:t xml:space="preserve"> авт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стоянки (Тип 1, Тип 2) с учетом декоративных элементов внешней отделки: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высота типовых проектов постов охраны автостоянки (Тип 1, Тип 2) рассчитывается от нижней высотной отметки каркаса до верхней высотной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метки крыши;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ширина и длина типовых проектов постов охраны автостоянки (Тип 1, Тип 2) рассчитываются по ширине и длине его внешнего контура, образуемого </w:t>
      </w:r>
      <w:r>
        <w:rPr>
          <w:sz w:val="28"/>
          <w:szCs w:val="28"/>
        </w:rPr>
        <w:br/>
        <w:t xml:space="preserve">по периметру поста охраны автостоянки.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Использование </w:t>
      </w:r>
      <w:r>
        <w:rPr>
          <w:sz w:val="28"/>
          <w:szCs w:val="28"/>
        </w:rPr>
        <w:t xml:space="preserve">доборных</w:t>
      </w:r>
      <w:r>
        <w:rPr>
          <w:sz w:val="28"/>
          <w:szCs w:val="28"/>
        </w:rPr>
        <w:t xml:space="preserve"> элементов для внешней отделки фасадов поста охраны автостоянки не допускается.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Порядок определения размера информационного оборудования, огра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дений автостоянки: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 высота информационного оборудования рассчитывается от уровня земли;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 высота ограждений автостоянки рассчитывается от уровня земли.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Требования к типовым проектам </w:t>
      </w:r>
      <w:r>
        <w:rPr>
          <w:b/>
          <w:sz w:val="28"/>
          <w:szCs w:val="28"/>
        </w:rPr>
        <w:t xml:space="preserve">постов охраны автостоянки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Размеры типовых проектов постов охраны (Тип 1, Тип 2): длина – </w:t>
      </w:r>
      <w:r>
        <w:rPr>
          <w:sz w:val="28"/>
          <w:szCs w:val="28"/>
        </w:rPr>
        <w:br/>
        <w:t xml:space="preserve">от 2,5 м до 3,0 м, ширина – от 2,5 м до 3,0 м, высота – не более 2,8 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Конструкции, требования к их материалам: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каркас: несущие сварные металлические конструкции;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оконные переплеты и двери;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остекление: для Типа 1 – простое прозрачное с антивандальным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крытием, с зеркальным </w:t>
      </w:r>
      <w:r>
        <w:rPr>
          <w:sz w:val="28"/>
          <w:szCs w:val="28"/>
        </w:rPr>
        <w:t xml:space="preserve">тонированием</w:t>
      </w:r>
      <w:r>
        <w:rPr>
          <w:sz w:val="28"/>
          <w:szCs w:val="28"/>
        </w:rPr>
        <w:t xml:space="preserve">, для Типа 2 – простое прозрачное </w:t>
      </w:r>
      <w:r>
        <w:rPr>
          <w:sz w:val="28"/>
          <w:szCs w:val="28"/>
        </w:rPr>
        <w:br/>
        <w:t xml:space="preserve">с антивандальным покрытием, без </w:t>
      </w:r>
      <w:r>
        <w:rPr>
          <w:sz w:val="28"/>
          <w:szCs w:val="28"/>
        </w:rPr>
        <w:t xml:space="preserve">тонирования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Декоративные элементы внешней отделки, требования к их параметрам </w:t>
      </w:r>
      <w:r>
        <w:rPr>
          <w:sz w:val="28"/>
          <w:szCs w:val="28"/>
        </w:rPr>
        <w:br/>
        <w:t xml:space="preserve">и материалам: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панели для отделки фасадов: композит;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 декоративные панели, состоящие из реек (далее – декоративна</w:t>
      </w:r>
      <w:r>
        <w:rPr>
          <w:sz w:val="28"/>
          <w:szCs w:val="28"/>
        </w:rPr>
        <w:t xml:space="preserve">я(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) панель(и): металл или дерево, ширина рейки не менее 0,03 м и не более 0,05 м, расстояние между ближайшими рейками – не менее 0,03 м и не более 0,05 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ные элементы внешней отделки, требования к их материалам: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допускаются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системы (</w:t>
      </w:r>
      <w:r>
        <w:rPr>
          <w:sz w:val="28"/>
          <w:szCs w:val="28"/>
        </w:rPr>
        <w:t xml:space="preserve">рольставни</w:t>
      </w:r>
      <w:r>
        <w:rPr>
          <w:sz w:val="28"/>
          <w:szCs w:val="28"/>
        </w:rPr>
        <w:t xml:space="preserve">) (далее –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системы): металлические с механическим или электрическим приводом;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 допускаются вентиляционные решетки: металл.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Требования к размещению декоративных элементов внешней отделки: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 на главном и (или) боковых фасадах должны быть размещены декор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тивные панели с горизонтальным расположением реек;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 верхняя высотная отметка декоративных панелей должна совпадать </w:t>
      </w:r>
      <w:r>
        <w:rPr>
          <w:sz w:val="28"/>
          <w:szCs w:val="28"/>
        </w:rPr>
        <w:br/>
        <w:t xml:space="preserve">с верхней высотной отметкой оконного или дверного переплета;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 нижняя высотная отметка декоративных панелей не должна прев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шать нижнюю высотную отметку оконного или дверного переплета.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Требования к цветовому решению конструкций и элементов внешней отделки: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 панели для отделки фасадов, оконные переплеты и двери, наружные углы, вентиляционные решетки, </w:t>
      </w:r>
      <w:r>
        <w:rPr>
          <w:sz w:val="28"/>
          <w:szCs w:val="28"/>
        </w:rPr>
        <w:t xml:space="preserve">роллетные</w:t>
      </w:r>
      <w:r>
        <w:rPr>
          <w:sz w:val="28"/>
          <w:szCs w:val="28"/>
        </w:rPr>
        <w:t xml:space="preserve"> системы: должны быть изготовлены </w:t>
      </w:r>
      <w:r>
        <w:rPr>
          <w:sz w:val="28"/>
          <w:szCs w:val="28"/>
        </w:rPr>
        <w:br/>
        <w:t xml:space="preserve">в едином цвете RAL 7016 (</w:t>
      </w:r>
      <w:r>
        <w:rPr>
          <w:sz w:val="28"/>
          <w:szCs w:val="28"/>
        </w:rPr>
        <w:t xml:space="preserve">антрацитово-серый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 декоративные панели: RAL 1013 (</w:t>
      </w:r>
      <w:r>
        <w:rPr>
          <w:sz w:val="28"/>
          <w:szCs w:val="28"/>
        </w:rPr>
        <w:t xml:space="preserve">жемчужно-белый</w:t>
      </w:r>
      <w:r>
        <w:rPr>
          <w:sz w:val="28"/>
          <w:szCs w:val="28"/>
        </w:rPr>
        <w:t xml:space="preserve">) или RAL 1015 (светлая слоновая кость).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Дополнительные требования к типовым проектам постов охраны: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в случае неровной поверхности размещение постов охраны должно предусматривать его размещение в ровной горизонтальной плоскости;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 установка кондиционера: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2.7.2.1 допускается внешняя и внутренняя система кондиционирования;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2.7.2.2 при внешнем кондиционировании внешний блок кондиционера ра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полагается на крыше (кровле) киоска;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2.7.2.3 внешний блок кондиционера должен быть размещен по центру 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ши (кровли) с использованием маскирующего ограждения (экрана, решетки) </w:t>
      </w:r>
      <w:r>
        <w:rPr>
          <w:sz w:val="28"/>
          <w:szCs w:val="28"/>
        </w:rPr>
        <w:br/>
        <w:t xml:space="preserve">в цвете RAL 7016 (</w:t>
      </w:r>
      <w:r>
        <w:rPr>
          <w:sz w:val="28"/>
          <w:szCs w:val="28"/>
        </w:rPr>
        <w:t xml:space="preserve">антрацитово-серый</w:t>
      </w:r>
      <w:r>
        <w:rPr>
          <w:sz w:val="28"/>
          <w:szCs w:val="28"/>
        </w:rPr>
        <w:t xml:space="preserve">), со скрытым отводом конденсата;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 на декоративной панели одного из боковых фасадов должен быть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 декоративный знак «Р», выполненный из твердой основы, устойчивой </w:t>
      </w:r>
      <w:r>
        <w:rPr>
          <w:sz w:val="28"/>
          <w:szCs w:val="28"/>
        </w:rPr>
        <w:br/>
        <w:t xml:space="preserve">к погодным воздействиям;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 цветовое решение декоративного знака «Р»: RAL 9001 (кремово-белый), или RAL 9003 (сигнальный белый), или RAL 9010 (белый).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освещения декоративного знака «Р» должны использоваться внутре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ние светильники.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Яркость декоративного знака «Р» – не более 2500 кд/кв. м, без использов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светодинамического</w:t>
      </w:r>
      <w:r>
        <w:rPr>
          <w:sz w:val="28"/>
          <w:szCs w:val="28"/>
        </w:rPr>
        <w:t xml:space="preserve"> (мерцающего) эффекта.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 </w:t>
      </w:r>
      <w:r>
        <w:rPr>
          <w:bCs/>
          <w:sz w:val="28"/>
          <w:szCs w:val="28"/>
        </w:rPr>
        <w:t xml:space="preserve">Требования к вывескам, размещаемым на </w:t>
      </w:r>
      <w:r>
        <w:rPr>
          <w:sz w:val="28"/>
          <w:szCs w:val="28"/>
        </w:rPr>
        <w:t xml:space="preserve">типовых проектах постов о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раны (Тип 1, Тип 2)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2.8.1 в</w:t>
      </w:r>
      <w:r>
        <w:rPr>
          <w:sz w:val="28"/>
          <w:szCs w:val="28"/>
        </w:rPr>
        <w:t xml:space="preserve">ывеска состоит из графической и (или) текстовой частей, размещается на оконном остеклении со стороны главного фасада поста охраны;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 текстовая часть должна быть выполнена в виде </w:t>
      </w:r>
      <w:r>
        <w:rPr>
          <w:sz w:val="28"/>
          <w:szCs w:val="28"/>
        </w:rPr>
        <w:t xml:space="preserve">несплошной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выклейки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буквенных, цифровых символов (знаков) </w:t>
      </w:r>
      <w:r>
        <w:rPr>
          <w:sz w:val="28"/>
          <w:szCs w:val="28"/>
        </w:rPr>
        <w:t xml:space="preserve">из декоративной пленки, занимающих не более 30 % площади одного остекления;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 вывеска размещается на верхней части остекления оконного переплета со стороны главного фасада;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 цветовое решение текстовой части вывески: RAL 9001 (кремово-белый), или RAL 9003 (сигнальный белый), или RAL 9010 (белый).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допускается: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размещать вывеску путем непосредственного нанесения на поверхность графического и (или) текстового изображения (методом покраски и тому подо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ными методами),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размещать вывеску с помощью проектор</w:t>
      </w:r>
      <w:r>
        <w:rPr>
          <w:sz w:val="28"/>
          <w:szCs w:val="28"/>
        </w:rPr>
        <w:t xml:space="preserve">а(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), демонстрации </w:t>
      </w:r>
      <w:r>
        <w:rPr>
          <w:sz w:val="28"/>
          <w:szCs w:val="28"/>
        </w:rPr>
        <w:t xml:space="preserve">постера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 xml:space="preserve">на динамических системах смены изображений или с помощью изображения,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монстрируемого на электронных носителях (экранах (телевизорах), бегущей строке и иных подобных носителях),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или частичная замена остекления постов охраны всех типов (око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и дверных блоков), иных остекленных частей постов охраны всех типов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тронными носителями-экранами (телевизорами), световыми коробами,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или частичное перекрытие (закрытие) оконных и дверных блоков вывесками, а также окраска и (или) покрытие декоративными пленками повер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ности остекления (оконных и дверных блоков) постов охраны всех типов, за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ключением случая, указанного в подпункте 2.8.2 Требований,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вывесок с внутренней стороны оконных блоков постов охраны всех типов.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Требования к информационному оборудованию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Размеры информационного оборудования: высота – 2,8 м, ширина – </w:t>
      </w:r>
      <w:r>
        <w:rPr>
          <w:sz w:val="28"/>
          <w:szCs w:val="28"/>
        </w:rPr>
        <w:br/>
        <w:t xml:space="preserve">0,65 м, толщина – не менее 0,1 м и не более 0,15 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Конструкции, требования к их материалам: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каркас: из твердой основы, устойчивой к погодным воздействиям.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Требования к цветовому решению: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 фон информационного оборудования: RAL 7016 (</w:t>
      </w:r>
      <w:r>
        <w:rPr>
          <w:sz w:val="28"/>
          <w:szCs w:val="28"/>
        </w:rPr>
        <w:t xml:space="preserve">антрацитово-серый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 изображение на информационном оборудовании: RAL 9003 (сигнал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ный белый).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Дополнительные требования: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 графическая и текстовая части вывески на информационном оборуд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вании должны занимать не более 50 % от выделенного поля, с </w:t>
      </w:r>
      <w:r>
        <w:rPr>
          <w:sz w:val="28"/>
          <w:szCs w:val="28"/>
        </w:rPr>
        <w:t xml:space="preserve">несплошным</w:t>
      </w:r>
      <w:r>
        <w:rPr>
          <w:sz w:val="28"/>
          <w:szCs w:val="28"/>
        </w:rPr>
        <w:t xml:space="preserve"> нап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санием информации, цвет RAL 9003 (сигнальный белый).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Требования к месту (площадке) накопления отходов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Размеры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 (площадки) накопления отходов: не устанавливаются.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Конструкции, требования к их материалам: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 каркас: стойки металлические с нанесением порошкового полимерного покрытия;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декоративные панели: металл или дерево, ширина рейки – не менее </w:t>
      </w:r>
      <w:r>
        <w:rPr>
          <w:sz w:val="28"/>
          <w:szCs w:val="28"/>
        </w:rPr>
        <w:br/>
        <w:t xml:space="preserve">0,03 м и не более 0,05 м, расстояние между ближайшими рейками – не менее </w:t>
      </w:r>
      <w:r>
        <w:rPr>
          <w:sz w:val="28"/>
          <w:szCs w:val="28"/>
        </w:rPr>
        <w:br/>
        <w:t xml:space="preserve">0,03 м и не более 0,05 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Требования к цветовому решению: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 стойки металлические: RAL 7016 (</w:t>
      </w:r>
      <w:r>
        <w:rPr>
          <w:sz w:val="28"/>
          <w:szCs w:val="28"/>
        </w:rPr>
        <w:t xml:space="preserve">антрацитово-серый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 декоративные панели: RAL 1013 (жемчужно-белый) или RAL 1015 (светлая слоновая кость);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 контейнер для накопления отходов: RAL 7016 (</w:t>
      </w:r>
      <w:r>
        <w:rPr>
          <w:sz w:val="28"/>
          <w:szCs w:val="28"/>
        </w:rPr>
        <w:t xml:space="preserve">антрацитово-серый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67"/>
        <w:jc w:val="center"/>
        <w:spacing w:line="3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Требования к нестационарному туалету </w:t>
      </w:r>
      <w:r>
        <w:rPr>
          <w:b/>
          <w:sz w:val="28"/>
          <w:szCs w:val="28"/>
        </w:rPr>
        <w:br/>
        <w:t xml:space="preserve">(модульные туалеты или мобильные туалетные кабины)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цветовому решению: RAL 7016 (</w:t>
      </w:r>
      <w:r>
        <w:rPr>
          <w:sz w:val="28"/>
          <w:szCs w:val="28"/>
        </w:rPr>
        <w:t xml:space="preserve">антрацитово-серый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both"/>
        <w:spacing w:line="283" w:lineRule="exact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  <w:sectPr>
          <w:head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Пермской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69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both"/>
        <w:spacing w:line="283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245"/>
        <w:jc w:val="both"/>
        <w:spacing w:line="283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245"/>
        <w:jc w:val="both"/>
        <w:spacing w:line="283" w:lineRule="exact"/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center"/>
        <w:spacing w:line="240" w:lineRule="exact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ТРЕБОВАНИЯ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к размещению (нанесению) объектов уличного искусства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(</w:t>
      </w:r>
      <w:r>
        <w:rPr>
          <w:b/>
          <w:sz w:val="28"/>
          <w:highlight w:val="white"/>
        </w:rPr>
        <w:t xml:space="preserve">стрит-арт</w:t>
      </w:r>
      <w:r>
        <w:rPr>
          <w:b/>
          <w:sz w:val="28"/>
          <w:highlight w:val="white"/>
        </w:rPr>
        <w:t xml:space="preserve">, граффити, </w:t>
      </w:r>
      <w:r>
        <w:rPr>
          <w:b/>
          <w:sz w:val="28"/>
          <w:highlight w:val="white"/>
        </w:rPr>
        <w:t xml:space="preserve">мурали</w:t>
      </w:r>
      <w:r>
        <w:rPr>
          <w:b/>
          <w:sz w:val="28"/>
          <w:highlight w:val="white"/>
        </w:rPr>
        <w:t xml:space="preserve">) на фасадах капитальных объектов,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некапитальных объектов, на сплошных ограждениях (заборах),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иных объектах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firstLine="720"/>
        <w:jc w:val="center"/>
        <w:spacing w:line="240" w:lineRule="exact"/>
        <w:rPr>
          <w:b/>
          <w:sz w:val="28"/>
          <w:highlight w:val="white"/>
        </w:rPr>
      </w:pP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 </w:t>
      </w:r>
      <w:r>
        <w:rPr>
          <w:sz w:val="28"/>
          <w:highlight w:val="white"/>
        </w:rPr>
        <w:t xml:space="preserve">Размещение (нанесение) объектов уличного искусства (</w:t>
      </w:r>
      <w:r>
        <w:rPr>
          <w:sz w:val="28"/>
          <w:highlight w:val="white"/>
        </w:rPr>
        <w:t xml:space="preserve">стрит-арт</w:t>
      </w:r>
      <w:r>
        <w:rPr>
          <w:sz w:val="28"/>
          <w:highlight w:val="white"/>
        </w:rPr>
        <w:t xml:space="preserve">, гра</w:t>
      </w:r>
      <w:r>
        <w:rPr>
          <w:sz w:val="28"/>
          <w:highlight w:val="white"/>
        </w:rPr>
        <w:t xml:space="preserve">ф</w:t>
      </w:r>
      <w:r>
        <w:rPr>
          <w:sz w:val="28"/>
          <w:highlight w:val="white"/>
        </w:rPr>
        <w:t xml:space="preserve">фити, </w:t>
      </w:r>
      <w:r>
        <w:rPr>
          <w:sz w:val="28"/>
          <w:highlight w:val="white"/>
        </w:rPr>
        <w:t xml:space="preserve">мурали</w:t>
      </w:r>
      <w:r>
        <w:rPr>
          <w:sz w:val="28"/>
          <w:highlight w:val="white"/>
        </w:rPr>
        <w:t xml:space="preserve">) (далее – изображение) на фасадах капитальных объектов, некап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тальных объектов, на сплошных ограждениях (заборах), иных объектов (рекла</w:t>
      </w:r>
      <w:r>
        <w:rPr>
          <w:sz w:val="28"/>
          <w:highlight w:val="white"/>
        </w:rPr>
        <w:t xml:space="preserve">м</w:t>
      </w:r>
      <w:r>
        <w:rPr>
          <w:sz w:val="28"/>
          <w:highlight w:val="white"/>
        </w:rPr>
        <w:t xml:space="preserve">ные конструкции, контейнеры, коммуникационные шкафы, малые архитектурные формы и т.д.) (далее – объекты), выходящих на улицы особого градостроительн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го значения – магистрали городского значения, улицы или их части, входящие </w:t>
        <w:br/>
        <w:t xml:space="preserve">в границы городского центра, допускается при условии получения согласования </w:t>
        <w:br/>
        <w:t xml:space="preserve">в порядке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установленном</w:t>
      </w:r>
      <w:r>
        <w:rPr>
          <w:sz w:val="28"/>
          <w:highlight w:val="white"/>
        </w:rPr>
        <w:t xml:space="preserve"> правовым актом администрации города Перми.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Размещение (нанесение) изображений на объектах, расположенных на иных территориях, допускается при условии </w:t>
      </w:r>
      <w:r>
        <w:rPr>
          <w:sz w:val="28"/>
          <w:highlight w:val="white"/>
        </w:rPr>
        <w:t xml:space="preserve">уведомления территориального органа </w:t>
        <w:br/>
        <w:t xml:space="preserve">а</w:t>
      </w:r>
      <w:r>
        <w:rPr>
          <w:sz w:val="28"/>
          <w:highlight w:val="white"/>
        </w:rPr>
        <w:t xml:space="preserve">д</w:t>
      </w:r>
      <w:r>
        <w:rPr>
          <w:sz w:val="28"/>
          <w:highlight w:val="white"/>
        </w:rPr>
        <w:t xml:space="preserve">министрации города Перми</w:t>
      </w:r>
      <w:r>
        <w:rPr>
          <w:sz w:val="28"/>
          <w:highlight w:val="white"/>
        </w:rPr>
        <w:t xml:space="preserve"> в порядке, установленном правовым актом админис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рации города Перми.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Размещение (нанесение) изображений осуществляется при наличии согл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сия собственника объекта или иных законных владельцев объекта.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Размещение (нанесение) изображений на объектах, расположенных в гр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ницах зон действия ограничений по условиям охраны объектов культурного н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следия (достопримечательные места), запрещается.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highlight w:val="white"/>
        </w:rPr>
        <w:t xml:space="preserve">К улицам особого градостроительного значения – магистралям городского значения относятся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(за исключением улиц и частей улиц, входящих в границы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родского центра, зон действия ограничений по условиям охраны объектов кул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турного наследия):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бульвар Гагарина, переулок Ленинский, проспект Декабристов, проспект Парковый, Северная дамба, Средняя дамба, улица Василия Васильева, улица 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денеева, улица </w:t>
      </w:r>
      <w:r>
        <w:rPr>
          <w:sz w:val="28"/>
          <w:szCs w:val="28"/>
        </w:rPr>
        <w:t xml:space="preserve">Ветлужская</w:t>
      </w:r>
      <w:r>
        <w:rPr>
          <w:sz w:val="28"/>
          <w:szCs w:val="28"/>
        </w:rPr>
        <w:t xml:space="preserve">, улица Боровая, улица Встречная, улица Аркадия Га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дара, улица </w:t>
      </w:r>
      <w:r>
        <w:rPr>
          <w:sz w:val="28"/>
          <w:szCs w:val="28"/>
        </w:rPr>
        <w:t xml:space="preserve">Гайвинская</w:t>
      </w:r>
      <w:r>
        <w:rPr>
          <w:sz w:val="28"/>
          <w:szCs w:val="28"/>
        </w:rPr>
        <w:t xml:space="preserve">, улица Героев Хасана, улица Докучаева, улица Дзержи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ского, улица Калинина, улица Карпинского, улица Крупской, улица Куйбышева, улица Космонавта Леонова, улица Локомотивная, улица </w:t>
      </w:r>
      <w:r>
        <w:rPr>
          <w:sz w:val="28"/>
          <w:szCs w:val="28"/>
        </w:rPr>
        <w:t xml:space="preserve">Лянгасова</w:t>
      </w:r>
      <w:r>
        <w:rPr>
          <w:sz w:val="28"/>
          <w:szCs w:val="28"/>
        </w:rPr>
        <w:t xml:space="preserve">, улица Мак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ренко, улица Малкова, улица Маршала Рыбалко, улица Мира, улица</w:t>
      </w:r>
      <w:r>
        <w:rPr>
          <w:sz w:val="28"/>
          <w:szCs w:val="28"/>
        </w:rPr>
        <w:t xml:space="preserve"> Монасты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ская, улица </w:t>
      </w:r>
      <w:r>
        <w:rPr>
          <w:sz w:val="28"/>
          <w:szCs w:val="28"/>
        </w:rPr>
        <w:t xml:space="preserve">Ново-Гайвинская</w:t>
      </w:r>
      <w:r>
        <w:rPr>
          <w:sz w:val="28"/>
          <w:szCs w:val="28"/>
        </w:rPr>
        <w:t xml:space="preserve">, улица Первомайская, улица Писарева, улица Пл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ханова, улица </w:t>
      </w:r>
      <w:r>
        <w:rPr>
          <w:sz w:val="28"/>
          <w:szCs w:val="28"/>
        </w:rPr>
        <w:t xml:space="preserve">Подлесная</w:t>
      </w:r>
      <w:r>
        <w:rPr>
          <w:sz w:val="28"/>
          <w:szCs w:val="28"/>
        </w:rPr>
        <w:t xml:space="preserve">, улица Промышленная, улица Репина, улица </w:t>
      </w:r>
      <w:r>
        <w:rPr>
          <w:sz w:val="28"/>
          <w:szCs w:val="28"/>
        </w:rPr>
        <w:t xml:space="preserve">Светлого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ская</w:t>
      </w:r>
      <w:r>
        <w:rPr>
          <w:sz w:val="28"/>
          <w:szCs w:val="28"/>
        </w:rPr>
        <w:t xml:space="preserve">, улица Архитектора </w:t>
      </w:r>
      <w:r>
        <w:rPr>
          <w:sz w:val="28"/>
          <w:szCs w:val="28"/>
        </w:rPr>
        <w:t xml:space="preserve">Свиязева</w:t>
      </w:r>
      <w:r>
        <w:rPr>
          <w:sz w:val="28"/>
          <w:szCs w:val="28"/>
        </w:rPr>
        <w:t xml:space="preserve">, улица Советской Армии, улица </w:t>
      </w:r>
      <w:r>
        <w:rPr>
          <w:sz w:val="28"/>
          <w:szCs w:val="28"/>
        </w:rPr>
        <w:t xml:space="preserve">Соликамская</w:t>
      </w:r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Спешилова</w:t>
      </w:r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Старцева</w:t>
      </w:r>
      <w:r>
        <w:rPr>
          <w:sz w:val="28"/>
          <w:szCs w:val="28"/>
        </w:rPr>
        <w:t xml:space="preserve">, улица Стахановская, улица Строителей, улица </w:t>
      </w:r>
      <w:r>
        <w:rPr>
          <w:sz w:val="28"/>
          <w:szCs w:val="28"/>
        </w:rPr>
        <w:t xml:space="preserve">Цимлянская</w:t>
      </w:r>
      <w:r>
        <w:rPr>
          <w:sz w:val="28"/>
          <w:szCs w:val="28"/>
        </w:rPr>
        <w:t xml:space="preserve">, улица </w:t>
      </w:r>
      <w:r>
        <w:rPr>
          <w:sz w:val="28"/>
          <w:szCs w:val="28"/>
        </w:rPr>
        <w:t xml:space="preserve">Уинская</w:t>
      </w:r>
      <w:r>
        <w:rPr>
          <w:sz w:val="28"/>
          <w:szCs w:val="28"/>
        </w:rPr>
        <w:t xml:space="preserve">, улица Уральская, улица Ушинского, улица </w:t>
      </w:r>
      <w:r>
        <w:rPr>
          <w:sz w:val="28"/>
          <w:szCs w:val="28"/>
        </w:rPr>
        <w:t xml:space="preserve">Юрша</w:t>
      </w:r>
      <w:r>
        <w:rPr>
          <w:sz w:val="28"/>
          <w:szCs w:val="28"/>
        </w:rPr>
        <w:t xml:space="preserve">, шоссе Космонавтов, улица Энгельса, Южная дамба.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 </w:t>
      </w:r>
      <w:r>
        <w:rPr>
          <w:sz w:val="28"/>
          <w:highlight w:val="white"/>
        </w:rPr>
        <w:t xml:space="preserve">Изображение состоит из текстовой и (или) графической (художестве</w:t>
      </w:r>
      <w:r>
        <w:rPr>
          <w:sz w:val="28"/>
          <w:highlight w:val="white"/>
        </w:rPr>
        <w:t xml:space="preserve">н</w:t>
      </w:r>
      <w:r>
        <w:rPr>
          <w:sz w:val="28"/>
          <w:highlight w:val="white"/>
        </w:rPr>
        <w:t xml:space="preserve">ной) частей, расположенных на внешней поверхности объекта.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 На внешней поверхности объекта запрещается размещение (нанесение) изображений: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содержащих призывы к совершению противоправных действий,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призывающих</w:t>
      </w:r>
      <w:r>
        <w:rPr>
          <w:sz w:val="28"/>
          <w:highlight w:val="white"/>
        </w:rPr>
        <w:t xml:space="preserve"> к насилию и жестокости,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порочащих честь, достоинство и (или) деловую репутацию физических </w:t>
        <w:br/>
        <w:t xml:space="preserve">и (или) юридических лиц,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содержащих</w:t>
      </w:r>
      <w:r>
        <w:rPr>
          <w:sz w:val="28"/>
          <w:highlight w:val="white"/>
        </w:rPr>
        <w:t xml:space="preserve"> информацию порнографического характера,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содержащих</w:t>
      </w:r>
      <w:r>
        <w:rPr>
          <w:sz w:val="28"/>
          <w:highlight w:val="white"/>
        </w:rPr>
        <w:t xml:space="preserve"> рекламу, в том числе социальную рекламу, политическую ре</w:t>
      </w:r>
      <w:r>
        <w:rPr>
          <w:sz w:val="28"/>
          <w:highlight w:val="white"/>
        </w:rPr>
        <w:t xml:space="preserve">к</w:t>
      </w:r>
      <w:r>
        <w:rPr>
          <w:sz w:val="28"/>
          <w:highlight w:val="white"/>
        </w:rPr>
        <w:t xml:space="preserve">ламу, спонсорскую рекламу и логотипы,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демонстрирующих</w:t>
      </w:r>
      <w:r>
        <w:rPr>
          <w:sz w:val="28"/>
          <w:highlight w:val="white"/>
        </w:rPr>
        <w:t xml:space="preserve"> процессы курения и потребления алкогольной проду</w:t>
      </w:r>
      <w:r>
        <w:rPr>
          <w:sz w:val="28"/>
          <w:highlight w:val="white"/>
        </w:rPr>
        <w:t xml:space="preserve">к</w:t>
      </w:r>
      <w:r>
        <w:rPr>
          <w:sz w:val="28"/>
          <w:highlight w:val="white"/>
        </w:rPr>
        <w:t xml:space="preserve">ции,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содержащих наименования табака, табачной продукции, табачных изделий и курительных принадлежностей, в том числе трубок, кальянов, сигаретной бум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ги, зажигалок, а также наименования алкоголя, алкогольной продукции,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содержащих указание на то, что изображение одобряется органами госуда</w:t>
      </w:r>
      <w:r>
        <w:rPr>
          <w:sz w:val="28"/>
          <w:highlight w:val="white"/>
        </w:rPr>
        <w:t xml:space="preserve">р</w:t>
      </w:r>
      <w:r>
        <w:rPr>
          <w:sz w:val="28"/>
          <w:highlight w:val="white"/>
        </w:rPr>
        <w:t xml:space="preserve">ственной власти или органами местного самоуправления либо их должностными лицами, за исключением случаев размещения информации об органе государс</w:t>
      </w:r>
      <w:r>
        <w:rPr>
          <w:sz w:val="28"/>
          <w:highlight w:val="white"/>
        </w:rPr>
        <w:t xml:space="preserve">т</w:t>
      </w:r>
      <w:r>
        <w:rPr>
          <w:sz w:val="28"/>
          <w:highlight w:val="white"/>
        </w:rPr>
        <w:t xml:space="preserve">венной власти, органе местного самоуправления, организующем размещение (н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несение) изображения на объект,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содержащих бранные слова, непристойные и оскорбительные образы, сра</w:t>
      </w:r>
      <w:r>
        <w:rPr>
          <w:sz w:val="28"/>
          <w:highlight w:val="white"/>
        </w:rPr>
        <w:t xml:space="preserve">в</w:t>
      </w:r>
      <w:r>
        <w:rPr>
          <w:sz w:val="28"/>
          <w:highlight w:val="white"/>
        </w:rPr>
        <w:t xml:space="preserve">нения и выражения, в том числе в отношении пола, расы, национальности, пр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фессии, социальной категории, возраста, официальных государственных симв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лов (флагов, гербов, гимнов), религиозных символов, объектов культурного н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следия (памятников истории и культуры) народов Российской Федерации и мира, а также объектов культурного наследия, включенных в Список всемирного насл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дия ЮНЕСКО,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наркотических средств, психотропных веществ и их </w:t>
      </w:r>
      <w:r>
        <w:rPr>
          <w:sz w:val="28"/>
          <w:highlight w:val="white"/>
        </w:rPr>
        <w:t xml:space="preserve">прекурсоров</w:t>
      </w:r>
      <w:r>
        <w:rPr>
          <w:sz w:val="28"/>
          <w:highlight w:val="white"/>
        </w:rPr>
        <w:t xml:space="preserve">, растений, содержащих наркотические средства или психотропные вещества либо их </w:t>
      </w:r>
      <w:r>
        <w:rPr>
          <w:sz w:val="28"/>
          <w:highlight w:val="white"/>
        </w:rPr>
        <w:t xml:space="preserve">пр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курсоры</w:t>
      </w:r>
      <w:r>
        <w:rPr>
          <w:sz w:val="28"/>
          <w:highlight w:val="white"/>
        </w:rPr>
        <w:t xml:space="preserve">, и их частей, содержащих наркотические средства или психотропные вещества либо их </w:t>
      </w:r>
      <w:r>
        <w:rPr>
          <w:sz w:val="28"/>
          <w:highlight w:val="white"/>
        </w:rPr>
        <w:t xml:space="preserve">прекурсоры</w:t>
      </w:r>
      <w:r>
        <w:rPr>
          <w:sz w:val="28"/>
          <w:highlight w:val="white"/>
        </w:rPr>
        <w:t xml:space="preserve">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взрывчатых веществ и материалов, за исключением пиротехнических изд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лий,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показывающих несовершеннолетних в опасных ситуациях, включая ситу</w:t>
      </w:r>
      <w:r>
        <w:rPr>
          <w:sz w:val="28"/>
          <w:highlight w:val="white"/>
        </w:rPr>
        <w:t xml:space="preserve">а</w:t>
      </w:r>
      <w:r>
        <w:rPr>
          <w:sz w:val="28"/>
          <w:highlight w:val="white"/>
        </w:rPr>
        <w:t xml:space="preserve">ции, побуждающие к совершению действий, представляющих угрозу их жизни </w:t>
        <w:br/>
        <w:t xml:space="preserve">и (или) здоровью, в том числе к причинению вреда своему здоровью.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799"/>
        <w:numPr>
          <w:ilvl w:val="0"/>
          <w:numId w:val="2"/>
        </w:numPr>
        <w:ind w:left="0" w:firstLine="709"/>
        <w:rPr>
          <w:highlight w:val="white"/>
        </w:rPr>
      </w:pPr>
      <w:r>
        <w:rPr>
          <w:rFonts w:eastAsia="Times New Roman"/>
          <w:highlight w:val="white"/>
        </w:rPr>
        <w:t xml:space="preserve">При проведении капитального ремонта фасадов капитальных объе</w:t>
      </w:r>
      <w:r>
        <w:rPr>
          <w:rFonts w:eastAsia="Times New Roman"/>
          <w:highlight w:val="white"/>
        </w:rPr>
        <w:t xml:space="preserve">к</w:t>
      </w:r>
      <w:r>
        <w:rPr>
          <w:rFonts w:eastAsia="Times New Roman"/>
          <w:highlight w:val="white"/>
        </w:rPr>
        <w:t xml:space="preserve">тов, а также при проведении ремонта некапитальных объектов, влекущих ликв</w:t>
      </w:r>
      <w:r>
        <w:rPr>
          <w:rFonts w:eastAsia="Times New Roman"/>
          <w:highlight w:val="white"/>
        </w:rPr>
        <w:t xml:space="preserve">и</w:t>
      </w:r>
      <w:r>
        <w:rPr>
          <w:rFonts w:eastAsia="Times New Roman"/>
          <w:highlight w:val="white"/>
        </w:rPr>
        <w:t xml:space="preserve">дацию размещенного (нанесенного) изображения, размещенные (нанесенные) изображения не восстанавливаются.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5. Содержание размещенного (нанесенного) на объекте изображения в на</w:t>
      </w:r>
      <w:r>
        <w:rPr>
          <w:sz w:val="28"/>
          <w:highlight w:val="white"/>
        </w:rPr>
        <w:t xml:space="preserve">д</w:t>
      </w:r>
      <w:r>
        <w:rPr>
          <w:sz w:val="28"/>
          <w:highlight w:val="white"/>
        </w:rPr>
        <w:t xml:space="preserve">лежащем состоянии обеспечивает собственник объекта.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spacing w:line="238" w:lineRule="exact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03.04.2025 № 46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предложений и замечаний по проекту решения </w:t>
      </w:r>
      <w:r>
        <w:rPr>
          <w:b/>
          <w:sz w:val="28"/>
          <w:szCs w:val="28"/>
        </w:rPr>
        <w:t xml:space="preserve">Пермской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«О внесении изменений в Правила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территории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 от 15.12.2020 № 277»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Пермской городской Думы «О внесении изменений </w:t>
      </w:r>
      <w:r>
        <w:rPr>
          <w:sz w:val="28"/>
          <w:szCs w:val="28"/>
        </w:rPr>
        <w:br w:type="textWrapping" w:clear="all"/>
        <w:t xml:space="preserve">в Правила благоустройства территории города Перми, утвержденные решением Пермской городской Думы от 15.12.2020 № 277»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409"/>
        <w:gridCol w:w="2410"/>
        <w:gridCol w:w="2410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Пункт, подпункт, </w:t>
            </w:r>
            <w:r>
              <w:rPr>
                <w:sz w:val="28"/>
                <w:szCs w:val="28"/>
              </w:rPr>
              <w:br w:type="textWrapping" w:clear="all"/>
              <w:t xml:space="preserve">абзац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</w:t>
            </w:r>
            <w:r>
              <w:rPr>
                <w:sz w:val="28"/>
                <w:szCs w:val="28"/>
              </w:rPr>
              <w:br w:type="textWrapping" w:clear="all"/>
              <w:t xml:space="preserve">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ab/>
        <w:t xml:space="preserve">Фамилия, имя, отчество физического лица или наименование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firstLine="0"/>
        <w:keepNext w:val="0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рождения физического лица или дата создания организации: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жительства физического лица или места нахождения организ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ции, ОГРН:____________________________________________________________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right="0" w:firstLine="72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Подпись физического лица или уполномоченного лица организации, дата: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79"/>
        <w:ind w:firstLine="0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41" w:tooltip="consultantplus://offline/ref=E5E2C0FD53107AFE218F42BF60E2CABF54B117D8F3E55CC0015412304089078129650DFC82315013E92CDF8080H7H1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 w:type="textWrapping" w:clear="all"/>
        <w:t xml:space="preserve">«О персональных данных» даю согласие департаменту градостроительства </w:t>
      </w:r>
      <w:r>
        <w:rPr>
          <w:sz w:val="28"/>
          <w:szCs w:val="28"/>
        </w:rPr>
        <w:br w:type="textWrapping" w:clear="all"/>
        <w:t xml:space="preserve">и архитектуры администрации города Перми (614015, г. Пермь, ул. Сибирская, 15), организационному комитету по организации проведения публичных слуш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ний по обсуждению проекта решения Пермской городской Думы </w:t>
      </w:r>
      <w:r>
        <w:rPr>
          <w:sz w:val="28"/>
          <w:szCs w:val="28"/>
        </w:rPr>
        <w:br w:type="textWrapping" w:clear="all"/>
        <w:t xml:space="preserve">«О внесении изменений в Правила благоустройства территории города Перми, утвержденные решением Пермской городской Думы от 15.12.2020 № 277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 w:type="textWrapping" w:clear="all"/>
        <w:t xml:space="preserve">(далее – организатор публичных слушаний) на обработку следующих персонал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ных данных, необходимых для участия в публичных слушаниях: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сведения, сообщаемые в составе замечаний и предложений, поданных организатору публичных слушаний.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предоставляется: на сбор, запись, систематизацию,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копление, хранение, уточнение (обновление, изменение), уничтожение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нальных данных.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 w:type="textWrapping" w:clear="all"/>
        <w:t xml:space="preserve">в течение срока хранения протокола публичных слушаний, установленного 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</w:t>
      </w:r>
      <w:r>
        <w:rPr>
          <w:sz w:val="28"/>
          <w:szCs w:val="28"/>
        </w:rPr>
        <w:br w:type="textWrapping" w:clear="all"/>
        <w:t xml:space="preserve">на основании письменного заявления субъекта персональных данных, направле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ного организатору публичных слушаний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отказе пре</w:t>
      </w:r>
      <w:bookmarkStart w:id="2" w:name="_GoBack"/>
      <w:r/>
      <w:bookmarkEnd w:id="2"/>
      <w:r>
        <w:rPr>
          <w:sz w:val="28"/>
          <w:szCs w:val="28"/>
        </w:rPr>
        <w:t xml:space="preserve">дставить персональные данные и (или) дать согласие </w:t>
      </w:r>
      <w:r>
        <w:rPr>
          <w:sz w:val="28"/>
          <w:szCs w:val="28"/>
        </w:rPr>
        <w:br w:type="textWrapping" w:clear="all"/>
        <w:t xml:space="preserve">на их обработку внесенные предложения и замечания по проекту решения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«О внесении изменений в Правила благоустройства терр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тории города Перми, утвержденные решением Пермской городской Думы </w:t>
        <w:br/>
        <w:t xml:space="preserve">от 15.12.2020 № 277» рассмотрению не подлежат (не учитываются в протоколе 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личных слушаний и в заключении о результатах публичных слушаний).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разъяснены юридические последствия отказа </w:t>
      </w:r>
      <w:r>
        <w:rPr>
          <w:sz w:val="28"/>
          <w:szCs w:val="28"/>
        </w:rPr>
        <w:t xml:space="preserve">представить</w:t>
      </w:r>
      <w:r>
        <w:rPr>
          <w:sz w:val="28"/>
          <w:szCs w:val="28"/>
        </w:rPr>
        <w:t xml:space="preserve"> свои перс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нальные данные и (или) дать согласие на их обработку.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98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Приложение*: 1.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</w:pPr>
            <w:r>
              <w:t xml:space="preserve">(дата, Ф.И.О., подпись)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Указываются и прикладываются документы (копии), подтверждающие сведения в с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ответствии с </w:t>
      </w:r>
      <w:hyperlink r:id="rId42" w:tooltip="consultantplus://offline/ref=E5E2C0FD53107AFE218F5CB2768E97B45FB240D4FBE35F9F5C0414671FD901D47B2553A5C1724312EF32DD818A78DB66523889271B182F60E482120DHEHFI" w:history="1">
        <w:r>
          <w:rPr>
            <w:sz w:val="24"/>
            <w:szCs w:val="24"/>
          </w:rPr>
          <w:t xml:space="preserve">пунктом 1.5</w:t>
        </w:r>
      </w:hyperlink>
      <w:r>
        <w:rPr>
          <w:sz w:val="24"/>
          <w:szCs w:val="24"/>
        </w:rPr>
        <w:t xml:space="preserve"> Положения о порядке организации и проведения публичных слуш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ний по обсуждению </w:t>
      </w:r>
      <w:r>
        <w:rPr>
          <w:sz w:val="24"/>
          <w:szCs w:val="24"/>
        </w:rPr>
        <w:t xml:space="preserve">проекта правил благоустройства территории города</w:t>
      </w:r>
      <w:r>
        <w:rPr>
          <w:sz w:val="24"/>
          <w:szCs w:val="24"/>
        </w:rPr>
        <w:t xml:space="preserve"> Перми, утвержденного решением Пермской городской Думы от 26 марта 2019 г. № 57.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7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454" w:footer="720" w:gutter="0"/>
          <w:pgNumType w:start="1"/>
          <w:cols w:num="1" w:sep="0" w:space="60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03.04.2025 № 46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организационного комитета по организации проведения </w:t>
      </w:r>
      <w:r>
        <w:rPr>
          <w:b/>
          <w:sz w:val="28"/>
          <w:szCs w:val="28"/>
        </w:rPr>
        <w:t xml:space="preserve">публичных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слушаний по обсуждению проекта решения Пермской городской Думы </w:t>
      </w:r>
      <w:r>
        <w:rPr>
          <w:b/>
          <w:sz w:val="28"/>
          <w:szCs w:val="28"/>
        </w:rPr>
        <w:br/>
        <w:t xml:space="preserve">«О внесении изменений в Правила благоустройства территории города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Перми, утвержденные решением Пермской городской Думы </w:t>
      </w:r>
      <w:r>
        <w:rPr>
          <w:b/>
          <w:sz w:val="28"/>
          <w:szCs w:val="28"/>
        </w:rPr>
        <w:br/>
        <w:t xml:space="preserve">от 15.12.2020 № 277»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6"/>
        <w:gridCol w:w="62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Воженников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Викторович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Пермского краевого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отделения Всероссийского общества охраны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памятников истории и культуры, архитектор-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реставратор, член экспертного совета </w:t>
            </w:r>
            <w:r>
              <w:rPr>
                <w:sz w:val="28"/>
                <w:szCs w:val="28"/>
              </w:rPr>
              <w:t xml:space="preserve">Пермской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краевой общественной организации «Союз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Архитекторов», генеральный директор общества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ограниченной ответственностью «Студия М»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юридического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департамента градостроительства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Карасев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архитектуры и городского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дизайна департамента градостроительства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Вадимовна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градостроительства </w:t>
            </w:r>
            <w:r>
              <w:rPr>
                <w:sz w:val="28"/>
                <w:szCs w:val="28"/>
              </w:rPr>
              <w:br/>
              <w:t xml:space="preserve">и архитектуры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6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6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82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rStyle w:val="968"/>
      </w:rPr>
      <w:framePr w:wrap="around" w:vAnchor="text" w:hAnchor="margin" w:xAlign="center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6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6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rStyle w:val="968"/>
      </w:rPr>
      <w:framePr w:wrap="around" w:vAnchor="text" w:hAnchor="margin" w:xAlign="center" w:y="1"/>
    </w:pPr>
    <w:r>
      <w:rPr>
        <w:rStyle w:val="968"/>
      </w:rPr>
      <w:fldChar w:fldCharType="begin"/>
    </w:r>
    <w:r>
      <w:rPr>
        <w:rStyle w:val="968"/>
      </w:rPr>
      <w:instrText xml:space="preserve">PAGE  </w:instrText>
    </w:r>
    <w:r>
      <w:rPr>
        <w:rStyle w:val="968"/>
      </w:rPr>
      <w:fldChar w:fldCharType="end"/>
    </w:r>
    <w:r>
      <w:rPr>
        <w:rStyle w:val="968"/>
      </w:rPr>
    </w:r>
    <w:r>
      <w:rPr>
        <w:rStyle w:val="968"/>
      </w:rPr>
    </w:r>
  </w:p>
  <w:p>
    <w:pPr>
      <w:pStyle w:val="969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 w:default="1">
    <w:name w:val="Normal"/>
  </w:style>
  <w:style w:type="character" w:styleId="771" w:default="1">
    <w:name w:val="Default Paragraph Font"/>
    <w:uiPriority w:val="1"/>
    <w:semiHidden/>
    <w:unhideWhenUsed/>
  </w:style>
  <w:style w:type="table" w:styleId="7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3" w:default="1">
    <w:name w:val="No List"/>
    <w:uiPriority w:val="99"/>
    <w:semiHidden/>
    <w:unhideWhenUsed/>
  </w:style>
  <w:style w:type="character" w:styleId="774" w:customStyle="1">
    <w:name w:val="Title Char"/>
    <w:basedOn w:val="771"/>
    <w:link w:val="801"/>
    <w:uiPriority w:val="10"/>
    <w:rPr>
      <w:sz w:val="48"/>
      <w:szCs w:val="48"/>
    </w:rPr>
  </w:style>
  <w:style w:type="character" w:styleId="775" w:customStyle="1">
    <w:name w:val="Subtitle Char"/>
    <w:basedOn w:val="771"/>
    <w:link w:val="803"/>
    <w:uiPriority w:val="11"/>
    <w:rPr>
      <w:sz w:val="24"/>
      <w:szCs w:val="24"/>
    </w:rPr>
  </w:style>
  <w:style w:type="character" w:styleId="776" w:customStyle="1">
    <w:name w:val="Quote Char"/>
    <w:link w:val="805"/>
    <w:uiPriority w:val="29"/>
    <w:rPr>
      <w:i/>
    </w:rPr>
  </w:style>
  <w:style w:type="character" w:styleId="777" w:customStyle="1">
    <w:name w:val="Intense Quote Char"/>
    <w:link w:val="807"/>
    <w:uiPriority w:val="30"/>
    <w:rPr>
      <w:i/>
    </w:rPr>
  </w:style>
  <w:style w:type="character" w:styleId="778" w:customStyle="1">
    <w:name w:val="Endnote Text Char"/>
    <w:link w:val="945"/>
    <w:uiPriority w:val="99"/>
    <w:rPr>
      <w:sz w:val="20"/>
    </w:rPr>
  </w:style>
  <w:style w:type="paragraph" w:styleId="779" w:customStyle="1">
    <w:name w:val="Heading 1"/>
    <w:basedOn w:val="770"/>
    <w:next w:val="770"/>
    <w:link w:val="959"/>
    <w:qFormat/>
    <w:pPr>
      <w:ind w:right="-1" w:firstLine="709"/>
      <w:jc w:val="both"/>
      <w:keepNext/>
      <w:outlineLvl w:val="0"/>
    </w:pPr>
  </w:style>
  <w:style w:type="paragraph" w:styleId="780" w:customStyle="1">
    <w:name w:val="Heading 2"/>
    <w:basedOn w:val="770"/>
    <w:next w:val="770"/>
    <w:link w:val="960"/>
    <w:qFormat/>
    <w:pPr>
      <w:ind w:right="-1"/>
      <w:jc w:val="both"/>
      <w:keepNext/>
      <w:outlineLvl w:val="1"/>
    </w:pPr>
  </w:style>
  <w:style w:type="paragraph" w:styleId="781" w:customStyle="1">
    <w:name w:val="Heading 1"/>
    <w:basedOn w:val="770"/>
    <w:next w:val="770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 w:customStyle="1">
    <w:name w:val="Heading 1 Char"/>
    <w:link w:val="781"/>
    <w:uiPriority w:val="9"/>
    <w:rPr>
      <w:rFonts w:ascii="Arial" w:hAnsi="Arial" w:eastAsia="Arial" w:cs="Arial"/>
      <w:sz w:val="40"/>
      <w:szCs w:val="40"/>
    </w:rPr>
  </w:style>
  <w:style w:type="paragraph" w:styleId="783" w:customStyle="1">
    <w:name w:val="Heading 2"/>
    <w:basedOn w:val="770"/>
    <w:next w:val="770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 w:customStyle="1">
    <w:name w:val="Heading 2 Char"/>
    <w:link w:val="783"/>
    <w:uiPriority w:val="9"/>
    <w:rPr>
      <w:rFonts w:ascii="Arial" w:hAnsi="Arial" w:eastAsia="Arial" w:cs="Arial"/>
      <w:sz w:val="34"/>
    </w:rPr>
  </w:style>
  <w:style w:type="paragraph" w:styleId="785" w:customStyle="1">
    <w:name w:val="Heading 3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 w:customStyle="1">
    <w:name w:val="Heading 3 Char"/>
    <w:link w:val="785"/>
    <w:uiPriority w:val="9"/>
    <w:rPr>
      <w:rFonts w:ascii="Arial" w:hAnsi="Arial" w:eastAsia="Arial" w:cs="Arial"/>
      <w:sz w:val="30"/>
      <w:szCs w:val="30"/>
    </w:rPr>
  </w:style>
  <w:style w:type="paragraph" w:styleId="787" w:customStyle="1">
    <w:name w:val="Heading 4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4 Char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 w:customStyle="1">
    <w:name w:val="Heading 5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90" w:customStyle="1">
    <w:name w:val="Heading 5 Char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 w:customStyle="1">
    <w:name w:val="Heading 6"/>
    <w:basedOn w:val="770"/>
    <w:next w:val="770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Heading 6 Char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 w:customStyle="1">
    <w:name w:val="Heading 7"/>
    <w:basedOn w:val="770"/>
    <w:next w:val="770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 w:customStyle="1">
    <w:name w:val="Heading 7 Char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 w:customStyle="1">
    <w:name w:val="Heading 8"/>
    <w:basedOn w:val="770"/>
    <w:next w:val="770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Heading 8 Char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 w:customStyle="1">
    <w:name w:val="Heading 9"/>
    <w:basedOn w:val="770"/>
    <w:next w:val="770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Heading 9 Char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List Paragraph"/>
    <w:basedOn w:val="770"/>
    <w:uiPriority w:val="34"/>
    <w:qFormat/>
    <w:pPr>
      <w:contextualSpacing/>
      <w:ind w:left="720" w:firstLine="540"/>
      <w:jc w:val="both"/>
    </w:pPr>
    <w:rPr>
      <w:rFonts w:eastAsia="Calibri"/>
      <w:sz w:val="28"/>
      <w:lang w:eastAsia="en-US"/>
    </w:rPr>
  </w:style>
  <w:style w:type="paragraph" w:styleId="800">
    <w:name w:val="No Spacing"/>
    <w:uiPriority w:val="1"/>
    <w:qFormat/>
  </w:style>
  <w:style w:type="paragraph" w:styleId="801">
    <w:name w:val="Title"/>
    <w:basedOn w:val="770"/>
    <w:next w:val="770"/>
    <w:link w:val="8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2" w:customStyle="1">
    <w:name w:val="Название Знак"/>
    <w:link w:val="801"/>
    <w:uiPriority w:val="10"/>
    <w:rPr>
      <w:sz w:val="48"/>
      <w:szCs w:val="48"/>
    </w:rPr>
  </w:style>
  <w:style w:type="paragraph" w:styleId="803">
    <w:name w:val="Subtitle"/>
    <w:basedOn w:val="770"/>
    <w:next w:val="770"/>
    <w:link w:val="804"/>
    <w:uiPriority w:val="11"/>
    <w:qFormat/>
    <w:pPr>
      <w:spacing w:before="200" w:after="200"/>
    </w:pPr>
  </w:style>
  <w:style w:type="character" w:styleId="804" w:customStyle="1">
    <w:name w:val="Подзаголовок Знак"/>
    <w:link w:val="803"/>
    <w:uiPriority w:val="11"/>
    <w:rPr>
      <w:sz w:val="24"/>
      <w:szCs w:val="24"/>
    </w:rPr>
  </w:style>
  <w:style w:type="paragraph" w:styleId="805">
    <w:name w:val="Quote"/>
    <w:basedOn w:val="770"/>
    <w:next w:val="770"/>
    <w:link w:val="806"/>
    <w:uiPriority w:val="29"/>
    <w:qFormat/>
    <w:pPr>
      <w:ind w:left="720" w:right="720"/>
    </w:pPr>
    <w:rPr>
      <w:i/>
    </w:rPr>
  </w:style>
  <w:style w:type="character" w:styleId="806" w:customStyle="1">
    <w:name w:val="Цитата 2 Знак"/>
    <w:link w:val="805"/>
    <w:uiPriority w:val="29"/>
    <w:rPr>
      <w:i/>
    </w:rPr>
  </w:style>
  <w:style w:type="paragraph" w:styleId="807">
    <w:name w:val="Intense Quote"/>
    <w:basedOn w:val="770"/>
    <w:next w:val="770"/>
    <w:link w:val="8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 w:customStyle="1">
    <w:name w:val="Выделенная цитата Знак"/>
    <w:link w:val="807"/>
    <w:uiPriority w:val="30"/>
    <w:rPr>
      <w:i/>
    </w:rPr>
  </w:style>
  <w:style w:type="paragraph" w:styleId="809" w:customStyle="1">
    <w:name w:val="Header"/>
    <w:basedOn w:val="770"/>
    <w:link w:val="8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0" w:customStyle="1">
    <w:name w:val="Header Char"/>
    <w:link w:val="809"/>
    <w:uiPriority w:val="99"/>
  </w:style>
  <w:style w:type="paragraph" w:styleId="811" w:customStyle="1">
    <w:name w:val="Footer"/>
    <w:basedOn w:val="770"/>
    <w:link w:val="8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12" w:customStyle="1">
    <w:name w:val="Footer Char"/>
    <w:link w:val="811"/>
    <w:uiPriority w:val="99"/>
  </w:style>
  <w:style w:type="paragraph" w:styleId="813" w:customStyle="1">
    <w:name w:val="Caption"/>
    <w:basedOn w:val="770"/>
    <w:next w:val="7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4" w:customStyle="1">
    <w:name w:val="Caption Char"/>
    <w:link w:val="811"/>
    <w:uiPriority w:val="99"/>
  </w:style>
  <w:style w:type="table" w:styleId="81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1">
    <w:name w:val="Hyperlink"/>
    <w:rPr>
      <w:color w:val="0000ff"/>
      <w:u w:val="single"/>
    </w:rPr>
  </w:style>
  <w:style w:type="paragraph" w:styleId="942">
    <w:name w:val="footnote text"/>
    <w:basedOn w:val="770"/>
    <w:link w:val="980"/>
    <w:uiPriority w:val="99"/>
    <w:unhideWhenUsed/>
  </w:style>
  <w:style w:type="character" w:styleId="943" w:customStyle="1">
    <w:name w:val="Footnote Text Char"/>
    <w:link w:val="942"/>
    <w:uiPriority w:val="99"/>
    <w:rPr>
      <w:sz w:val="18"/>
    </w:rPr>
  </w:style>
  <w:style w:type="character" w:styleId="944">
    <w:name w:val="footnote reference"/>
    <w:uiPriority w:val="99"/>
    <w:unhideWhenUsed/>
    <w:rPr>
      <w:vertAlign w:val="superscript"/>
    </w:rPr>
  </w:style>
  <w:style w:type="paragraph" w:styleId="945">
    <w:name w:val="endnote text"/>
    <w:basedOn w:val="770"/>
    <w:link w:val="946"/>
    <w:uiPriority w:val="99"/>
    <w:semiHidden/>
    <w:unhideWhenUsed/>
  </w:style>
  <w:style w:type="character" w:styleId="946" w:customStyle="1">
    <w:name w:val="Текст концевой сноски Знак"/>
    <w:link w:val="945"/>
    <w:uiPriority w:val="99"/>
    <w:rPr>
      <w:sz w:val="20"/>
    </w:rPr>
  </w:style>
  <w:style w:type="character" w:styleId="947">
    <w:name w:val="endnote reference"/>
    <w:uiPriority w:val="99"/>
    <w:semiHidden/>
    <w:unhideWhenUsed/>
    <w:rPr>
      <w:vertAlign w:val="superscript"/>
    </w:rPr>
  </w:style>
  <w:style w:type="paragraph" w:styleId="948">
    <w:name w:val="toc 1"/>
    <w:basedOn w:val="770"/>
    <w:next w:val="770"/>
    <w:uiPriority w:val="39"/>
    <w:unhideWhenUsed/>
    <w:pPr>
      <w:spacing w:after="57"/>
    </w:pPr>
  </w:style>
  <w:style w:type="paragraph" w:styleId="949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950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951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952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953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54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55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56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770"/>
    <w:next w:val="770"/>
    <w:uiPriority w:val="99"/>
    <w:unhideWhenUsed/>
  </w:style>
  <w:style w:type="character" w:styleId="959" w:customStyle="1">
    <w:name w:val="Заголовок 1 Знак"/>
    <w:basedOn w:val="771"/>
    <w:link w:val="779"/>
    <w:rPr>
      <w:sz w:val="24"/>
    </w:rPr>
  </w:style>
  <w:style w:type="character" w:styleId="960" w:customStyle="1">
    <w:name w:val="Заголовок 2 Знак"/>
    <w:basedOn w:val="771"/>
    <w:link w:val="780"/>
    <w:rPr>
      <w:sz w:val="24"/>
    </w:rPr>
  </w:style>
  <w:style w:type="paragraph" w:styleId="961" w:customStyle="1">
    <w:name w:val="Caption"/>
    <w:basedOn w:val="770"/>
    <w:next w:val="7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62">
    <w:name w:val="Body Text"/>
    <w:basedOn w:val="770"/>
    <w:link w:val="963"/>
    <w:pPr>
      <w:ind w:right="3117"/>
    </w:pPr>
    <w:rPr>
      <w:rFonts w:ascii="Courier New" w:hAnsi="Courier New"/>
      <w:sz w:val="26"/>
    </w:rPr>
  </w:style>
  <w:style w:type="character" w:styleId="963" w:customStyle="1">
    <w:name w:val="Основной текст Знак"/>
    <w:basedOn w:val="771"/>
    <w:link w:val="962"/>
    <w:rPr>
      <w:rFonts w:ascii="Courier New" w:hAnsi="Courier New"/>
      <w:sz w:val="26"/>
    </w:rPr>
  </w:style>
  <w:style w:type="paragraph" w:styleId="964">
    <w:name w:val="Body Text Indent"/>
    <w:basedOn w:val="770"/>
    <w:link w:val="965"/>
    <w:pPr>
      <w:ind w:right="-1"/>
      <w:jc w:val="both"/>
    </w:pPr>
    <w:rPr>
      <w:sz w:val="26"/>
    </w:rPr>
  </w:style>
  <w:style w:type="character" w:styleId="965" w:customStyle="1">
    <w:name w:val="Основной текст с отступом Знак"/>
    <w:basedOn w:val="771"/>
    <w:link w:val="964"/>
    <w:rPr>
      <w:sz w:val="26"/>
    </w:rPr>
  </w:style>
  <w:style w:type="paragraph" w:styleId="966" w:customStyle="1">
    <w:name w:val="Footer"/>
    <w:basedOn w:val="770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967" w:customStyle="1">
    <w:name w:val="Нижний колонтитул Знак"/>
    <w:basedOn w:val="771"/>
    <w:link w:val="966"/>
    <w:uiPriority w:val="99"/>
  </w:style>
  <w:style w:type="character" w:styleId="968">
    <w:name w:val="page number"/>
    <w:basedOn w:val="771"/>
  </w:style>
  <w:style w:type="paragraph" w:styleId="969" w:customStyle="1">
    <w:name w:val="Header"/>
    <w:basedOn w:val="770"/>
    <w:link w:val="970"/>
    <w:uiPriority w:val="99"/>
    <w:pPr>
      <w:tabs>
        <w:tab w:val="center" w:pos="4153" w:leader="none"/>
        <w:tab w:val="right" w:pos="8306" w:leader="none"/>
      </w:tabs>
    </w:pPr>
  </w:style>
  <w:style w:type="character" w:styleId="970" w:customStyle="1">
    <w:name w:val="Верхний колонтитул Знак"/>
    <w:link w:val="969"/>
    <w:uiPriority w:val="99"/>
  </w:style>
  <w:style w:type="paragraph" w:styleId="971">
    <w:name w:val="Balloon Text"/>
    <w:basedOn w:val="770"/>
    <w:link w:val="972"/>
    <w:uiPriority w:val="99"/>
    <w:rPr>
      <w:rFonts w:ascii="Segoe UI" w:hAnsi="Segoe UI"/>
      <w:sz w:val="18"/>
      <w:szCs w:val="18"/>
      <w:lang w:val="en-US" w:eastAsia="en-US"/>
    </w:rPr>
  </w:style>
  <w:style w:type="character" w:styleId="972" w:customStyle="1">
    <w:name w:val="Текст выноски Знак"/>
    <w:link w:val="971"/>
    <w:uiPriority w:val="99"/>
    <w:rPr>
      <w:rFonts w:ascii="Segoe UI" w:hAnsi="Segoe UI" w:cs="Segoe UI"/>
      <w:sz w:val="18"/>
      <w:szCs w:val="18"/>
    </w:rPr>
  </w:style>
  <w:style w:type="paragraph" w:styleId="973" w:customStyle="1">
    <w:name w:val="ConsPlusNormal"/>
    <w:link w:val="974"/>
    <w:uiPriority w:val="99"/>
    <w:pPr>
      <w:ind w:firstLine="720"/>
      <w:widowControl w:val="off"/>
    </w:pPr>
    <w:rPr>
      <w:rFonts w:ascii="Arial" w:hAnsi="Arial" w:cs="Arial"/>
      <w:lang w:eastAsia="ru-RU"/>
    </w:rPr>
  </w:style>
  <w:style w:type="character" w:styleId="974" w:customStyle="1">
    <w:name w:val="ConsPlusNormal Знак"/>
    <w:link w:val="973"/>
    <w:uiPriority w:val="99"/>
    <w:rPr>
      <w:rFonts w:ascii="Arial" w:hAnsi="Arial" w:cs="Arial"/>
      <w:lang w:val="ru-RU" w:eastAsia="ru-RU" w:bidi="ar-SA"/>
    </w:rPr>
  </w:style>
  <w:style w:type="character" w:styleId="975" w:customStyle="1">
    <w:name w:val="Текст примечания Знак"/>
    <w:link w:val="976"/>
    <w:uiPriority w:val="99"/>
    <w:rPr>
      <w:rFonts w:ascii="Calibri" w:hAnsi="Calibri" w:eastAsia="Calibri" w:cs="Times New Roman"/>
      <w:lang w:eastAsia="en-US"/>
    </w:rPr>
  </w:style>
  <w:style w:type="paragraph" w:styleId="976">
    <w:name w:val="annotation text"/>
    <w:basedOn w:val="770"/>
    <w:link w:val="975"/>
    <w:uiPriority w:val="99"/>
    <w:unhideWhenUsed/>
    <w:rPr>
      <w:rFonts w:ascii="Calibri" w:hAnsi="Calibri" w:eastAsia="Calibri"/>
      <w:lang w:val="en-US" w:eastAsia="en-US"/>
    </w:rPr>
  </w:style>
  <w:style w:type="character" w:styleId="977" w:customStyle="1">
    <w:name w:val="normal__char"/>
    <w:basedOn w:val="771"/>
  </w:style>
  <w:style w:type="character" w:styleId="978" w:customStyle="1">
    <w:name w:val="Стандартный HTML Знак"/>
    <w:basedOn w:val="771"/>
    <w:link w:val="979"/>
    <w:uiPriority w:val="99"/>
    <w:rPr>
      <w:rFonts w:ascii="Courier New" w:hAnsi="Courier New" w:cs="Courier New"/>
    </w:rPr>
  </w:style>
  <w:style w:type="paragraph" w:styleId="979">
    <w:name w:val="HTML Preformatted"/>
    <w:basedOn w:val="770"/>
    <w:link w:val="978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0" w:customStyle="1">
    <w:name w:val="Текст сноски Знак"/>
    <w:basedOn w:val="771"/>
    <w:link w:val="942"/>
    <w:uiPriority w:val="99"/>
  </w:style>
  <w:style w:type="paragraph" w:styleId="981">
    <w:name w:val="Normal (Web)"/>
    <w:basedOn w:val="770"/>
    <w:uiPriority w:val="99"/>
    <w:unhideWhenUsed/>
  </w:style>
  <w:style w:type="paragraph" w:styleId="982" w:customStyle="1">
    <w:name w:val="Caption"/>
    <w:basedOn w:val="770"/>
    <w:next w:val="7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83" w:customStyle="1">
    <w:name w:val="Обычный (веб)1"/>
    <w:basedOn w:val="799"/>
    <w:uiPriority w:val="99"/>
    <w:semiHidden/>
    <w:unhideWhenUsed/>
    <w:pPr>
      <w:contextualSpacing w:val="0"/>
      <w:ind w:left="0" w:firstLine="0"/>
      <w:jc w:val="left"/>
      <w:spacing w:before="100" w:beforeAutospacing="1" w:after="100" w:afterAutospacing="1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1.wmf"/><Relationship Id="rId17" Type="http://schemas.openxmlformats.org/officeDocument/2006/relationships/image" Target="media/image2.png"/><Relationship Id="rId18" Type="http://schemas.openxmlformats.org/officeDocument/2006/relationships/hyperlink" Target="consultantplus://offline/ref=CB6E6B85655EE67F5F788466A73EA6C12C09CE4D38592A10AFC6B64F40AE0B6A30CD7C4C3E64BC06E96836DF42b7r6G" TargetMode="External"/><Relationship Id="rId19" Type="http://schemas.openxmlformats.org/officeDocument/2006/relationships/hyperlink" Target="consultantplus://offline/ref=CB6E6B85655EE67F5F789A6BB152FBCA200295483A5D2747F294B0181FFE0D3F628D22157D27AF07EF7634DD427F3A40E1BF199EC1E7934FDCC08F90b9r2G" TargetMode="External"/><Relationship Id="rId20" Type="http://schemas.openxmlformats.org/officeDocument/2006/relationships/hyperlink" Target="consultantplus://offline/ref=CB6E6B85655EE67F5F789A6BB152FBCA200295483A5D2742F69BB0181FFE0D3F628D22157D27AF07EF7635DD417F3A40E1BF199EC1E7934FDCC08F90b9r2G" TargetMode="External"/><Relationship Id="rId21" Type="http://schemas.openxmlformats.org/officeDocument/2006/relationships/hyperlink" Target="consultantplus://offline/ref=CB6E6B85655EE67F5F789A6BB152FBCA200295483A5E294FF296B0181FFE0D3F628D22157D27AF07EF7634DE427F3A40E1BF199EC1E7934FDCC08F90b9r2G" TargetMode="External"/><Relationship Id="rId22" Type="http://schemas.openxmlformats.org/officeDocument/2006/relationships/hyperlink" Target="consultantplus://offline/ref=CB6E6B85655EE67F5F789A6BB152FBCA200295483A5E294FF296B0181FFE0D3F628D22157D27AF07EF7634DE487F3A40E1BF199EC1E7934FDCC08F90b9r2G" TargetMode="External"/><Relationship Id="rId23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4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25" Type="http://schemas.openxmlformats.org/officeDocument/2006/relationships/hyperlink" Target="consultantplus://offline/ref=CB6E6B85655EE67F5F788466A73EA6C12B01C24432582A10AFC6B64F40AE0B6A30CD7C4C3E64BC06E96836DF42b7r6G" TargetMode="External"/><Relationship Id="rId26" Type="http://schemas.openxmlformats.org/officeDocument/2006/relationships/image" Target="media/image3.wmf"/><Relationship Id="rId27" Type="http://schemas.openxmlformats.org/officeDocument/2006/relationships/hyperlink" Target="consultantplus://offline/ref=2B16D41C8C950D0091338C0C7DDD7CD811EBED6485A0BC089993BE11B0B69AA9EBEB55348781B49108266042F2P745F" TargetMode="External"/><Relationship Id="rId2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9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30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31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32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33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34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35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36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37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38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9" Type="http://schemas.openxmlformats.org/officeDocument/2006/relationships/hyperlink" Target="https://login.consultant.ru/link/?req=doc&amp;base=RLAW368&amp;n=192073&amp;dst=100005" TargetMode="External"/><Relationship Id="rId40" Type="http://schemas.openxmlformats.org/officeDocument/2006/relationships/hyperlink" Target="http://www.gorodperm.ru" TargetMode="External"/><Relationship Id="rId41" Type="http://schemas.openxmlformats.org/officeDocument/2006/relationships/hyperlink" Target="consultantplus://offline/ref=E5E2C0FD53107AFE218F42BF60E2CABF54B117D8F3E55CC0015412304089078129650DFC82315013E92CDF8080H7H1I" TargetMode="External"/><Relationship Id="rId42" Type="http://schemas.openxmlformats.org/officeDocument/2006/relationships/hyperlink" Target="consultantplus://offline/ref=E5E2C0FD53107AFE218F5CB2768E97B45FB240D4FBE35F9F5C0414671FD901D47B2553A5C1724312EF32DD818A78DB66523889271B182F60E482120DHEH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9</cp:revision>
  <dcterms:created xsi:type="dcterms:W3CDTF">2025-04-02T08:25:00Z</dcterms:created>
  <dcterms:modified xsi:type="dcterms:W3CDTF">2025-04-03T08:35:50Z</dcterms:modified>
  <cp:version>786432</cp:version>
</cp:coreProperties>
</file>