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ind w:left="0" w:firstLine="567"/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Объявление о проведении конкурсного отбора</w:t>
      </w:r>
      <w:r>
        <w:rPr>
          <w:b/>
          <w:bCs/>
          <w:sz w:val="24"/>
          <w:szCs w:val="24"/>
        </w:rPr>
      </w:r>
    </w:p>
    <w:p>
      <w:pPr>
        <w:pStyle w:val="844"/>
        <w:ind w:left="0" w:firstLine="567"/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Перми объявляет о проведении конкурсного отбора XXVIII городского конкурса социально значимых проектов «Город – это мы» (далее - Конкурс), в соответствии с постановле</w:t>
      </w:r>
      <w:r>
        <w:rPr>
          <w:rFonts w:ascii="Times New Roman" w:hAnsi="Times New Roman" w:cs="Times New Roman"/>
          <w:sz w:val="24"/>
          <w:szCs w:val="24"/>
        </w:rPr>
        <w:t xml:space="preserve">нием администрации города Перми от 13 января 2026 года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№ 1 «О проведении XXVIII городского конкурса социально значимых проектов «Город – это мы» (далее – постановление о проведении конкурса).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Способом проведения отбора получателей гранта в форме субсид</w:t>
      </w:r>
      <w:r>
        <w:t xml:space="preserve">ий (далее – грант) является конкурс (далее - конкурсный отбор).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- Сроки проведения конкурсного от</w:t>
      </w:r>
      <w:r>
        <w:t xml:space="preserve">бора с 22 февраля 2026 года по 09</w:t>
      </w:r>
      <w:r>
        <w:t xml:space="preserve"> </w:t>
      </w:r>
      <w:r>
        <w:t xml:space="preserve">марта</w:t>
      </w:r>
      <w:r>
        <w:t xml:space="preserve"> 2026 года.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- Дата и время начала приема заявок с 22 февраля 2026 года 09:00 час. (по местному времени).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Дата и врем</w:t>
      </w:r>
      <w:r>
        <w:t xml:space="preserve">я окончания приема заявок по 09 марта 2026 года 20:00 час. (по местному времени).  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  <w:rPr>
          <w:highlight w:val="yellow"/>
        </w:rPr>
      </w:pPr>
      <w:r>
        <w:t xml:space="preserve">- Организатором конкурсного отбора является управление по вопросам общественного самоуправления и межнациональным отношениям администрации города Перми, место нахождения: 6</w:t>
      </w:r>
      <w:r>
        <w:t xml:space="preserve">14015, город Пермь, ул. Газеты Звезда, 9, адрес электронной почты: uvosmo@perm.permkrai.ru (далее – организатор Конкурса).</w:t>
      </w:r>
      <w:r>
        <w:rPr>
          <w:highlight w:val="yellow"/>
        </w:rPr>
        <w:t xml:space="preserve"> </w:t>
      </w:r>
      <w:r>
        <w:rPr>
          <w:highlight w:val="yellow"/>
        </w:rPr>
      </w:r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Результатами предоставления гранта являются: количество участников социально значимых проектов (далее – проект) и количество </w:t>
      </w:r>
      <w:r>
        <w:t xml:space="preserve">мероприятий,</w:t>
      </w:r>
      <w:r>
        <w:t xml:space="preserve"> связанных с реализацией проекта.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К участию в конкурсном отборе допускаются некоммерческие организации, не являющиеся казенными учреждениями, в том числе общественные объединения, территориальные общественные самоуправления, муниципальные бюджетн</w:t>
      </w:r>
      <w:r>
        <w:t xml:space="preserve">ые и автономные учреждения, зарегистрированные в качестве юридического лица на территории города Перми и планирующие реализацию мероприятий проекта на территории города Перми (далее - участник Конкурса, Победитель Конкурса, Получатель гранта). 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Участниками</w:t>
      </w:r>
      <w:r>
        <w:t xml:space="preserve"> конкурса не могут быть: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1) потребительские кооперативы,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</w:t>
      </w:r>
      <w:r>
        <w:t xml:space="preserve">ративы;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2) политические партии;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3) саморегулируемые организации;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4) объединения кооперативов;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5) торгово-промышленные палаты;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6) товарищества собственников недвижимости, к которым относятся в том числе товарищества собственников жилья, садоводческие и огор</w:t>
      </w:r>
      <w:r>
        <w:t xml:space="preserve">однические некоммерческие товарищества;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7) личные фонды;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8) государственные учреждения;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9) адвокатские палаты;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10) адвокатские образования;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11) нотариальные палаты;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12) микрофинансовые организации.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</w:t>
      </w:r>
      <w:r>
        <w:t xml:space="preserve">К участию в конкурсном отборе допускаются организации, соответствующие на дату подачи заявки и прилагаемых к ней документов для участия в Конкурсе указанным ниже требованиям: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участник Конкурса не должен являться иностранным юридическим лицом, в том числе м</w:t>
      </w:r>
      <w:r>
        <w:t xml:space="preserve">естом регистрации которого является государство или территория, включенные в </w:t>
      </w:r>
      <w:r>
        <w:t xml:space="preserve"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25 % (если иное не предусмотрено законодательством </w:t>
      </w:r>
      <w:r>
        <w:t xml:space="preserve">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</w:t>
      </w:r>
      <w:r>
        <w:t xml:space="preserve">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</w:t>
      </w:r>
      <w:r>
        <w:t xml:space="preserve">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участник Конкурса не должен находиться в составляемых в рамках реализации по</w:t>
      </w:r>
      <w:r>
        <w:t xml:space="preserve">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</w:t>
      </w:r>
      <w:r>
        <w:t xml:space="preserve">транением оружия массового уничтожения;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участник Конкурса не должен являться иностранным агентом в соответствии с Федеральным законом от 14 июля 2022 г. N 255-ФЗ «О контроле за деятельностью лиц, находящихся под иностранным влиянием»;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 участника Конкурса</w:t>
      </w:r>
      <w:r>
        <w:t xml:space="preserve">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участник Конкурса не должен получать средства из бюджета города Перми в соответствии с иными прав</w:t>
      </w:r>
      <w:r>
        <w:t xml:space="preserve">овыми актами на цели, в рамках реализации муниципальной программы "Общественное согласие" в целях финансового обеспечения затрат, связанных с реализацией социально значимых проектов победителями Конкурса, и не могут быть использованы на другие цели;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участ</w:t>
      </w:r>
      <w:r>
        <w:t xml:space="preserve">ник Конкурса, являющийся юридическим лицом,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</w:t>
      </w:r>
      <w:r>
        <w:t xml:space="preserve">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Для участия в конкурсном отборе участником Конкурса в срок, указанный в настоящем объявлении</w:t>
      </w:r>
      <w:r>
        <w:t xml:space="preserve">, формируется заявка в электронной форме посредством заполнения соответствующих экранных форм веб-интерфейса государственной интегрированной информационной системе управления общественными финансами «Электронный бюджет» (далее - ГИИС «Электронный бюджет»),</w:t>
      </w:r>
      <w:r>
        <w:t xml:space="preserve"> заявка подписывается усиленной квалифицированной электронной подписью руководителя участника Конкурса или лицом, действующим от имени руководителя организации. Представляются в ГИИС «Электронный бюджет» электронные копии документов (документов на бумажном</w:t>
      </w:r>
      <w:r>
        <w:t xml:space="preserve"> носителе, преобразованных в электронную форму путем сканирования), указанных далее.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К заявке прилагаются: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проект, с паспортом проекта, содержанием по форме согласно приложению 4 к настоящему Порядку;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календарный план реализации мероприятий проекта п</w:t>
      </w:r>
      <w:r>
        <w:t xml:space="preserve">о форме согласно приложению 2 к Порядку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</w:t>
      </w:r>
      <w:r>
        <w:t xml:space="preserve">победителями ежегодного городского конкурса социально</w:t>
      </w:r>
      <w:r>
        <w:t xml:space="preserve"> значимых проектов, утвержденного постановлением Администрации города Перми от 16.12.2008 № 1214 (далее- Порядок);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смета расходов (расчеты к смете расходов) по форме согласно приложению 3 к Порядку;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копия устава со всеми изменениями и дополнениями;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копии документов, подтверждающих полномочия руководителя организации либо лица, действующего от имени руководителя организации;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 использования помещения (земельного участка) на период реализации проекта (в случае, если организация не является влад</w:t>
      </w:r>
      <w:r>
        <w:t xml:space="preserve">ельцем соответствующего помещения (земельного участка), организация представляет письмо от собственника помещения (земельного участка), подтверждающее согласие на такое использование;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Для подтверждения требований к участникам Конкурса прикладывается докум</w:t>
      </w:r>
      <w:r>
        <w:t xml:space="preserve">ент, подтверждающий согласие на участие в Конкурсе, в отношении муниципального бюджетного или автономного учреждения от органа, осуществляющего функции и полномочия учредителя, оформленный на бланке указанного органа, с указанием отсутствия средств в бюдже</w:t>
      </w:r>
      <w:r>
        <w:t xml:space="preserve">те города Перми в соответствии с иными правовыми актами на цели, предусматривающие финансовое обеспечение затрат, связанные с реализацией социально значимых проектов победителями Конкурса, и не могут быть использованы на другие цели (при необходимости).</w:t>
      </w:r>
      <w:r/>
    </w:p>
    <w:p>
      <w:pPr>
        <w:pStyle w:val="849"/>
        <w:ind w:firstLine="540"/>
        <w:jc w:val="both"/>
        <w:spacing w:before="0" w:before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Участник Конкурса вправе отозвать направленные ранее заявку и прилагаемые к ней документы в любое время до даты окончания приема заявок, указанной в объявлении о проведении конкурсного отбора.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 выявления организатором Конкурса основания для возв</w:t>
      </w:r>
      <w:r>
        <w:t xml:space="preserve">рата заявки на доработку такая заявка не позднее 4 рабочих дней до окончания срока рассмотрения заявок возвращается на доработку участнику Конкурса по следующим основаниям: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непредставление (представление не в полном объеме) документов, установленных п. 2.2</w:t>
      </w:r>
      <w:r>
        <w:t xml:space="preserve">3 Порядка;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несоответствие представленных участником Конкурса заявок и прилагаемых к ним документов требованиям, установленных п. 2.22-2.25 Порядка.</w:t>
      </w:r>
      <w:r/>
    </w:p>
    <w:p>
      <w:pPr>
        <w:pStyle w:val="849"/>
        <w:ind w:firstLine="540"/>
        <w:jc w:val="both"/>
        <w:spacing w:line="288" w:lineRule="atLeast"/>
      </w:pPr>
      <w:r>
        <w:t xml:space="preserve">Решения доводятся до участников Конкурса с использованием ГИИС «Электронный бюджет» в течение 1 рабочего дня</w:t>
      </w:r>
      <w:r>
        <w:t xml:space="preserve"> со дня их принятия с указанием оснований для возврата заявки на доработку, а также положений заявки, нуждающихся в доработке.</w:t>
      </w:r>
      <w:r/>
    </w:p>
    <w:p>
      <w:pPr>
        <w:pStyle w:val="849"/>
        <w:ind w:firstLine="540"/>
        <w:jc w:val="both"/>
        <w:spacing w:line="288" w:lineRule="atLeast"/>
      </w:pPr>
      <w:r>
        <w:t xml:space="preserve">Доработанная заявка направляется участником Конкурса повторно не позднее 2 рабочих дней после возврата заявки на доработку.</w:t>
      </w:r>
      <w:r/>
    </w:p>
    <w:p>
      <w:pPr>
        <w:pStyle w:val="849"/>
        <w:ind w:firstLine="540"/>
        <w:jc w:val="both"/>
        <w:spacing w:line="288" w:lineRule="atLeast"/>
      </w:pPr>
      <w:r>
        <w:t xml:space="preserve">Возвр</w:t>
      </w:r>
      <w:r>
        <w:t xml:space="preserve">ат заявки на доработку производится организатором Конкурса не более одного раза.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 если участник Конкурса не направил организатору Конкурса доработанную заявку в срок, не позднее 2 рабочих дней, организатор Конкурса отклоняет заявку.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rPr>
          <w:b/>
        </w:rPr>
        <w:t xml:space="preserve">- </w:t>
      </w:r>
      <w:r>
        <w:t xml:space="preserve">В период кон</w:t>
      </w:r>
      <w:r>
        <w:t xml:space="preserve">курсного отбора открывается доступ в ГИИС «Электронный бюджет» к поданным участниками Конкурса заявкам организатору Конкурса, который в течение 25 рабочих дней после дня открытия доступа к заявкам рассматривает представленные участниками Конкурса заявки и </w:t>
      </w:r>
      <w:r>
        <w:t xml:space="preserve">документы на полноту их представления в соответствии с пунктом 2.23 Порядка и соблюдение требований, установленных в объявлении и определенных в соответствии с пунктами 2.22-2.25 Порядка, а также определяет соответствие организации требованиям, установленн</w:t>
      </w:r>
      <w:r>
        <w:t xml:space="preserve">ым в пункте 2.20 Порядка.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jc w:val="both"/>
        <w:spacing w:before="0" w:beforeAutospacing="0" w:after="0" w:afterAutospacing="0" w:line="288" w:lineRule="atLeast"/>
      </w:pPr>
      <w:r>
        <w:t xml:space="preserve">Заявка признается надлежащей, если она соответствует требованиям, указанным в объявлении, и при отсутствии следующих оснований для отклонения заявки: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несоответствие участника Конкурса требованиям, установленным пунктом 2.20 Пор</w:t>
      </w:r>
      <w:r>
        <w:t xml:space="preserve">ядка;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непредставление (представление не в полном объеме) документов, указанных в пункте 2.23 Порядка;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несоответствие представленных участником Конкурса заявок и прилагаемых к ним документов требованиям, установленным в объявлении, пунктами 2.22-2.25 Поря</w:t>
      </w:r>
      <w:r>
        <w:t xml:space="preserve">дка;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настоящим Порядком;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подача участником Конкурса заявки после даты и (или) времени, определенных дл</w:t>
      </w:r>
      <w:r>
        <w:t xml:space="preserve">я подачи заявок;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превышение размера запрашиваемого гранта над размером гранта, предусмотренным в пункте 2.44 Порядка.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  <w:tabs>
          <w:tab w:val="left" w:pos="8220" w:leader="none"/>
        </w:tabs>
      </w:pPr>
      <w:r>
        <w:tab/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- Порядок оценки заявок, включающий критерии оценки, (и их весовое значение в общей оценке), сроки оценки заявок:</w:t>
      </w:r>
      <w:r/>
    </w:p>
    <w:p>
      <w:pPr>
        <w:pStyle w:val="849"/>
        <w:ind w:firstLine="540"/>
        <w:jc w:val="both"/>
        <w:spacing w:before="0" w:beforeAutospacing="0" w:after="240" w:afterAutospacing="0" w:line="288" w:lineRule="atLeast"/>
      </w:pPr>
      <w:r>
        <w:t xml:space="preserve">В целях проведения конкурсного отбора формируется конкурсная комиссия (далее - Комиссия) по отбору Победителей Конкурса для предоставления грантов.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Члены Комиссии проводят оценку заявок в своей номинации по критериям оценки проекта указанным в приложении 5</w:t>
      </w:r>
      <w:r>
        <w:t xml:space="preserve"> к Порядку, в течение срока, не превышающего 7 рабочих дней после дня открытия доступа на портал.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Определение Победителей Конкурса осуществляется путем подсчета общего суммарного количества присвоенных баллов по каждой заявке в соответствующей номинации. К</w:t>
      </w:r>
      <w:r>
        <w:t xml:space="preserve">оличество баллов, присваиваемых участнику Конкурса по заявке, определяется как среднее арифметическое количества баллов, полученных по результатам оценки заявки от каждого члена Комиссии в своей номинации. При этом среднее арифметическое количество баллов </w:t>
      </w:r>
      <w:r>
        <w:t xml:space="preserve">определяется путем суммирования баллов, присвоенных каждым членом Комиссии в своей номинации, участвующим в оценке заявки. 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Максимальное количество баллов, набранное на основании критериев оценки проекта, указанных в приложении 5 к Порядку, составляет 100 </w:t>
      </w:r>
      <w:r>
        <w:t xml:space="preserve">баллов. Сумма величин значимости всех применяемых критериев оценки, включая стоимостные критерии оценки, составляет 100%. 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>
        <w:t xml:space="preserve">Ранжирование поступивших заявок участников Конкурса осуществляется по величине итогового балла путем присвоения порядкового номера в </w:t>
      </w:r>
      <w:r>
        <w:t xml:space="preserve">порядке уменьшения итогового балла заявки в каждой номинации. Заявке участника Конкурса, набравшей наибольшее количество баллов, присваивается первый порядковый номер в каждой номинации. </w:t>
      </w:r>
      <w:r/>
    </w:p>
    <w:p>
      <w:pPr>
        <w:pStyle w:val="849"/>
        <w:ind w:firstLine="540"/>
        <w:jc w:val="both"/>
        <w:spacing w:before="0" w:beforeAutospacing="0" w:after="240" w:afterAutospacing="0" w:line="288" w:lineRule="atLeast"/>
      </w:pPr>
      <w:r/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  <w:rPr>
          <w:highlight w:val="yellow"/>
        </w:rPr>
      </w:pPr>
      <w:r>
        <w:t xml:space="preserve">- Критериям оценки проекта являются: </w:t>
      </w:r>
      <w:r>
        <w:rPr>
          <w:highlight w:val="yellow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5"/>
        <w:gridCol w:w="793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1. Актуальность и социальная</w:t>
            </w:r>
            <w:r>
              <w:rPr>
                <w:sz w:val="24"/>
                <w:szCs w:val="24"/>
              </w:rPr>
              <w:t xml:space="preserve"> значимость проекта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социальная значимость проекта убедительно доказаны: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проекта четко сформулированы, измеримы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оответствуют цели и задачам Плана мероприятий по реализации Стратегии социально-экономического развития муниципального образования город Пермь до 2030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2022-2026 годов, утвержденного решением Пермской городской Думы от 26 октября 2021 г. № 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в полной мере на решение именно тех проблем,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обозначены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значимые;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подтверждение актуальности проблемы представителями целевой аудитории, потенциальными благополучателями, партнерами, которое подкреплено конкретными количественными и (или) качественными показателями;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реализацию социально значимой 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циативы вовлечены (в формате сетевого взаимодействия или партнерского содействия и др.) и другие некоммерческие организации, реализующие профильную деятельность (по содержанию деятельности, в отношении целевой аудитории);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 и тематике номинаций конкурса, обеспечивают решение поставленных задач и достижение ожидаемых результатов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социальная значимость проекта в целом доказаны, однако имеются несущественные замечания эксперта: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проекта четко сформулированы, измеримы и соответствуют цели и задачам Плана мероприятий по реализации Стратегии социально-экономического развития муниципального образования город Пермь до 2030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2022-2026 годов, утвержденного решением Пермской городской Думы от 26 октября 2021 г. № 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целевой аудитории и (или) территории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не в полной мере на решение именно тех проблем, которые обозначены как значимые, или авторы преувеличили их значимость;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на решение которых направлен проект, относятся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разряду актуальных, но авторы преувеличили их значимость для заявленной целевой аудитории и (или) территории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отдельных задач проекта заявитель планирует привлечь в качестве участников или партнеров другие некоммерческие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анизации, реализующие профильную деятельность (по содержанию деятельности, в отношении отдельных целевых групп целевой аудитории проекта, отраженного в заявке);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соответствуют условиям и тематике номинаций конкурса, обеспечивают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поставленных задач и достижение ожидаемых результатов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социальная значимость проекта доказаны недостаточно убедительно: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проекта сформулированы нечетко, 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оответствуют цели и задачам Плана мероприятий по реализации Стратегии социально-экономического развития муниципального образования город Пермь до 2030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2022-2026 годов, утвержденного решением Пермской городской Думы от 26 октября 2021 г. № 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недостаточно аргументированно и без конкретных показателей описана проблема, на решение которой направлен проект либо не подтверждено взаимодействие с территориями, обозначенными в заявке;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решение проблем, которые не имеют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трой значимости для целевой группы или территории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актуальности проблемы представителями целевой аудитории, потенциальными благополучателями, партнерами представлена в недостаточной мере;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реализацию социально значимой 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циативы не вовлечены другие некоммерческие организации, реализующие профильную деятельность (по содержанию деятельности, в отношении целевой аудитории);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соответствуют условиям и тематике номинаций конкурса, но не обеспечивают решение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задач и достижение ожидаемых результатов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социальная значимость проекта не доказаны: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проекта не сформулированы либо не соответствуют цели и задачам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реализации Стратегии социально-экономического развития муниципального образования город Пермь до 2030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2022-2026 годов, утвержденного решением Пермской городской Думы от 26 октября 2021 г. № 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проблема, которой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проект, не относится к разряду востребованных обществом либо слабо обоснована авторами;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решение проблем, которые не имеют значимость для целевой группы или территории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актуальности проблемы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целевой аудитории, потенциальными благополучателями, партнерами отсутствует;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не соответствуют условиям и (или) тематике номинаций конкурса, большая часть мероприятий проекта не связана с выбранным грантовым направлением;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гие серьезные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Логическая связность и реализуемость проекта, соответствие мероприятий проекта его целям, задачам и ожидаемым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полностью соответствует данному критерию: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хорошо структурирован, детализирован, содержит описание конкретных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указаны конкретные и разумные сроки, позволяющие в полной мере решить задачи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проекта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 изложены и соизмеримы со сметой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критерию проект в целом проработан, однако имеются несущественные замечания эксперта: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хорошо структурирован, детализирован, вместе с тем состав мероприятий не является полностью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тимальным;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мероприятия соответствуют условиям конкурса, но не в полной мере обеспечивают решение поставленных задач и достижение предполагаемых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сроки выполнения отдельных мероприятий проекта требуют корректировки;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даемые результаты проекта изложены нечетко, но соизмеримы со сметой расходов;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данному критерию проработан недостаточно, имеются замечания эксперта, которые обязательно необходимо устранить: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разделы заявки имеют устранимые нарушения логической связи между задачами, мероприятиями и предполагаемыми результатами;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план описывает лишь общие направления деятельности, не раскрывает последовательность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мероприятия не в полной мере соответствуют условиям конкурса;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сроки выполнения мероприятий проекта требуют корректировки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влияют на сроки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проекта изложены нечетко или несоизмеримы со сметой расходов;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не соответствует данному критерию: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разделы заявки имеют низкий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ровень проработки,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содержит существенные ошибки в описании и последовательности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мероприятия не соответствуют поставленным целям, задачам конкурса, результаты проекта делают реализацию такого проекта нецелесообразной;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указаны некорректные сроки выполнения мероприятий, из-за непродуманности создают значительные риски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проекта не изложены или несоизмеримы со сметой расходов;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серьезные замечания эксперта (с комментарием)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Инновационность, уникальность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является инновационным, уникальным: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 преимущественно направлен на внедрение новых или значительно улучшенных практик, методов в деятельность организации и (или) ее партнеров (что позволит существенно качественно улучшить такую деятельность), а также иных субъектов, реализующих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решения заявленной проблемы и оказания поддержки указанным целевым группам, или разрабатывающих и применяющих авторские технологии и форматы;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организации есть ресурсы и опыт, чтобы успешно внедрить описанные инновации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признаки инновационности, уникальности, но эти признаки несущественно влияют на его ожидаемые результаты: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предусматривает внедрение новых или значительно улучшенных процессов, методов, практик, но в заявке четко не описано, как это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организации есть ресурсы, но опыт, чтобы успешно внедрить 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инновации, отсутствует;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практически не имеет признаков инновационности, уникальности: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описывает использование новых или значительно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улучшенных процессов, методов, практик,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ресурсы и опыт организации, указанные в заявке, не являются достато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чными для реализации инновационных проектов;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не является инновационным, уникальным: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описывает процессы, методы и практики, которые являются продолжением уже осуществляемой (ранее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уществлявшейся) деятельности организации и не являются инновационными и уникальными;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организации отсутствуют ресурсы и опыт для реализации инновационных проектов;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Реалистичность бюджета проекта и обоснованность планируемых расходов на реализацию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полностью соответствует данному критерию: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бюджете проекта предусмотрено финансовое обеспечение всех мероприятий проекта и отсутствуют расходы,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непосредственно не связаны с мероприятиями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планируемые расходы реалистичны и обоснованы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 целом соответствует данному критерию, однако имеются несущественные замечания эксперта: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бюджете проекта предусмотрено финансовое обеспечение всех мероприятий проекта, но присутствуют незначительные расходы, которые непосредственно не связаны с мероприятиями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реалистичны, следуют из задач, мероприятий и обоснованы, вместе с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из комментариев к некоторым расходам невозможно точно определить их состав (детализацию);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 целом соответствует данному критерию, однако имеются замечания эксперта, которые обязательно необходимо устранить: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 предполагаемые расходы непосредственно связаны с мероприятиями проекта и достижением ожидаемых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побочные, не имеющие прямого отношения к реализации проекта, расходы;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не соответствует данному критерию: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бюджете проекта предусмотрены расходы, не соответствующие целевому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не реалистичны, имеются несоответствия между суммами в описании проекта и в его бюджете;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Собственный вклад организации и дополнительные ресурсы, привлекаемые на реализацию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обеспечивает реальное привлечение дополнительных ресурсов на реализацию проекта в объеме 100% или более 100% бюджета: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располагает собственными ресурсами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(привлеченные денежные средства, волонтеры, помещение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обственности, безвозмездном пользовании или аренде, оборудование, транспортные средства, интеллектуальные права и другие ресурсы, за исключением движимого и недвижимого имущества, находящегося в оперативном управлении муниципального бюджетного или 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учреждения) и подтверждает их привлечение в смете расходов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собственного вклада организации и дополнительных ресурсов составляет 100% или более 100% от запрашиваемой суммы гранта, при этом такой уровень корректно рассчитан (например,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обеспечивает реальное привлечение дополнительных ресурсов на реализацию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оекта в объеме от 60% до 99,99% бюджета проекта: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едства, интеллектуальные права и другие, за исключением движимого и недвижимого имущества, находящегося в оперативном управлении муниципального бюджетного или автономного учреждения) и подтверждает их привлечение в смете расходов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вклада организации и дополнительных ресурсов составляет от 60% до 99,99% от запрашиваемой суммы гранта и рассчитан пропорционально объему и срокам, необходимым для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обеспечивает реальное привлечение дополнительных ресурсов на реализацию проекта в объеме от 30% до 59,99% бюджета проекта: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аренде, оборудование, транспортные средства, интеллектуальные права и другие, за исклю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чением движимого и недвижимого имущества, находящегося в оперативном управлении муниципального бюджетного или автономного учреждения) и подтверждает их привлечение в смете расходов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собственного вклада организации и дополнительных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от 30% до 59,99% от запрашиваемой суммы гранта и рассчитан пропорционально объему и срокам, необходимым для реализации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обеспечивает реальное привлечение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ресурсов на реализацию проекта в объеме 30% и более 30% бюджета проекта: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располагает собственными ресурсами на реализацию проекта (привлеченные денежные средства, волонтеры, помещение в собственности, безвозмездном пользовании или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енде, оборудование, транспортные средства, интеллектуальные права и другие, за исключением движимого и недвижимого имущества, находящегося в оперативном управлении муниципального бюджетного или автономного учреждения) или не подтверждает их привлечение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мете расходов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собственного вклада организации и дополнительных ресурсов заявлен в объеме 30% и более 30% от запрашиваемой 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гранта, но не имеет подтверждения в смете расходов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Информационная открытость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критерий отлично выражен в заявке: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деятельности легко найти в сети Интернет с помощью поисковых запросов;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организации систематически освещается в средствах массовой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проектах и мероприятиях, составе органов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критерий хорошо выражен в заявке: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деятельности легко найти в сети Интернет с помощью поисковых запросов;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организации периодически освещается в средствах массовой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имеет 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составе органов управления, реализованных программах, проектах, годовых отчетов;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критерий удовлетворительно выражен в заявке: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деятельности сложно найти в сети Интернет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мощью поисковых запросов;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организации мало освещается в средствах массовой информации и в сети Интернет;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имеет сайт и (или) страницы (группы) в социальной сети, которые содержат неактуальную (устаревшую) информацию;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эксперта (с комментарием)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критерий плохо выражен в заявке: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организации практически отсутствует в сети Интернет;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организации не освещается в средствах массовой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имеет действующего сайта, страницы (группы) в социальных сетях;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другие замечания эксперта (с обоснованием)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9"/>
        <w:ind w:firstLine="540"/>
        <w:jc w:val="both"/>
        <w:spacing w:before="168" w:beforeAutospacing="0" w:after="0" w:afterAutospacing="0" w:line="288" w:lineRule="atLeas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Объем распределяемого гранта в рамках Конкурса составляет </w:t>
      </w:r>
      <w:r>
        <w:t xml:space="preserve">30 000 00,00 руб.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  <w:rPr>
          <w:position w:val="-24"/>
        </w:rPr>
      </w:pPr>
      <w:r>
        <w:t xml:space="preserve">- Размер гранта устанавливается в пределах бюд</w:t>
      </w:r>
      <w:r>
        <w:t xml:space="preserve">жетных ассигнований, предусмотренных в бюджете города Перми на затраты, указанные в пункте 1.5 настоящего Порядка, с учетом рейтинга участников Конкурса по номинациям.</w:t>
      </w:r>
      <w:r>
        <w:rPr>
          <w:position w:val="-24"/>
        </w:rPr>
      </w:r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Победителям Конкурса в пределах объема денежных средств за счет средств бюджета города П</w:t>
      </w:r>
      <w:r>
        <w:t xml:space="preserve">ерми в каждой номинации предоставляется грант в размере суммы, запрашиваемой </w:t>
      </w:r>
      <w:r>
        <w:t xml:space="preserve">Победителем Конкурса в заявке, но не более </w:t>
      </w:r>
      <w:r>
        <w:t xml:space="preserve">400 000,00 руб.</w:t>
      </w:r>
      <w:r>
        <w:t xml:space="preserve"> по каждой номинации, за исключением приоритетной номинации, размер которой составляет не более </w:t>
      </w:r>
      <w:r>
        <w:t xml:space="preserve">500 000,00 руб.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</w:t>
      </w:r>
      <w:r>
        <w:t xml:space="preserve"> если заявки двух и более участников Конкурса одновременно набрали наибольшее количество баллов, Победителем Конкурса признается тот участник Конкурса, в смете расчетов </w:t>
      </w:r>
      <w:r>
        <w:t xml:space="preserve">которого указана наименьшая запрашиваемая сумма финансового обеспечения затрат. При оди</w:t>
      </w:r>
      <w:r>
        <w:t xml:space="preserve">наковой запрашиваемой сумме финансового обеспечения затрат Победителем Конкурса признается тот участник Конкурса, заявка которого подана ранее в соответствии с порядковым номером.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Остаток нераспределенных средств по итогам предоставления грантов Победител</w:t>
      </w:r>
      <w:r>
        <w:t xml:space="preserve">ям Конкурса по всем номинациям направляется на финансирование не более 3 заявок, не вошедших в список Победителей Конкурса, следующих по рейтингу в приоритетной номинации, утверждаемой Постановлением о проведении Конкурса.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По результатам конкурсного отбор</w:t>
      </w:r>
      <w:r>
        <w:t xml:space="preserve">а одному участнику Конкурса может быть предоставлен грант только в отношении одной заявки.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 если две заявки одного участника Конкурса одновременно набрали наибольшее количество баллов, Победителем Конкурса признается та заявка</w:t>
      </w:r>
      <w:r>
        <w:t xml:space="preserve">, в смете расчетов которой указана наименьшая запрашиваемая сумма финансового обеспечения затрат. При одинаковой запрашиваемой сумме финансового обеспечения затрат Победителем Конкурса признается заявка, поданная ранее в соответствии с порядковым номером. </w:t>
      </w:r>
      <w:r/>
    </w:p>
    <w:p>
      <w:pPr>
        <w:pStyle w:val="849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Участник Конкурса со дня размещения объявления на едином портале и не позднее 3 рабочего дня до дня завершения подачи заявок вправе направить организатору Конкурса запрос о разъяснении положений объявления путем формирования в ГИИС «Электронный бюджет»</w:t>
      </w:r>
      <w:r>
        <w:t xml:space="preserve"> </w:t>
      </w:r>
      <w:r>
        <w:t xml:space="preserve">соответствующего запроса. Запрос о разъяснении положений принимается с</w:t>
      </w:r>
      <w:r>
        <w:t xml:space="preserve"> 22 февраля 2026 года по 9 марта 2026 года</w:t>
      </w:r>
      <w:r>
        <w:rPr>
          <w:b/>
        </w:rPr>
        <w:t xml:space="preserve">,</w:t>
      </w:r>
      <w:r>
        <w:t xml:space="preserve"> 18:00 по местному времени.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Организатор Конкурса в ответ на запрос, направляет разъяснение положений объявления в срок, установленный указанны</w:t>
      </w:r>
      <w:r>
        <w:t xml:space="preserve">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 Представленное организатором Конкурса разъяснение положений объявления не должно изменять суть информац</w:t>
      </w:r>
      <w:r>
        <w:t xml:space="preserve">ии, содержащейся в указанном объявлении.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Доступ к разъяснению, формируемому в ГИИС «Электронный бюджет», предоставляется всем участникам Конкурса.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Предоставление гранта осуществляется на основании договора, заключенного между Главным распорядителем бю</w:t>
      </w:r>
      <w:r>
        <w:t xml:space="preserve">джетных средств и Получателем гранта в течение 40 рабочих дней после дня размещения в информационной системе ГИИС «Электронный бюджет» и на официальном сайте муниципального образования город Пермь в информационно-телекоммуникационной сети Интернет www.goro</w:t>
      </w:r>
      <w:r>
        <w:t xml:space="preserve">dperm.ru (далее - Сайт) протокола, указанного в пункте 2.49 Порядка.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Получатель гранта в течение 2 рабочих дней со дня получения договора о предоставлении гранта в соответствии с типовой формой, утвержденной распоряжением начальника департамента финансов а</w:t>
      </w:r>
      <w:r>
        <w:t xml:space="preserve">дминистрации города Перми (далее - Договор) подписывает и направляет его Организатору Конкурса.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Условия признания Победителя Конкурса, уклонившегося от заключения Договора: 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В случае если признанное Победителем Конкурса лицо не представит в установленн</w:t>
      </w:r>
      <w:r>
        <w:t xml:space="preserve">ый выше срок подписанный им Договор, Победитель Конкурса признается уклонившимся от заключения Договора. Договор считается незаключенным. Денежные средства, предусмотренные для данного договора, возвращаются в бюджет города Перми.</w:t>
      </w:r>
      <w:r/>
    </w:p>
    <w:p>
      <w:pPr>
        <w:pStyle w:val="849"/>
        <w:ind w:firstLine="540"/>
        <w:jc w:val="both"/>
        <w:spacing w:before="0" w:beforeAutospacing="0" w:after="0" w:afterAutospacing="0" w:line="288" w:lineRule="atLeast"/>
      </w:pPr>
      <w:r>
        <w:t xml:space="preserve">- Размещение протокола по</w:t>
      </w:r>
      <w:r>
        <w:t xml:space="preserve">дведения итогов Конкурса в информационной системе ГИИС </w:t>
      </w:r>
      <w:r>
        <w:t xml:space="preserve">«Электронный бюджет» и на Сайте – не позднее</w:t>
      </w:r>
      <w:r>
        <w:t xml:space="preserve"> 22</w:t>
      </w:r>
      <w:r>
        <w:rPr>
          <w:highlight w:val="none"/>
        </w:rPr>
        <w:t xml:space="preserve"> мая</w:t>
      </w:r>
      <w:r>
        <w:rPr>
          <w:highlight w:val="none"/>
        </w:rPr>
        <w:t xml:space="preserve"> </w:t>
      </w:r>
      <w:r>
        <w:t xml:space="preserve">2026 года.</w:t>
      </w:r>
      <w:r/>
    </w:p>
    <w:p>
      <w:pPr>
        <w:pStyle w:val="846"/>
        <w:ind w:firstLine="540"/>
        <w:jc w:val="center"/>
        <w:widowControl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sectPr>
      <w:footnotePr/>
      <w:endnotePr/>
      <w:type w:val="nextPage"/>
      <w:pgSz w:w="11906" w:h="16838" w:orient="portrait"/>
      <w:pgMar w:top="426" w:right="70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683"/>
    <w:uiPriority w:val="10"/>
    <w:rPr>
      <w:sz w:val="48"/>
      <w:szCs w:val="48"/>
    </w:rPr>
  </w:style>
  <w:style w:type="character" w:styleId="37">
    <w:name w:val="Subtitle Char"/>
    <w:basedOn w:val="669"/>
    <w:link w:val="685"/>
    <w:uiPriority w:val="11"/>
    <w:rPr>
      <w:sz w:val="24"/>
      <w:szCs w:val="24"/>
    </w:rPr>
  </w:style>
  <w:style w:type="character" w:styleId="39">
    <w:name w:val="Quote Char"/>
    <w:link w:val="687"/>
    <w:uiPriority w:val="29"/>
    <w:rPr>
      <w:i/>
    </w:rPr>
  </w:style>
  <w:style w:type="character" w:styleId="41">
    <w:name w:val="Intense Quote Char"/>
    <w:link w:val="689"/>
    <w:uiPriority w:val="30"/>
    <w:rPr>
      <w:i/>
    </w:rPr>
  </w:style>
  <w:style w:type="character" w:styleId="45">
    <w:name w:val="Footer Char"/>
    <w:basedOn w:val="669"/>
    <w:link w:val="693"/>
    <w:uiPriority w:val="99"/>
  </w:style>
  <w:style w:type="character" w:styleId="47">
    <w:name w:val="Caption Char"/>
    <w:basedOn w:val="669"/>
    <w:link w:val="69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4"/>
    <w:uiPriority w:val="99"/>
    <w:rPr>
      <w:sz w:val="18"/>
    </w:rPr>
  </w:style>
  <w:style w:type="character" w:styleId="179">
    <w:name w:val="Endnote Text Char"/>
    <w:link w:val="827"/>
    <w:uiPriority w:val="99"/>
    <w:rPr>
      <w:sz w:val="20"/>
    </w:rPr>
  </w:style>
  <w:style w:type="paragraph" w:styleId="659" w:default="1">
    <w:name w:val="Normal"/>
    <w:qFormat/>
  </w:style>
  <w:style w:type="paragraph" w:styleId="660">
    <w:name w:val="Heading 1"/>
    <w:basedOn w:val="659"/>
    <w:next w:val="65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link w:val="660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Заголовок 2 Знак"/>
    <w:link w:val="661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Заголовок 4 Знак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659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rPr>
      <w:lang w:eastAsia="zh-CN"/>
    </w:rPr>
  </w:style>
  <w:style w:type="paragraph" w:styleId="683">
    <w:name w:val="Title"/>
    <w:basedOn w:val="659"/>
    <w:next w:val="65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 w:customStyle="1">
    <w:name w:val="Название Знак"/>
    <w:link w:val="683"/>
    <w:uiPriority w:val="10"/>
    <w:rPr>
      <w:sz w:val="48"/>
      <w:szCs w:val="48"/>
    </w:rPr>
  </w:style>
  <w:style w:type="paragraph" w:styleId="685">
    <w:name w:val="Subtitle"/>
    <w:basedOn w:val="659"/>
    <w:next w:val="65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 w:customStyle="1">
    <w:name w:val="Подзаголовок Знак"/>
    <w:link w:val="685"/>
    <w:uiPriority w:val="11"/>
    <w:rPr>
      <w:sz w:val="24"/>
      <w:szCs w:val="24"/>
    </w:rPr>
  </w:style>
  <w:style w:type="paragraph" w:styleId="687">
    <w:name w:val="Quote"/>
    <w:basedOn w:val="659"/>
    <w:next w:val="659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59"/>
    <w:next w:val="659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>
    <w:name w:val="Header"/>
    <w:basedOn w:val="659"/>
    <w:link w:val="850"/>
    <w:pPr>
      <w:tabs>
        <w:tab w:val="center" w:pos="4677" w:leader="none"/>
        <w:tab w:val="right" w:pos="9355" w:leader="none"/>
      </w:tabs>
    </w:pPr>
  </w:style>
  <w:style w:type="character" w:styleId="692" w:customStyle="1">
    <w:name w:val="Header Char"/>
    <w:uiPriority w:val="99"/>
  </w:style>
  <w:style w:type="paragraph" w:styleId="693">
    <w:name w:val="Footer"/>
    <w:basedOn w:val="659"/>
    <w:link w:val="694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character" w:styleId="694" w:customStyle="1">
    <w:name w:val="Нижний колонтитул Знак"/>
    <w:link w:val="693"/>
    <w:uiPriority w:val="99"/>
  </w:style>
  <w:style w:type="paragraph" w:styleId="695">
    <w:name w:val="Caption"/>
    <w:basedOn w:val="659"/>
    <w:next w:val="659"/>
    <w:link w:val="69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6" w:customStyle="1">
    <w:name w:val="Название объекта Знак"/>
    <w:link w:val="695"/>
    <w:uiPriority w:val="35"/>
    <w:rPr>
      <w:b/>
      <w:bCs/>
      <w:color w:val="4f81bd"/>
      <w:sz w:val="18"/>
      <w:szCs w:val="18"/>
    </w:rPr>
  </w:style>
  <w:style w:type="table" w:styleId="697">
    <w:name w:val="Table Grid"/>
    <w:basedOn w:val="670"/>
    <w:tblPr/>
  </w:style>
  <w:style w:type="table" w:styleId="69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3">
    <w:name w:val="Hyperlink"/>
    <w:rPr>
      <w:rFonts w:cs="Times New Roman"/>
      <w:color w:val="0000ff"/>
      <w:u w:val="single"/>
    </w:rPr>
  </w:style>
  <w:style w:type="paragraph" w:styleId="824">
    <w:name w:val="footnote text"/>
    <w:basedOn w:val="659"/>
    <w:link w:val="825"/>
    <w:uiPriority w:val="99"/>
    <w:semiHidden/>
    <w:unhideWhenUsed/>
    <w:pPr>
      <w:spacing w:after="40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659"/>
    <w:link w:val="828"/>
    <w:uiPriority w:val="99"/>
    <w:semiHidden/>
    <w:unhideWhenUsed/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659"/>
    <w:next w:val="659"/>
    <w:uiPriority w:val="39"/>
    <w:unhideWhenUsed/>
    <w:pPr>
      <w:spacing w:after="57"/>
    </w:pPr>
  </w:style>
  <w:style w:type="paragraph" w:styleId="831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2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3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4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5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6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7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8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  <w:rPr>
      <w:lang w:eastAsia="zh-CN"/>
    </w:rPr>
  </w:style>
  <w:style w:type="paragraph" w:styleId="840">
    <w:name w:val="table of figures"/>
    <w:basedOn w:val="659"/>
    <w:next w:val="659"/>
    <w:uiPriority w:val="99"/>
    <w:unhideWhenUsed/>
  </w:style>
  <w:style w:type="paragraph" w:styleId="841">
    <w:name w:val="Body Text 2"/>
    <w:basedOn w:val="659"/>
    <w:pPr>
      <w:ind w:right="-283"/>
      <w:jc w:val="both"/>
      <w:tabs>
        <w:tab w:val="left" w:pos="0" w:leader="none"/>
      </w:tabs>
    </w:pPr>
    <w:rPr>
      <w:b/>
      <w:bCs/>
      <w:sz w:val="24"/>
      <w:szCs w:val="24"/>
    </w:rPr>
  </w:style>
  <w:style w:type="paragraph" w:styleId="842">
    <w:name w:val="Plain Text"/>
    <w:basedOn w:val="659"/>
    <w:rPr>
      <w:rFonts w:ascii="Courier New" w:hAnsi="Courier New" w:cs="Courier New"/>
    </w:rPr>
  </w:style>
  <w:style w:type="paragraph" w:styleId="84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844">
    <w:name w:val="Body Text Indent"/>
    <w:basedOn w:val="659"/>
    <w:pPr>
      <w:ind w:left="283"/>
      <w:spacing w:after="120"/>
    </w:pPr>
  </w:style>
  <w:style w:type="paragraph" w:styleId="845">
    <w:name w:val="Body Text"/>
    <w:basedOn w:val="659"/>
    <w:pPr>
      <w:spacing w:after="120"/>
    </w:pPr>
  </w:style>
  <w:style w:type="paragraph" w:styleId="84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47">
    <w:name w:val="Balloon Text"/>
    <w:basedOn w:val="659"/>
    <w:semiHidden/>
    <w:rPr>
      <w:rFonts w:ascii="Tahoma" w:hAnsi="Tahoma" w:cs="Tahoma"/>
      <w:sz w:val="16"/>
      <w:szCs w:val="16"/>
    </w:rPr>
  </w:style>
  <w:style w:type="character" w:styleId="848">
    <w:name w:val="FollowedHyperlink"/>
    <w:rPr>
      <w:color w:val="954f72"/>
      <w:u w:val="single"/>
    </w:rPr>
  </w:style>
  <w:style w:type="paragraph" w:styleId="849">
    <w:name w:val="Normal (Web)"/>
    <w:basedOn w:val="65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50" w:customStyle="1">
    <w:name w:val="Верхний колонтитул Знак"/>
    <w:basedOn w:val="669"/>
    <w:link w:val="69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администрации города Перми от 21</dc:title>
  <dc:creator>usp4</dc:creator>
  <cp:lastModifiedBy>kucheva-ea</cp:lastModifiedBy>
  <cp:revision>70</cp:revision>
  <dcterms:created xsi:type="dcterms:W3CDTF">2025-01-15T11:25:00Z</dcterms:created>
  <dcterms:modified xsi:type="dcterms:W3CDTF">2026-01-23T05:25:25Z</dcterms:modified>
  <cp:version>983040</cp:version>
</cp:coreProperties>
</file>